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795"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91"/>
      </w:tblGrid>
      <w:tr w:rsidR="00AC4090" w:rsidRPr="00242522" w14:paraId="10CF7B42" w14:textId="77777777" w:rsidTr="003268B7">
        <w:trPr>
          <w:cantSplit/>
          <w:trHeight w:val="624"/>
        </w:trPr>
        <w:sdt>
          <w:sdtPr>
            <w:rPr>
              <w:rFonts w:ascii="Arial" w:hAnsi="Arial"/>
            </w:rPr>
            <w:id w:val="-360744209"/>
            <w:placeholder>
              <w:docPart w:val="C2866AAFFE604A2CBB57BBBCC59F0007"/>
            </w:placeholder>
            <w:date w:fullDate="2022-01-13T00:00:00Z">
              <w:dateFormat w:val="dddd dd MMMM yyyy"/>
              <w:lid w:val="en-GB"/>
              <w:storeMappedDataAs w:val="dateTime"/>
              <w:calendar w:val="gregorian"/>
            </w:date>
          </w:sdtPr>
          <w:sdtEndPr/>
          <w:sdtContent>
            <w:tc>
              <w:tcPr>
                <w:tcW w:w="5000" w:type="pct"/>
                <w:shd w:val="clear" w:color="auto" w:fill="522380" w:themeFill="accent1"/>
                <w:vAlign w:val="bottom"/>
              </w:tcPr>
              <w:p w14:paraId="5892BFA8" w14:textId="4C285AA2" w:rsidR="00AC4090" w:rsidRPr="00242522" w:rsidRDefault="00CD4E57" w:rsidP="00D54944">
                <w:pPr>
                  <w:pStyle w:val="DocDate"/>
                  <w:spacing w:before="100" w:beforeAutospacing="1" w:after="100" w:afterAutospacing="1"/>
                  <w:rPr>
                    <w:rFonts w:ascii="Arial" w:hAnsi="Arial"/>
                  </w:rPr>
                </w:pPr>
                <w:r>
                  <w:rPr>
                    <w:rFonts w:ascii="Arial" w:hAnsi="Arial"/>
                  </w:rPr>
                  <w:t>Thursday 13 January 2022</w:t>
                </w:r>
              </w:p>
            </w:tc>
          </w:sdtContent>
        </w:sdt>
      </w:tr>
    </w:tbl>
    <w:tbl>
      <w:tblPr>
        <w:tblpPr w:leftFromText="181" w:rightFromText="181" w:vertAnchor="text" w:tblpY="-197"/>
        <w:tblOverlap w:val="never"/>
        <w:tblW w:w="5000" w:type="pct"/>
        <w:tblCellMar>
          <w:left w:w="0" w:type="dxa"/>
          <w:right w:w="0" w:type="dxa"/>
        </w:tblCellMar>
        <w:tblLook w:val="04A0" w:firstRow="1" w:lastRow="0" w:firstColumn="1" w:lastColumn="0" w:noHBand="0" w:noVBand="1"/>
      </w:tblPr>
      <w:tblGrid>
        <w:gridCol w:w="6"/>
        <w:gridCol w:w="10085"/>
      </w:tblGrid>
      <w:tr w:rsidR="00EB21F3" w:rsidRPr="00242522" w14:paraId="68E633FF" w14:textId="77777777" w:rsidTr="003268B7">
        <w:trPr>
          <w:cantSplit/>
          <w:trHeight w:hRule="exact" w:val="709"/>
        </w:trPr>
        <w:tc>
          <w:tcPr>
            <w:tcW w:w="3" w:type="pct"/>
            <w:tcBorders>
              <w:bottom w:val="single" w:sz="48" w:space="0" w:color="522380" w:themeColor="accent1"/>
            </w:tcBorders>
            <w:tcMar>
              <w:bottom w:w="425" w:type="dxa"/>
            </w:tcMar>
          </w:tcPr>
          <w:p w14:paraId="02B843AF" w14:textId="77777777" w:rsidR="00EB21F3" w:rsidRPr="00242522" w:rsidRDefault="00EB21F3" w:rsidP="00D54944">
            <w:pPr>
              <w:pStyle w:val="Draft"/>
              <w:spacing w:before="100" w:beforeAutospacing="1" w:after="100" w:afterAutospacing="1"/>
              <w:rPr>
                <w:rFonts w:ascii="Arial" w:hAnsi="Arial"/>
              </w:rPr>
            </w:pPr>
          </w:p>
        </w:tc>
        <w:tc>
          <w:tcPr>
            <w:tcW w:w="4997" w:type="pct"/>
            <w:tcBorders>
              <w:bottom w:val="single" w:sz="48" w:space="0" w:color="522380" w:themeColor="accent1"/>
            </w:tcBorders>
            <w:tcMar>
              <w:bottom w:w="425" w:type="dxa"/>
            </w:tcMar>
          </w:tcPr>
          <w:p w14:paraId="72094698" w14:textId="1FB96B10" w:rsidR="00EB21F3" w:rsidRPr="00242522" w:rsidRDefault="00CF5832" w:rsidP="00B1280D">
            <w:pPr>
              <w:pStyle w:val="DocType"/>
              <w:framePr w:hSpace="0" w:wrap="auto" w:vAnchor="margin" w:yAlign="inline"/>
              <w:tabs>
                <w:tab w:val="right" w:pos="10085"/>
              </w:tabs>
              <w:spacing w:before="100" w:beforeAutospacing="1" w:after="100" w:afterAutospacing="1"/>
              <w:suppressOverlap w:val="0"/>
              <w:rPr>
                <w:rFonts w:ascii="Arial" w:hAnsi="Arial"/>
              </w:rPr>
            </w:pPr>
            <w:r w:rsidRPr="00242522">
              <w:rPr>
                <w:rFonts w:ascii="Arial" w:hAnsi="Arial"/>
              </w:rPr>
              <w:t>Consultation Response</w:t>
            </w:r>
            <w:r w:rsidR="00B1280D">
              <w:rPr>
                <w:rFonts w:ascii="Arial" w:hAnsi="Arial"/>
              </w:rPr>
              <w:tab/>
            </w:r>
          </w:p>
        </w:tc>
      </w:tr>
      <w:tr w:rsidR="00EB21F3" w:rsidRPr="00242522" w14:paraId="427A192E" w14:textId="77777777" w:rsidTr="003268B7">
        <w:trPr>
          <w:cantSplit/>
          <w:trHeight w:val="621"/>
        </w:trPr>
        <w:tc>
          <w:tcPr>
            <w:tcW w:w="3" w:type="pct"/>
            <w:tcBorders>
              <w:top w:val="single" w:sz="48" w:space="0" w:color="522380" w:themeColor="accent1"/>
              <w:bottom w:val="single" w:sz="48" w:space="0" w:color="522380" w:themeColor="accent1"/>
            </w:tcBorders>
            <w:tcMar>
              <w:top w:w="539" w:type="dxa"/>
              <w:bottom w:w="482" w:type="dxa"/>
            </w:tcMar>
          </w:tcPr>
          <w:p w14:paraId="6265BB71" w14:textId="77777777" w:rsidR="00EB21F3" w:rsidRPr="00242522" w:rsidRDefault="00EB21F3" w:rsidP="00D54944">
            <w:pPr>
              <w:pStyle w:val="GraphicLeft"/>
              <w:spacing w:before="100" w:beforeAutospacing="1" w:after="100" w:afterAutospacing="1"/>
              <w:rPr>
                <w:rFonts w:ascii="Arial" w:hAnsi="Arial"/>
                <w:sz w:val="36"/>
              </w:rPr>
            </w:pPr>
          </w:p>
        </w:tc>
        <w:tc>
          <w:tcPr>
            <w:tcW w:w="4997" w:type="pct"/>
            <w:tcBorders>
              <w:top w:val="single" w:sz="48" w:space="0" w:color="522380" w:themeColor="accent1"/>
              <w:bottom w:val="single" w:sz="48" w:space="0" w:color="522380" w:themeColor="accent1"/>
            </w:tcBorders>
            <w:tcMar>
              <w:top w:w="539" w:type="dxa"/>
              <w:bottom w:w="482" w:type="dxa"/>
            </w:tcMar>
          </w:tcPr>
          <w:p w14:paraId="73D4B6EA" w14:textId="62B040CB" w:rsidR="00514B1B" w:rsidRPr="00242522" w:rsidRDefault="00FF39F9" w:rsidP="00D54944">
            <w:pPr>
              <w:pStyle w:val="GraphicLeft"/>
              <w:spacing w:before="100" w:beforeAutospacing="1" w:after="100" w:afterAutospacing="1"/>
              <w:rPr>
                <w:rFonts w:ascii="Arial" w:hAnsi="Arial"/>
                <w:color w:val="522380" w:themeColor="accent1"/>
                <w:sz w:val="36"/>
                <w:szCs w:val="40"/>
              </w:rPr>
            </w:pPr>
            <w:r w:rsidRPr="00242522">
              <w:rPr>
                <w:rFonts w:ascii="Arial" w:hAnsi="Arial"/>
                <w:color w:val="522380" w:themeColor="accent1"/>
                <w:sz w:val="36"/>
                <w:szCs w:val="40"/>
              </w:rPr>
              <w:t xml:space="preserve">The </w:t>
            </w:r>
            <w:r w:rsidR="00AA0313" w:rsidRPr="00242522">
              <w:rPr>
                <w:rFonts w:ascii="Arial" w:hAnsi="Arial"/>
                <w:color w:val="522380" w:themeColor="accent1"/>
                <w:sz w:val="36"/>
                <w:szCs w:val="40"/>
              </w:rPr>
              <w:t>p</w:t>
            </w:r>
            <w:r w:rsidR="00105741" w:rsidRPr="00242522">
              <w:rPr>
                <w:rFonts w:ascii="Arial" w:hAnsi="Arial"/>
                <w:color w:val="522380" w:themeColor="accent1"/>
                <w:sz w:val="36"/>
                <w:szCs w:val="40"/>
              </w:rPr>
              <w:t>rovisional</w:t>
            </w:r>
            <w:r w:rsidRPr="00242522">
              <w:rPr>
                <w:rFonts w:ascii="Arial" w:hAnsi="Arial"/>
                <w:color w:val="522380" w:themeColor="accent1"/>
                <w:sz w:val="36"/>
                <w:szCs w:val="40"/>
              </w:rPr>
              <w:t xml:space="preserve"> </w:t>
            </w:r>
            <w:r w:rsidR="00AA0313" w:rsidRPr="00242522">
              <w:rPr>
                <w:rFonts w:ascii="Arial" w:hAnsi="Arial"/>
                <w:color w:val="522380" w:themeColor="accent1"/>
                <w:sz w:val="36"/>
                <w:szCs w:val="40"/>
              </w:rPr>
              <w:t>202</w:t>
            </w:r>
            <w:r w:rsidR="007836F5">
              <w:rPr>
                <w:rFonts w:ascii="Arial" w:hAnsi="Arial"/>
                <w:color w:val="522380" w:themeColor="accent1"/>
                <w:sz w:val="36"/>
                <w:szCs w:val="40"/>
              </w:rPr>
              <w:t>2</w:t>
            </w:r>
            <w:r w:rsidR="00CD4E57">
              <w:rPr>
                <w:rFonts w:ascii="Arial" w:hAnsi="Arial"/>
                <w:color w:val="522380" w:themeColor="accent1"/>
                <w:sz w:val="36"/>
                <w:szCs w:val="40"/>
              </w:rPr>
              <w:t>-23</w:t>
            </w:r>
            <w:r w:rsidR="00AA0313" w:rsidRPr="00242522">
              <w:rPr>
                <w:rFonts w:ascii="Arial" w:hAnsi="Arial"/>
                <w:color w:val="522380" w:themeColor="accent1"/>
                <w:sz w:val="36"/>
                <w:szCs w:val="40"/>
              </w:rPr>
              <w:t xml:space="preserve"> </w:t>
            </w:r>
            <w:r w:rsidRPr="00242522">
              <w:rPr>
                <w:rFonts w:ascii="Arial" w:hAnsi="Arial"/>
                <w:color w:val="522380" w:themeColor="accent1"/>
                <w:sz w:val="36"/>
                <w:szCs w:val="40"/>
              </w:rPr>
              <w:t>Local Government Finance Settlement</w:t>
            </w:r>
            <w:r w:rsidR="007836F5">
              <w:rPr>
                <w:rFonts w:ascii="Arial" w:hAnsi="Arial"/>
                <w:color w:val="522380" w:themeColor="accent1"/>
                <w:sz w:val="36"/>
                <w:szCs w:val="40"/>
              </w:rPr>
              <w:t xml:space="preserve"> </w:t>
            </w:r>
            <w:r w:rsidR="00AA0313" w:rsidRPr="00242522">
              <w:rPr>
                <w:rFonts w:ascii="Arial" w:hAnsi="Arial"/>
                <w:color w:val="522380" w:themeColor="accent1"/>
                <w:sz w:val="36"/>
                <w:szCs w:val="40"/>
              </w:rPr>
              <w:t>- c</w:t>
            </w:r>
            <w:r w:rsidRPr="00242522">
              <w:rPr>
                <w:rFonts w:ascii="Arial" w:hAnsi="Arial"/>
                <w:color w:val="522380" w:themeColor="accent1"/>
                <w:sz w:val="36"/>
                <w:szCs w:val="40"/>
              </w:rPr>
              <w:t>onsultation</w:t>
            </w:r>
            <w:r w:rsidR="00AA0313" w:rsidRPr="00242522">
              <w:rPr>
                <w:rFonts w:ascii="Arial" w:hAnsi="Arial"/>
                <w:color w:val="522380" w:themeColor="accent1"/>
                <w:sz w:val="36"/>
                <w:szCs w:val="40"/>
              </w:rPr>
              <w:t xml:space="preserve"> response by London Councils</w:t>
            </w:r>
          </w:p>
        </w:tc>
      </w:tr>
    </w:tbl>
    <w:tbl>
      <w:tblPr>
        <w:tblStyle w:val="LondonCouncils"/>
        <w:tblW w:w="5000" w:type="pct"/>
        <w:tblInd w:w="0" w:type="dxa"/>
        <w:tblLook w:val="0600" w:firstRow="0" w:lastRow="0" w:firstColumn="0" w:lastColumn="0" w:noHBand="1" w:noVBand="1"/>
      </w:tblPr>
      <w:tblGrid>
        <w:gridCol w:w="176"/>
        <w:gridCol w:w="9739"/>
        <w:gridCol w:w="176"/>
      </w:tblGrid>
      <w:tr w:rsidR="00B34F65" w:rsidRPr="00242522" w14:paraId="07688D81" w14:textId="77777777" w:rsidTr="003268B7">
        <w:trPr>
          <w:trHeight w:hRule="exact" w:val="113"/>
        </w:trPr>
        <w:tc>
          <w:tcPr>
            <w:tcW w:w="87" w:type="pct"/>
          </w:tcPr>
          <w:p w14:paraId="6124E262" w14:textId="77777777" w:rsidR="00B34F65" w:rsidRPr="00242522" w:rsidRDefault="00B34F65" w:rsidP="00D54944">
            <w:pPr>
              <w:pStyle w:val="Spacer"/>
              <w:spacing w:before="100" w:beforeAutospacing="1" w:after="100" w:afterAutospacing="1"/>
              <w:jc w:val="both"/>
            </w:pPr>
          </w:p>
        </w:tc>
        <w:tc>
          <w:tcPr>
            <w:tcW w:w="4826" w:type="pct"/>
          </w:tcPr>
          <w:p w14:paraId="5F0DC049" w14:textId="77777777" w:rsidR="00B34F65" w:rsidRPr="00242522" w:rsidRDefault="00B34F65" w:rsidP="00D54944">
            <w:pPr>
              <w:pStyle w:val="Spacer"/>
              <w:spacing w:before="100" w:beforeAutospacing="1" w:after="100" w:afterAutospacing="1"/>
              <w:jc w:val="both"/>
            </w:pPr>
          </w:p>
        </w:tc>
        <w:tc>
          <w:tcPr>
            <w:tcW w:w="87" w:type="pct"/>
          </w:tcPr>
          <w:p w14:paraId="2D96A5EF" w14:textId="77777777" w:rsidR="00B34F65" w:rsidRPr="00242522" w:rsidRDefault="00B34F65" w:rsidP="00D54944">
            <w:pPr>
              <w:pStyle w:val="Spacer"/>
              <w:spacing w:before="100" w:beforeAutospacing="1" w:after="100" w:afterAutospacing="1"/>
              <w:jc w:val="both"/>
            </w:pPr>
          </w:p>
        </w:tc>
      </w:tr>
      <w:tr w:rsidR="00B34F65" w:rsidRPr="00242522" w14:paraId="18DDC9D3" w14:textId="77777777" w:rsidTr="003268B7">
        <w:trPr>
          <w:trHeight w:val="283"/>
        </w:trPr>
        <w:tc>
          <w:tcPr>
            <w:tcW w:w="87" w:type="pct"/>
          </w:tcPr>
          <w:p w14:paraId="510952DF" w14:textId="77777777" w:rsidR="00B34F65" w:rsidRPr="00242522" w:rsidRDefault="00B34F65" w:rsidP="00D54944">
            <w:pPr>
              <w:pStyle w:val="TableTextLeft"/>
              <w:spacing w:before="100" w:beforeAutospacing="1" w:after="100" w:afterAutospacing="1"/>
              <w:jc w:val="both"/>
              <w:rPr>
                <w:rFonts w:ascii="Arial" w:hAnsi="Arial"/>
              </w:rPr>
            </w:pPr>
          </w:p>
        </w:tc>
        <w:tc>
          <w:tcPr>
            <w:tcW w:w="4826" w:type="pct"/>
          </w:tcPr>
          <w:p w14:paraId="6DBD1A03" w14:textId="77777777" w:rsidR="00EC4C97" w:rsidRPr="00242522" w:rsidRDefault="00DD3EFF" w:rsidP="00D54944">
            <w:pPr>
              <w:pStyle w:val="HighlightText"/>
              <w:spacing w:before="100" w:beforeAutospacing="1" w:after="100" w:afterAutospacing="1"/>
              <w:jc w:val="both"/>
              <w:rPr>
                <w:rFonts w:ascii="Arial" w:hAnsi="Arial"/>
              </w:rPr>
            </w:pPr>
            <w:r w:rsidRPr="00242522">
              <w:rPr>
                <w:rFonts w:ascii="Arial" w:hAnsi="Arial"/>
              </w:rPr>
              <w:t>London Councils represents London’s 32 borough councils and the City of London. It is a cross party organisation that works on behalf of all its member authorities regardless of political persuasion.</w:t>
            </w:r>
          </w:p>
        </w:tc>
        <w:tc>
          <w:tcPr>
            <w:tcW w:w="87" w:type="pct"/>
          </w:tcPr>
          <w:p w14:paraId="0A9BDF9A" w14:textId="77777777" w:rsidR="00B34F65" w:rsidRPr="00242522" w:rsidRDefault="00B34F65" w:rsidP="00D54944">
            <w:pPr>
              <w:pStyle w:val="TableTextLeft"/>
              <w:spacing w:before="100" w:beforeAutospacing="1" w:after="100" w:afterAutospacing="1"/>
              <w:jc w:val="both"/>
              <w:rPr>
                <w:rFonts w:ascii="Arial" w:hAnsi="Arial"/>
              </w:rPr>
            </w:pPr>
          </w:p>
        </w:tc>
      </w:tr>
      <w:tr w:rsidR="00B34F65" w:rsidRPr="00242522" w14:paraId="185149EC" w14:textId="77777777" w:rsidTr="003268B7">
        <w:trPr>
          <w:trHeight w:hRule="exact" w:val="101"/>
        </w:trPr>
        <w:tc>
          <w:tcPr>
            <w:tcW w:w="87" w:type="pct"/>
          </w:tcPr>
          <w:p w14:paraId="0F9463F2" w14:textId="77777777" w:rsidR="00B34F65" w:rsidRPr="00242522" w:rsidRDefault="00B34F65" w:rsidP="00D54944">
            <w:pPr>
              <w:pStyle w:val="Spacer"/>
              <w:spacing w:before="100" w:beforeAutospacing="1" w:after="100" w:afterAutospacing="1"/>
              <w:jc w:val="both"/>
            </w:pPr>
          </w:p>
        </w:tc>
        <w:tc>
          <w:tcPr>
            <w:tcW w:w="4826" w:type="pct"/>
          </w:tcPr>
          <w:p w14:paraId="4ACAE88C" w14:textId="77777777" w:rsidR="00B34F65" w:rsidRPr="00242522" w:rsidRDefault="00B34F65" w:rsidP="00D54944">
            <w:pPr>
              <w:pStyle w:val="Spacer"/>
              <w:spacing w:before="100" w:beforeAutospacing="1" w:after="100" w:afterAutospacing="1"/>
              <w:jc w:val="both"/>
            </w:pPr>
          </w:p>
        </w:tc>
        <w:tc>
          <w:tcPr>
            <w:tcW w:w="87" w:type="pct"/>
          </w:tcPr>
          <w:p w14:paraId="65480E16" w14:textId="77777777" w:rsidR="00B34F65" w:rsidRPr="00242522" w:rsidRDefault="00B34F65" w:rsidP="00D54944">
            <w:pPr>
              <w:pStyle w:val="Spacer"/>
              <w:spacing w:before="100" w:beforeAutospacing="1" w:after="100" w:afterAutospacing="1"/>
              <w:jc w:val="both"/>
            </w:pPr>
          </w:p>
        </w:tc>
      </w:tr>
    </w:tbl>
    <w:p w14:paraId="018D93BE" w14:textId="77777777" w:rsidR="00E86679" w:rsidRPr="00242522" w:rsidRDefault="00E86679" w:rsidP="008C18DC">
      <w:pPr>
        <w:pStyle w:val="Heading1"/>
        <w:spacing w:before="100" w:beforeAutospacing="1" w:after="100" w:afterAutospacing="1"/>
        <w:rPr>
          <w:rFonts w:ascii="Arial" w:hAnsi="Arial"/>
        </w:rPr>
      </w:pPr>
      <w:bookmarkStart w:id="0" w:name="_Hlk22723851"/>
      <w:r w:rsidRPr="00242522">
        <w:rPr>
          <w:rFonts w:ascii="Arial" w:hAnsi="Arial"/>
        </w:rPr>
        <w:t>Introduction</w:t>
      </w:r>
    </w:p>
    <w:bookmarkEnd w:id="0"/>
    <w:p w14:paraId="2F698B8F" w14:textId="6DCD0B9A" w:rsidR="00E86679" w:rsidRDefault="00E86679" w:rsidP="00D802EB">
      <w:pPr>
        <w:pStyle w:val="NumBullet1"/>
        <w:spacing w:before="100" w:beforeAutospacing="1" w:after="100" w:afterAutospacing="1"/>
        <w:rPr>
          <w:rFonts w:ascii="Arial" w:hAnsi="Arial"/>
        </w:rPr>
      </w:pPr>
      <w:r w:rsidRPr="00242522">
        <w:rPr>
          <w:rFonts w:ascii="Arial" w:hAnsi="Arial"/>
        </w:rPr>
        <w:t>London Councils welcomes the opportunity to comment on the 20</w:t>
      </w:r>
      <w:r w:rsidR="00637B6B" w:rsidRPr="00242522">
        <w:rPr>
          <w:rFonts w:ascii="Arial" w:hAnsi="Arial"/>
        </w:rPr>
        <w:t>2</w:t>
      </w:r>
      <w:r w:rsidR="000B4746" w:rsidRPr="00242522">
        <w:rPr>
          <w:rFonts w:ascii="Arial" w:hAnsi="Arial"/>
        </w:rPr>
        <w:t>2</w:t>
      </w:r>
      <w:r w:rsidR="00CD4E57">
        <w:rPr>
          <w:rFonts w:ascii="Arial" w:hAnsi="Arial"/>
        </w:rPr>
        <w:t>-23</w:t>
      </w:r>
      <w:r w:rsidR="00105741" w:rsidRPr="00242522">
        <w:rPr>
          <w:rFonts w:ascii="Arial" w:hAnsi="Arial"/>
        </w:rPr>
        <w:t xml:space="preserve"> provisional </w:t>
      </w:r>
      <w:r w:rsidRPr="00242522">
        <w:rPr>
          <w:rFonts w:ascii="Arial" w:hAnsi="Arial"/>
        </w:rPr>
        <w:t>local government finance settlement consultation.</w:t>
      </w:r>
      <w:r w:rsidR="00C039AB">
        <w:rPr>
          <w:rFonts w:ascii="Arial" w:hAnsi="Arial"/>
        </w:rPr>
        <w:t xml:space="preserve"> </w:t>
      </w:r>
      <w:r w:rsidR="0020177A">
        <w:rPr>
          <w:rFonts w:ascii="Arial" w:hAnsi="Arial"/>
        </w:rPr>
        <w:br/>
      </w:r>
    </w:p>
    <w:p w14:paraId="51F5F7CD" w14:textId="76541703" w:rsidR="00982F18" w:rsidRDefault="007000AD" w:rsidP="00982F18">
      <w:pPr>
        <w:pStyle w:val="NumBullet1"/>
        <w:spacing w:after="0"/>
        <w:rPr>
          <w:rFonts w:ascii="Arial" w:hAnsi="Arial"/>
        </w:rPr>
      </w:pPr>
      <w:r>
        <w:rPr>
          <w:rFonts w:ascii="Arial" w:hAnsi="Arial"/>
        </w:rPr>
        <w:t xml:space="preserve">We welcome the </w:t>
      </w:r>
      <w:r w:rsidR="00EE01EC">
        <w:rPr>
          <w:rFonts w:ascii="Arial" w:hAnsi="Arial"/>
        </w:rPr>
        <w:t xml:space="preserve">4% real terms increase in </w:t>
      </w:r>
      <w:r w:rsidR="006D3515">
        <w:rPr>
          <w:rFonts w:ascii="Arial" w:hAnsi="Arial"/>
        </w:rPr>
        <w:t>Core Spending Power</w:t>
      </w:r>
      <w:r w:rsidR="008D3CC1">
        <w:rPr>
          <w:rFonts w:ascii="Arial" w:hAnsi="Arial"/>
        </w:rPr>
        <w:t>,</w:t>
      </w:r>
      <w:r w:rsidR="00EE01EC">
        <w:rPr>
          <w:rFonts w:ascii="Arial" w:hAnsi="Arial"/>
        </w:rPr>
        <w:t xml:space="preserve"> </w:t>
      </w:r>
      <w:r w:rsidR="001962B7">
        <w:rPr>
          <w:rFonts w:ascii="Arial" w:hAnsi="Arial"/>
        </w:rPr>
        <w:t xml:space="preserve">which </w:t>
      </w:r>
      <w:r w:rsidR="00EE01EC">
        <w:rPr>
          <w:rFonts w:ascii="Arial" w:hAnsi="Arial"/>
        </w:rPr>
        <w:t xml:space="preserve">is </w:t>
      </w:r>
      <w:r w:rsidR="008D3CC1">
        <w:rPr>
          <w:rFonts w:ascii="Arial" w:hAnsi="Arial"/>
        </w:rPr>
        <w:t xml:space="preserve">significant </w:t>
      </w:r>
      <w:r w:rsidR="00EE01EC">
        <w:rPr>
          <w:rFonts w:ascii="Arial" w:hAnsi="Arial"/>
        </w:rPr>
        <w:t xml:space="preserve">by </w:t>
      </w:r>
      <w:r w:rsidR="00C34DA7">
        <w:rPr>
          <w:rFonts w:ascii="Arial" w:hAnsi="Arial"/>
        </w:rPr>
        <w:t xml:space="preserve">recent </w:t>
      </w:r>
      <w:r w:rsidR="00EE01EC">
        <w:rPr>
          <w:rFonts w:ascii="Arial" w:hAnsi="Arial"/>
        </w:rPr>
        <w:t xml:space="preserve">historical standards. However, </w:t>
      </w:r>
      <w:r w:rsidR="00C34DA7">
        <w:rPr>
          <w:rFonts w:ascii="Arial" w:hAnsi="Arial"/>
        </w:rPr>
        <w:t>prior to Spending Review 2021 (</w:t>
      </w:r>
      <w:r w:rsidR="00EE01EC">
        <w:rPr>
          <w:rFonts w:ascii="Arial" w:hAnsi="Arial"/>
        </w:rPr>
        <w:t>SR21</w:t>
      </w:r>
      <w:r w:rsidR="00C34DA7">
        <w:rPr>
          <w:rFonts w:ascii="Arial" w:hAnsi="Arial"/>
        </w:rPr>
        <w:t>)</w:t>
      </w:r>
      <w:r w:rsidR="00EE01EC">
        <w:rPr>
          <w:rFonts w:ascii="Arial" w:hAnsi="Arial"/>
        </w:rPr>
        <w:t xml:space="preserve">, we estimated London boroughs </w:t>
      </w:r>
      <w:r w:rsidR="00C34DA7">
        <w:rPr>
          <w:rFonts w:ascii="Arial" w:hAnsi="Arial"/>
        </w:rPr>
        <w:t xml:space="preserve">would </w:t>
      </w:r>
      <w:r w:rsidR="00EE01EC">
        <w:rPr>
          <w:rFonts w:ascii="Arial" w:hAnsi="Arial"/>
        </w:rPr>
        <w:t>require £1.5-2bn over the SR period</w:t>
      </w:r>
      <w:r w:rsidR="00C34DA7">
        <w:rPr>
          <w:rFonts w:ascii="Arial" w:hAnsi="Arial"/>
        </w:rPr>
        <w:t xml:space="preserve"> (at least 5% per annum)</w:t>
      </w:r>
      <w:r w:rsidR="00EE01EC">
        <w:rPr>
          <w:rFonts w:ascii="Arial" w:hAnsi="Arial"/>
        </w:rPr>
        <w:t xml:space="preserve"> to meet the underlying demand, inflation and income pressures relating to the ongoing pandemic. </w:t>
      </w:r>
      <w:r w:rsidR="00982F18">
        <w:rPr>
          <w:rFonts w:ascii="Arial" w:hAnsi="Arial"/>
        </w:rPr>
        <w:t xml:space="preserve">The </w:t>
      </w:r>
      <w:r w:rsidR="006D3515">
        <w:rPr>
          <w:rFonts w:ascii="Arial" w:hAnsi="Arial"/>
        </w:rPr>
        <w:t xml:space="preserve">recent Omicron variant, rising inflation, and the </w:t>
      </w:r>
      <w:r w:rsidR="00982F18">
        <w:rPr>
          <w:rFonts w:ascii="Arial" w:hAnsi="Arial"/>
        </w:rPr>
        <w:t>adult social care funding reforms have added further financial risks</w:t>
      </w:r>
      <w:r w:rsidR="008D3CC1">
        <w:rPr>
          <w:rFonts w:ascii="Arial" w:hAnsi="Arial"/>
        </w:rPr>
        <w:t>. As such, w</w:t>
      </w:r>
      <w:r w:rsidR="00982F18">
        <w:rPr>
          <w:rFonts w:ascii="Arial" w:hAnsi="Arial"/>
        </w:rPr>
        <w:t xml:space="preserve">hile the new funding set out in the provisional settlement is very welcome, London boroughs will </w:t>
      </w:r>
      <w:r w:rsidR="00802F3F">
        <w:rPr>
          <w:rFonts w:ascii="Arial" w:hAnsi="Arial"/>
        </w:rPr>
        <w:t xml:space="preserve">still </w:t>
      </w:r>
      <w:r w:rsidR="00982F18">
        <w:rPr>
          <w:rFonts w:ascii="Arial" w:hAnsi="Arial"/>
        </w:rPr>
        <w:t xml:space="preserve">need to make significant savings next year </w:t>
      </w:r>
      <w:r w:rsidR="00747E98">
        <w:rPr>
          <w:rFonts w:ascii="Arial" w:hAnsi="Arial"/>
        </w:rPr>
        <w:t xml:space="preserve">of up </w:t>
      </w:r>
      <w:r w:rsidR="00982F18">
        <w:rPr>
          <w:rFonts w:ascii="Arial" w:hAnsi="Arial"/>
        </w:rPr>
        <w:t xml:space="preserve">to </w:t>
      </w:r>
      <w:r w:rsidR="00747E98">
        <w:rPr>
          <w:rFonts w:ascii="Arial" w:hAnsi="Arial"/>
        </w:rPr>
        <w:t xml:space="preserve">£400m </w:t>
      </w:r>
      <w:r w:rsidR="00982F18">
        <w:rPr>
          <w:rFonts w:ascii="Arial" w:hAnsi="Arial"/>
        </w:rPr>
        <w:t xml:space="preserve">deliver balanced budgets. </w:t>
      </w:r>
    </w:p>
    <w:p w14:paraId="47616FE7" w14:textId="77777777" w:rsidR="006C1C8A" w:rsidRDefault="006C1C8A" w:rsidP="006C1C8A">
      <w:pPr>
        <w:pStyle w:val="NumBullet1"/>
        <w:numPr>
          <w:ilvl w:val="0"/>
          <w:numId w:val="0"/>
        </w:numPr>
        <w:spacing w:after="0"/>
        <w:ind w:left="482"/>
        <w:rPr>
          <w:rFonts w:ascii="Arial" w:hAnsi="Arial"/>
        </w:rPr>
      </w:pPr>
    </w:p>
    <w:p w14:paraId="46AD4F5F" w14:textId="40044087" w:rsidR="006C1C8A" w:rsidRDefault="006C1C8A" w:rsidP="00982F18">
      <w:pPr>
        <w:pStyle w:val="NumBullet1"/>
        <w:spacing w:after="0"/>
        <w:rPr>
          <w:rFonts w:ascii="Arial" w:hAnsi="Arial"/>
        </w:rPr>
      </w:pPr>
      <w:r>
        <w:rPr>
          <w:rFonts w:ascii="Arial" w:hAnsi="Arial"/>
        </w:rPr>
        <w:t>While we recognise this consultation only covers the 2022-23 provisional settlement, we are very concerned about the funding outlook in years 2 and 3 of the Spending Review period where, excluding council tax and the funding assigned to cover the costs of adult social care reform, funding will decrease in real terms by 1% in both years</w:t>
      </w:r>
      <w:r w:rsidR="00F96BDC">
        <w:rPr>
          <w:rFonts w:ascii="Arial" w:hAnsi="Arial"/>
        </w:rPr>
        <w:t>.</w:t>
      </w:r>
    </w:p>
    <w:p w14:paraId="4BB113C7" w14:textId="77777777" w:rsidR="00200EFE" w:rsidRPr="00982F18" w:rsidRDefault="00200EFE" w:rsidP="00200EFE">
      <w:pPr>
        <w:pStyle w:val="NumBullet1"/>
        <w:numPr>
          <w:ilvl w:val="0"/>
          <w:numId w:val="0"/>
        </w:numPr>
        <w:spacing w:after="0"/>
        <w:ind w:left="482"/>
        <w:rPr>
          <w:rFonts w:ascii="Arial" w:hAnsi="Arial"/>
        </w:rPr>
      </w:pPr>
    </w:p>
    <w:p w14:paraId="64F70F77" w14:textId="01798262" w:rsidR="003B68F2" w:rsidRPr="002709AD" w:rsidRDefault="00F367A7" w:rsidP="00115CE4">
      <w:pPr>
        <w:pStyle w:val="NumBullet1"/>
        <w:spacing w:after="80"/>
        <w:rPr>
          <w:rFonts w:ascii="Arial" w:hAnsi="Arial"/>
        </w:rPr>
      </w:pPr>
      <w:r w:rsidRPr="002709AD">
        <w:rPr>
          <w:rFonts w:ascii="Arial" w:hAnsi="Arial"/>
        </w:rPr>
        <w:t>This response firstly sets out London Councils’ general comments about the proposals within the consultation</w:t>
      </w:r>
      <w:r w:rsidR="00980006" w:rsidRPr="002709AD">
        <w:rPr>
          <w:rFonts w:ascii="Arial" w:hAnsi="Arial"/>
        </w:rPr>
        <w:t>,</w:t>
      </w:r>
      <w:r w:rsidRPr="002709AD">
        <w:rPr>
          <w:rFonts w:ascii="Arial" w:hAnsi="Arial"/>
        </w:rPr>
        <w:t xml:space="preserve"> before providing more detailed responses to the specific questions posed within it.</w:t>
      </w:r>
      <w:r w:rsidR="00CB1029" w:rsidRPr="002709AD">
        <w:rPr>
          <w:rFonts w:ascii="Arial" w:hAnsi="Arial"/>
        </w:rPr>
        <w:t xml:space="preserve"> </w:t>
      </w:r>
      <w:r w:rsidR="008D3CC1">
        <w:rPr>
          <w:rFonts w:ascii="Arial" w:hAnsi="Arial"/>
        </w:rPr>
        <w:t>In summary, the main issues raised include:</w:t>
      </w:r>
    </w:p>
    <w:p w14:paraId="55395378" w14:textId="4B8E38E0" w:rsidR="0098021C" w:rsidRPr="00A52215" w:rsidRDefault="00200EFE" w:rsidP="00115CE4">
      <w:pPr>
        <w:pStyle w:val="Bullet3"/>
        <w:tabs>
          <w:tab w:val="clear" w:pos="1741"/>
          <w:tab w:val="num" w:pos="1418"/>
        </w:tabs>
        <w:spacing w:after="80"/>
        <w:ind w:left="1134" w:hanging="340"/>
        <w:rPr>
          <w:rFonts w:ascii="Arial" w:hAnsi="Arial"/>
        </w:rPr>
      </w:pPr>
      <w:r>
        <w:rPr>
          <w:rFonts w:ascii="Arial" w:hAnsi="Arial"/>
        </w:rPr>
        <w:t>t</w:t>
      </w:r>
      <w:r w:rsidR="00A52215">
        <w:rPr>
          <w:rFonts w:ascii="Arial" w:hAnsi="Arial"/>
        </w:rPr>
        <w:t xml:space="preserve">he </w:t>
      </w:r>
      <w:r w:rsidR="0098021C" w:rsidRPr="00D54944">
        <w:rPr>
          <w:rFonts w:ascii="Arial" w:hAnsi="Arial"/>
        </w:rPr>
        <w:t xml:space="preserve">financial </w:t>
      </w:r>
      <w:r w:rsidR="00A52215">
        <w:rPr>
          <w:rFonts w:ascii="Arial" w:hAnsi="Arial"/>
        </w:rPr>
        <w:t xml:space="preserve">challenge </w:t>
      </w:r>
      <w:r w:rsidR="0098021C" w:rsidRPr="00A52215">
        <w:rPr>
          <w:rFonts w:ascii="Arial" w:hAnsi="Arial"/>
        </w:rPr>
        <w:t xml:space="preserve">facing London </w:t>
      </w:r>
      <w:proofErr w:type="gramStart"/>
      <w:r w:rsidR="0098021C" w:rsidRPr="00A52215">
        <w:rPr>
          <w:rFonts w:ascii="Arial" w:hAnsi="Arial"/>
        </w:rPr>
        <w:t>boroughs</w:t>
      </w:r>
      <w:r>
        <w:rPr>
          <w:rFonts w:ascii="Arial" w:hAnsi="Arial"/>
        </w:rPr>
        <w:t>;</w:t>
      </w:r>
      <w:proofErr w:type="gramEnd"/>
    </w:p>
    <w:p w14:paraId="72460C37" w14:textId="499BCECD" w:rsidR="0098021C" w:rsidRDefault="00200EFE" w:rsidP="00115CE4">
      <w:pPr>
        <w:pStyle w:val="Bullet3"/>
        <w:tabs>
          <w:tab w:val="clear" w:pos="1741"/>
          <w:tab w:val="num" w:pos="1418"/>
        </w:tabs>
        <w:spacing w:after="80"/>
        <w:ind w:left="1134" w:hanging="340"/>
        <w:rPr>
          <w:rFonts w:ascii="Arial" w:hAnsi="Arial"/>
        </w:rPr>
      </w:pPr>
      <w:r>
        <w:rPr>
          <w:rFonts w:ascii="Arial" w:hAnsi="Arial"/>
        </w:rPr>
        <w:t>t</w:t>
      </w:r>
      <w:r w:rsidR="00A52215">
        <w:rPr>
          <w:rFonts w:ascii="Arial" w:hAnsi="Arial"/>
        </w:rPr>
        <w:t xml:space="preserve">he need for greater funding </w:t>
      </w:r>
      <w:proofErr w:type="gramStart"/>
      <w:r w:rsidR="00A52215">
        <w:rPr>
          <w:rFonts w:ascii="Arial" w:hAnsi="Arial"/>
        </w:rPr>
        <w:t>certainty</w:t>
      </w:r>
      <w:r>
        <w:rPr>
          <w:rFonts w:ascii="Arial" w:hAnsi="Arial"/>
        </w:rPr>
        <w:t>;</w:t>
      </w:r>
      <w:proofErr w:type="gramEnd"/>
    </w:p>
    <w:p w14:paraId="60932CF3" w14:textId="651CCC6F" w:rsidR="004F5B7D" w:rsidRPr="00D54944" w:rsidRDefault="00200EFE" w:rsidP="00115CE4">
      <w:pPr>
        <w:pStyle w:val="Bullet3"/>
        <w:tabs>
          <w:tab w:val="clear" w:pos="1741"/>
          <w:tab w:val="num" w:pos="1418"/>
        </w:tabs>
        <w:spacing w:after="80"/>
        <w:ind w:left="1134" w:hanging="340"/>
        <w:rPr>
          <w:rFonts w:ascii="Arial" w:hAnsi="Arial"/>
        </w:rPr>
      </w:pPr>
      <w:r>
        <w:rPr>
          <w:rFonts w:ascii="Arial" w:hAnsi="Arial"/>
        </w:rPr>
        <w:t>t</w:t>
      </w:r>
      <w:r w:rsidR="00A52215">
        <w:rPr>
          <w:rFonts w:ascii="Arial" w:hAnsi="Arial"/>
        </w:rPr>
        <w:t xml:space="preserve">he need for more </w:t>
      </w:r>
      <w:r w:rsidR="004F5B7D">
        <w:rPr>
          <w:rFonts w:ascii="Arial" w:hAnsi="Arial"/>
        </w:rPr>
        <w:t xml:space="preserve">transparency </w:t>
      </w:r>
      <w:r w:rsidR="00A52215">
        <w:rPr>
          <w:rFonts w:ascii="Arial" w:hAnsi="Arial"/>
        </w:rPr>
        <w:t xml:space="preserve">in </w:t>
      </w:r>
      <w:r w:rsidR="004F5B7D">
        <w:rPr>
          <w:rFonts w:ascii="Arial" w:hAnsi="Arial"/>
        </w:rPr>
        <w:t xml:space="preserve">local government </w:t>
      </w:r>
      <w:proofErr w:type="gramStart"/>
      <w:r w:rsidR="004F5B7D">
        <w:rPr>
          <w:rFonts w:ascii="Arial" w:hAnsi="Arial"/>
        </w:rPr>
        <w:t>funding</w:t>
      </w:r>
      <w:r>
        <w:rPr>
          <w:rFonts w:ascii="Arial" w:hAnsi="Arial"/>
        </w:rPr>
        <w:t>;</w:t>
      </w:r>
      <w:proofErr w:type="gramEnd"/>
    </w:p>
    <w:p w14:paraId="3392BD54" w14:textId="429C11D1" w:rsidR="00637B6B" w:rsidRPr="00D54944" w:rsidRDefault="00920FAA" w:rsidP="00115CE4">
      <w:pPr>
        <w:pStyle w:val="Bullet3"/>
        <w:tabs>
          <w:tab w:val="clear" w:pos="1741"/>
          <w:tab w:val="num" w:pos="1418"/>
        </w:tabs>
        <w:spacing w:after="80"/>
        <w:ind w:left="1134" w:hanging="340"/>
        <w:rPr>
          <w:rFonts w:ascii="Arial" w:hAnsi="Arial"/>
        </w:rPr>
      </w:pPr>
      <w:r w:rsidRPr="00D54944">
        <w:rPr>
          <w:rFonts w:ascii="Arial" w:hAnsi="Arial"/>
        </w:rPr>
        <w:t xml:space="preserve">the </w:t>
      </w:r>
      <w:r w:rsidR="008D3CC1">
        <w:rPr>
          <w:rFonts w:ascii="Arial" w:hAnsi="Arial"/>
        </w:rPr>
        <w:t xml:space="preserve">continued </w:t>
      </w:r>
      <w:r w:rsidR="00494483" w:rsidRPr="00D54944">
        <w:rPr>
          <w:rFonts w:ascii="Arial" w:hAnsi="Arial"/>
        </w:rPr>
        <w:t xml:space="preserve">hypothecation of council </w:t>
      </w:r>
      <w:proofErr w:type="gramStart"/>
      <w:r w:rsidR="00494483" w:rsidRPr="00D54944">
        <w:rPr>
          <w:rFonts w:ascii="Arial" w:hAnsi="Arial"/>
        </w:rPr>
        <w:t>tax</w:t>
      </w:r>
      <w:r w:rsidR="00200EFE">
        <w:rPr>
          <w:rFonts w:ascii="Arial" w:hAnsi="Arial"/>
        </w:rPr>
        <w:t>;</w:t>
      </w:r>
      <w:proofErr w:type="gramEnd"/>
    </w:p>
    <w:p w14:paraId="7B31B821" w14:textId="4E8863A8" w:rsidR="002E573A" w:rsidRPr="00D54944" w:rsidRDefault="00200EFE" w:rsidP="00115CE4">
      <w:pPr>
        <w:pStyle w:val="Bullet3"/>
        <w:tabs>
          <w:tab w:val="clear" w:pos="1741"/>
          <w:tab w:val="num" w:pos="1418"/>
        </w:tabs>
        <w:spacing w:after="80"/>
        <w:ind w:left="1134" w:hanging="340"/>
        <w:rPr>
          <w:rFonts w:ascii="Arial" w:hAnsi="Arial"/>
        </w:rPr>
      </w:pPr>
      <w:r>
        <w:rPr>
          <w:rFonts w:ascii="Arial" w:hAnsi="Arial"/>
        </w:rPr>
        <w:t>t</w:t>
      </w:r>
      <w:r w:rsidR="00A52215">
        <w:rPr>
          <w:rFonts w:ascii="Arial" w:hAnsi="Arial"/>
        </w:rPr>
        <w:t xml:space="preserve">he growing financial risks relating to social care </w:t>
      </w:r>
      <w:proofErr w:type="gramStart"/>
      <w:r w:rsidR="0098021C" w:rsidRPr="00D54944">
        <w:rPr>
          <w:rFonts w:ascii="Arial" w:hAnsi="Arial"/>
        </w:rPr>
        <w:t>funding</w:t>
      </w:r>
      <w:r>
        <w:rPr>
          <w:rFonts w:ascii="Arial" w:hAnsi="Arial"/>
        </w:rPr>
        <w:t>;</w:t>
      </w:r>
      <w:proofErr w:type="gramEnd"/>
      <w:r w:rsidR="002E573A" w:rsidRPr="00D54944">
        <w:rPr>
          <w:rFonts w:ascii="Arial" w:hAnsi="Arial"/>
        </w:rPr>
        <w:t xml:space="preserve"> </w:t>
      </w:r>
    </w:p>
    <w:p w14:paraId="528D5525" w14:textId="5D27F93F" w:rsidR="003A47F0" w:rsidRPr="00D54944" w:rsidRDefault="00200EFE" w:rsidP="00115CE4">
      <w:pPr>
        <w:pStyle w:val="Bullet3"/>
        <w:tabs>
          <w:tab w:val="clear" w:pos="1741"/>
          <w:tab w:val="num" w:pos="1418"/>
        </w:tabs>
        <w:spacing w:after="80"/>
        <w:ind w:left="1134" w:hanging="340"/>
        <w:rPr>
          <w:rFonts w:ascii="Arial" w:hAnsi="Arial"/>
        </w:rPr>
      </w:pPr>
      <w:r>
        <w:rPr>
          <w:rFonts w:ascii="Arial" w:hAnsi="Arial"/>
        </w:rPr>
        <w:t>t</w:t>
      </w:r>
      <w:r w:rsidR="00A52215">
        <w:rPr>
          <w:rFonts w:ascii="Arial" w:hAnsi="Arial"/>
        </w:rPr>
        <w:t xml:space="preserve">he need for </w:t>
      </w:r>
      <w:r w:rsidR="003A47F0" w:rsidRPr="00D54944">
        <w:rPr>
          <w:rFonts w:ascii="Arial" w:hAnsi="Arial"/>
        </w:rPr>
        <w:t>certainty over the</w:t>
      </w:r>
      <w:r w:rsidR="00494483" w:rsidRPr="00D54944">
        <w:rPr>
          <w:rFonts w:ascii="Arial" w:hAnsi="Arial"/>
        </w:rPr>
        <w:t xml:space="preserve"> future of the New Homes </w:t>
      </w:r>
      <w:proofErr w:type="gramStart"/>
      <w:r w:rsidR="00494483" w:rsidRPr="00D54944">
        <w:rPr>
          <w:rFonts w:ascii="Arial" w:hAnsi="Arial"/>
        </w:rPr>
        <w:t>Bonus</w:t>
      </w:r>
      <w:r>
        <w:rPr>
          <w:rFonts w:ascii="Arial" w:hAnsi="Arial"/>
        </w:rPr>
        <w:t>;</w:t>
      </w:r>
      <w:proofErr w:type="gramEnd"/>
    </w:p>
    <w:p w14:paraId="4A4FCF15" w14:textId="5DB9DA8C" w:rsidR="00EA6EBA" w:rsidRPr="00D54944" w:rsidRDefault="008D3CC1" w:rsidP="00115CE4">
      <w:pPr>
        <w:pStyle w:val="Bullet3"/>
        <w:tabs>
          <w:tab w:val="clear" w:pos="1741"/>
          <w:tab w:val="num" w:pos="1418"/>
        </w:tabs>
        <w:spacing w:after="80"/>
        <w:ind w:left="1134" w:hanging="340"/>
        <w:rPr>
          <w:rFonts w:ascii="Arial" w:hAnsi="Arial"/>
        </w:rPr>
      </w:pPr>
      <w:bookmarkStart w:id="1" w:name="_Hlk22733199"/>
      <w:r>
        <w:rPr>
          <w:rFonts w:ascii="Arial" w:hAnsi="Arial"/>
        </w:rPr>
        <w:t>the</w:t>
      </w:r>
      <w:r w:rsidR="0098021C" w:rsidRPr="00D54944">
        <w:rPr>
          <w:rFonts w:ascii="Arial" w:hAnsi="Arial"/>
        </w:rPr>
        <w:t xml:space="preserve"> disparity in approaches to funding for rural and urban </w:t>
      </w:r>
      <w:proofErr w:type="gramStart"/>
      <w:r w:rsidR="0098021C" w:rsidRPr="00D54944">
        <w:rPr>
          <w:rFonts w:ascii="Arial" w:hAnsi="Arial"/>
        </w:rPr>
        <w:t>areas</w:t>
      </w:r>
      <w:bookmarkEnd w:id="1"/>
      <w:r w:rsidR="00200EFE">
        <w:rPr>
          <w:rFonts w:ascii="Arial" w:hAnsi="Arial"/>
        </w:rPr>
        <w:t>;</w:t>
      </w:r>
      <w:proofErr w:type="gramEnd"/>
      <w:r w:rsidR="00806C0F" w:rsidRPr="00D54944">
        <w:rPr>
          <w:rFonts w:ascii="Arial" w:hAnsi="Arial"/>
        </w:rPr>
        <w:t xml:space="preserve"> </w:t>
      </w:r>
    </w:p>
    <w:p w14:paraId="6D601F80" w14:textId="3EDDD4B1" w:rsidR="003F1F39" w:rsidRPr="00D54944" w:rsidRDefault="00200EFE" w:rsidP="00115CE4">
      <w:pPr>
        <w:pStyle w:val="Bullet3"/>
        <w:tabs>
          <w:tab w:val="clear" w:pos="1741"/>
          <w:tab w:val="num" w:pos="1418"/>
        </w:tabs>
        <w:spacing w:after="80"/>
        <w:ind w:left="1134" w:hanging="340"/>
        <w:rPr>
          <w:rFonts w:ascii="Arial" w:hAnsi="Arial"/>
        </w:rPr>
      </w:pPr>
      <w:r>
        <w:rPr>
          <w:rFonts w:ascii="Arial" w:hAnsi="Arial"/>
        </w:rPr>
        <w:t>th</w:t>
      </w:r>
      <w:r w:rsidR="00A52215">
        <w:rPr>
          <w:rFonts w:ascii="Arial" w:hAnsi="Arial"/>
        </w:rPr>
        <w:t xml:space="preserve">e need for certainty around other </w:t>
      </w:r>
      <w:r w:rsidR="00EA31A5" w:rsidRPr="00D54944">
        <w:rPr>
          <w:rFonts w:ascii="Arial" w:hAnsi="Arial"/>
        </w:rPr>
        <w:t xml:space="preserve">grants outside the settlement; </w:t>
      </w:r>
      <w:r w:rsidR="00D54944" w:rsidRPr="00D54944">
        <w:rPr>
          <w:rFonts w:ascii="Arial" w:hAnsi="Arial"/>
        </w:rPr>
        <w:t>and</w:t>
      </w:r>
    </w:p>
    <w:p w14:paraId="3065CF2F" w14:textId="2CB3637E" w:rsidR="005653D7" w:rsidRPr="00D54944" w:rsidRDefault="00200EFE" w:rsidP="00115CE4">
      <w:pPr>
        <w:pStyle w:val="Bullet3"/>
        <w:tabs>
          <w:tab w:val="clear" w:pos="1741"/>
          <w:tab w:val="num" w:pos="1418"/>
        </w:tabs>
        <w:spacing w:after="80"/>
        <w:ind w:left="1134" w:hanging="340"/>
        <w:rPr>
          <w:rFonts w:ascii="Arial" w:hAnsi="Arial"/>
        </w:rPr>
      </w:pPr>
      <w:r>
        <w:rPr>
          <w:rFonts w:ascii="Arial" w:hAnsi="Arial"/>
        </w:rPr>
        <w:t>o</w:t>
      </w:r>
      <w:r w:rsidR="00A52215">
        <w:rPr>
          <w:rFonts w:ascii="Arial" w:hAnsi="Arial"/>
        </w:rPr>
        <w:t>ur pr</w:t>
      </w:r>
      <w:r w:rsidR="00EE01EC">
        <w:rPr>
          <w:rFonts w:ascii="Arial" w:hAnsi="Arial"/>
        </w:rPr>
        <w:t xml:space="preserve">iorities </w:t>
      </w:r>
      <w:r w:rsidR="00A52215">
        <w:rPr>
          <w:rFonts w:ascii="Arial" w:hAnsi="Arial"/>
        </w:rPr>
        <w:t xml:space="preserve">for </w:t>
      </w:r>
      <w:r w:rsidR="00EE01EC">
        <w:rPr>
          <w:rFonts w:ascii="Arial" w:hAnsi="Arial"/>
        </w:rPr>
        <w:t xml:space="preserve">updating the </w:t>
      </w:r>
      <w:r w:rsidR="003F1F39" w:rsidRPr="00D54944">
        <w:rPr>
          <w:rFonts w:ascii="Arial" w:hAnsi="Arial"/>
        </w:rPr>
        <w:t xml:space="preserve">local government finance system. </w:t>
      </w:r>
    </w:p>
    <w:p w14:paraId="0613621B" w14:textId="6F47FD67" w:rsidR="00FF39F9" w:rsidRPr="00494A2D" w:rsidRDefault="00507ED6" w:rsidP="00F95F9F">
      <w:pPr>
        <w:pStyle w:val="Heading1"/>
        <w:spacing w:before="100" w:beforeAutospacing="1" w:after="100" w:afterAutospacing="1" w:line="276" w:lineRule="auto"/>
        <w:rPr>
          <w:rFonts w:ascii="Arial" w:hAnsi="Arial"/>
        </w:rPr>
      </w:pPr>
      <w:r w:rsidRPr="00494A2D">
        <w:rPr>
          <w:rFonts w:ascii="Arial" w:hAnsi="Arial"/>
        </w:rPr>
        <w:lastRenderedPageBreak/>
        <w:t xml:space="preserve">General </w:t>
      </w:r>
      <w:r w:rsidR="00D06089" w:rsidRPr="00494A2D">
        <w:rPr>
          <w:rFonts w:ascii="Arial" w:hAnsi="Arial"/>
        </w:rPr>
        <w:t>co</w:t>
      </w:r>
      <w:r w:rsidR="00E86679" w:rsidRPr="00494A2D">
        <w:rPr>
          <w:rFonts w:ascii="Arial" w:hAnsi="Arial"/>
        </w:rPr>
        <w:t xml:space="preserve">mments </w:t>
      </w:r>
    </w:p>
    <w:p w14:paraId="30A74D26" w14:textId="60F2F0F7" w:rsidR="008D3A27" w:rsidRPr="00A15249" w:rsidRDefault="008D3A27" w:rsidP="00F95F9F">
      <w:pPr>
        <w:pStyle w:val="Heading2"/>
        <w:spacing w:before="100" w:beforeAutospacing="1" w:after="100" w:afterAutospacing="1" w:line="276" w:lineRule="auto"/>
        <w:rPr>
          <w:rFonts w:ascii="Arial" w:eastAsia="Calibri" w:hAnsi="Arial"/>
          <w:bCs/>
          <w:color w:val="000000"/>
        </w:rPr>
      </w:pPr>
      <w:r w:rsidRPr="00A15249">
        <w:rPr>
          <w:rFonts w:ascii="Arial" w:eastAsia="Calibri" w:hAnsi="Arial"/>
          <w:bCs/>
          <w:color w:val="000000"/>
        </w:rPr>
        <w:t xml:space="preserve">The financial </w:t>
      </w:r>
      <w:r w:rsidR="00CB4ACF">
        <w:rPr>
          <w:rFonts w:ascii="Arial" w:eastAsia="Calibri" w:hAnsi="Arial"/>
          <w:bCs/>
          <w:color w:val="000000"/>
        </w:rPr>
        <w:t>challenge facing</w:t>
      </w:r>
      <w:r w:rsidRPr="00A15249">
        <w:rPr>
          <w:rFonts w:ascii="Arial" w:eastAsia="Calibri" w:hAnsi="Arial"/>
          <w:bCs/>
          <w:color w:val="000000"/>
        </w:rPr>
        <w:t xml:space="preserve"> </w:t>
      </w:r>
      <w:r w:rsidR="009C46B2" w:rsidRPr="00A15249">
        <w:rPr>
          <w:rFonts w:ascii="Arial" w:eastAsia="Calibri" w:hAnsi="Arial"/>
          <w:bCs/>
          <w:color w:val="000000"/>
        </w:rPr>
        <w:t>London boroughs</w:t>
      </w:r>
    </w:p>
    <w:p w14:paraId="1083CA68" w14:textId="166F9264" w:rsidR="00CA1723" w:rsidRPr="00CA1723" w:rsidRDefault="00CA1723" w:rsidP="00CA1723">
      <w:pPr>
        <w:pStyle w:val="NumBullet1"/>
      </w:pPr>
      <w:r>
        <w:t>London boroughs’ o</w:t>
      </w:r>
      <w:r w:rsidRPr="00CA1723">
        <w:t xml:space="preserve">verall </w:t>
      </w:r>
      <w:r w:rsidR="006217D9">
        <w:t xml:space="preserve">resources have reduced by more than </w:t>
      </w:r>
      <w:r w:rsidRPr="00CA1723">
        <w:t xml:space="preserve">a fifth </w:t>
      </w:r>
      <w:r w:rsidR="006217D9">
        <w:t xml:space="preserve">since </w:t>
      </w:r>
      <w:r w:rsidRPr="00CA1723">
        <w:t>2010-11</w:t>
      </w:r>
      <w:r>
        <w:t xml:space="preserve"> in real terms</w:t>
      </w:r>
      <w:r w:rsidRPr="00CA1723">
        <w:t>. This is on top of a cumulative increase in pressures generated by councils delivering an increasing number of services to an increasing number of people</w:t>
      </w:r>
      <w:bookmarkStart w:id="2" w:name="_Hlk91252035"/>
      <w:r w:rsidRPr="00CA1723">
        <w:t>. In London, there are a million more people using local services than in 2010</w:t>
      </w:r>
      <w:bookmarkEnd w:id="2"/>
      <w:r w:rsidRPr="00CA1723">
        <w:t xml:space="preserve">. </w:t>
      </w:r>
    </w:p>
    <w:p w14:paraId="09D9CEA7" w14:textId="52155D19" w:rsidR="005B7742" w:rsidRDefault="00CA1723" w:rsidP="0088375F">
      <w:pPr>
        <w:pStyle w:val="NumBullet1"/>
        <w:spacing w:after="0"/>
        <w:rPr>
          <w:rFonts w:ascii="Arial" w:hAnsi="Arial"/>
        </w:rPr>
      </w:pPr>
      <w:r>
        <w:rPr>
          <w:rFonts w:ascii="Arial" w:hAnsi="Arial"/>
        </w:rPr>
        <w:t>Within this context, t</w:t>
      </w:r>
      <w:r w:rsidR="00262FD4" w:rsidRPr="005941DC">
        <w:rPr>
          <w:rFonts w:ascii="Arial" w:hAnsi="Arial"/>
        </w:rPr>
        <w:t xml:space="preserve">he </w:t>
      </w:r>
      <w:r w:rsidR="00CB4ACF" w:rsidRPr="005941DC">
        <w:rPr>
          <w:rFonts w:ascii="Arial" w:hAnsi="Arial"/>
        </w:rPr>
        <w:t>3.9</w:t>
      </w:r>
      <w:r w:rsidR="0024586A" w:rsidRPr="005941DC">
        <w:rPr>
          <w:rFonts w:ascii="Arial" w:hAnsi="Arial"/>
        </w:rPr>
        <w:t xml:space="preserve">% </w:t>
      </w:r>
      <w:r w:rsidR="00CB4ACF" w:rsidRPr="005941DC">
        <w:rPr>
          <w:rFonts w:ascii="Arial" w:hAnsi="Arial"/>
        </w:rPr>
        <w:t xml:space="preserve">real terms </w:t>
      </w:r>
      <w:r w:rsidR="00262FD4" w:rsidRPr="005941DC">
        <w:rPr>
          <w:rFonts w:ascii="Arial" w:hAnsi="Arial"/>
        </w:rPr>
        <w:t xml:space="preserve">increase in </w:t>
      </w:r>
      <w:r w:rsidR="004F5B7D" w:rsidRPr="005941DC">
        <w:rPr>
          <w:rFonts w:ascii="Arial" w:hAnsi="Arial"/>
        </w:rPr>
        <w:t>C</w:t>
      </w:r>
      <w:r w:rsidR="00262FD4" w:rsidRPr="005941DC">
        <w:rPr>
          <w:rFonts w:ascii="Arial" w:hAnsi="Arial"/>
        </w:rPr>
        <w:t xml:space="preserve">ore </w:t>
      </w:r>
      <w:r w:rsidR="004F5B7D" w:rsidRPr="005941DC">
        <w:rPr>
          <w:rFonts w:ascii="Arial" w:hAnsi="Arial"/>
        </w:rPr>
        <w:t>S</w:t>
      </w:r>
      <w:r w:rsidR="00262FD4" w:rsidRPr="005941DC">
        <w:rPr>
          <w:rFonts w:ascii="Arial" w:hAnsi="Arial"/>
        </w:rPr>
        <w:t xml:space="preserve">pending </w:t>
      </w:r>
      <w:r w:rsidR="004F5B7D" w:rsidRPr="005941DC">
        <w:rPr>
          <w:rFonts w:ascii="Arial" w:hAnsi="Arial"/>
        </w:rPr>
        <w:t>P</w:t>
      </w:r>
      <w:r w:rsidR="00262FD4" w:rsidRPr="005941DC">
        <w:rPr>
          <w:rFonts w:ascii="Arial" w:hAnsi="Arial"/>
        </w:rPr>
        <w:t xml:space="preserve">ower </w:t>
      </w:r>
      <w:r w:rsidR="004F5B7D" w:rsidRPr="005941DC">
        <w:rPr>
          <w:rFonts w:ascii="Arial" w:hAnsi="Arial"/>
        </w:rPr>
        <w:t xml:space="preserve">(CSP) </w:t>
      </w:r>
      <w:r w:rsidR="0024586A" w:rsidRPr="005941DC">
        <w:rPr>
          <w:rFonts w:ascii="Arial" w:hAnsi="Arial"/>
        </w:rPr>
        <w:t xml:space="preserve">for London boroughs </w:t>
      </w:r>
      <w:r w:rsidR="00123084">
        <w:rPr>
          <w:rFonts w:ascii="Arial" w:hAnsi="Arial"/>
        </w:rPr>
        <w:t xml:space="preserve">in 2022-23 </w:t>
      </w:r>
      <w:r w:rsidR="00262FD4" w:rsidRPr="005941DC">
        <w:rPr>
          <w:rFonts w:ascii="Arial" w:hAnsi="Arial"/>
        </w:rPr>
        <w:t xml:space="preserve">is </w:t>
      </w:r>
      <w:r>
        <w:rPr>
          <w:rFonts w:ascii="Arial" w:hAnsi="Arial"/>
        </w:rPr>
        <w:t xml:space="preserve">very </w:t>
      </w:r>
      <w:r w:rsidR="00262FD4" w:rsidRPr="005941DC">
        <w:rPr>
          <w:rFonts w:ascii="Arial" w:hAnsi="Arial"/>
        </w:rPr>
        <w:t>welcome</w:t>
      </w:r>
      <w:r w:rsidR="00123084">
        <w:rPr>
          <w:rFonts w:ascii="Arial" w:hAnsi="Arial"/>
        </w:rPr>
        <w:t xml:space="preserve">. </w:t>
      </w:r>
      <w:r w:rsidR="005B7742" w:rsidRPr="005941DC">
        <w:rPr>
          <w:rFonts w:ascii="Arial" w:hAnsi="Arial"/>
        </w:rPr>
        <w:t>Excluding the funding to help deliver the “fair cost of care” element of the adult social care funding reforms, which will not address underlying demand pressures, the real terms increase to the remainder of CSP is 3.5%</w:t>
      </w:r>
      <w:r w:rsidR="00DF1006">
        <w:rPr>
          <w:rFonts w:ascii="Arial" w:hAnsi="Arial"/>
        </w:rPr>
        <w:t xml:space="preserve"> (assuming all councils raise council tax by the maximum)</w:t>
      </w:r>
      <w:r w:rsidR="005B7742" w:rsidRPr="005941DC">
        <w:rPr>
          <w:rFonts w:ascii="Arial" w:hAnsi="Arial"/>
        </w:rPr>
        <w:t>. This delivers around £470m of extra funding to London boroughs next year.</w:t>
      </w:r>
    </w:p>
    <w:p w14:paraId="51D6D243" w14:textId="77777777" w:rsidR="005941DC" w:rsidRPr="005941DC" w:rsidRDefault="005941DC" w:rsidP="005941DC">
      <w:pPr>
        <w:pStyle w:val="NumBullet1"/>
        <w:numPr>
          <w:ilvl w:val="0"/>
          <w:numId w:val="0"/>
        </w:numPr>
        <w:spacing w:after="0"/>
        <w:ind w:left="482"/>
        <w:rPr>
          <w:rFonts w:ascii="Arial" w:hAnsi="Arial"/>
        </w:rPr>
      </w:pPr>
    </w:p>
    <w:p w14:paraId="6B066887" w14:textId="0ED1C75E" w:rsidR="00AA1BB7" w:rsidRPr="00AA1BB7" w:rsidRDefault="006217D9" w:rsidP="00AA1BB7">
      <w:pPr>
        <w:pStyle w:val="NumBullet1"/>
        <w:rPr>
          <w:rFonts w:ascii="Arial" w:hAnsi="Arial"/>
        </w:rPr>
      </w:pPr>
      <w:r w:rsidRPr="006217D9">
        <w:rPr>
          <w:rFonts w:ascii="Arial" w:hAnsi="Arial"/>
        </w:rPr>
        <w:t>However, w</w:t>
      </w:r>
      <w:r w:rsidR="005B7742" w:rsidRPr="006217D9">
        <w:rPr>
          <w:rFonts w:ascii="Arial" w:hAnsi="Arial"/>
        </w:rPr>
        <w:t xml:space="preserve">hile </w:t>
      </w:r>
      <w:r w:rsidRPr="006217D9">
        <w:rPr>
          <w:rFonts w:ascii="Arial" w:hAnsi="Arial"/>
        </w:rPr>
        <w:t xml:space="preserve">very </w:t>
      </w:r>
      <w:r w:rsidR="005B7742" w:rsidRPr="006217D9">
        <w:rPr>
          <w:rFonts w:ascii="Arial" w:hAnsi="Arial"/>
        </w:rPr>
        <w:t>welcome</w:t>
      </w:r>
      <w:r w:rsidR="00123084" w:rsidRPr="006217D9">
        <w:rPr>
          <w:rFonts w:ascii="Arial" w:hAnsi="Arial"/>
        </w:rPr>
        <w:t xml:space="preserve">, </w:t>
      </w:r>
      <w:r w:rsidR="005941DC" w:rsidRPr="006217D9">
        <w:rPr>
          <w:rFonts w:ascii="Arial" w:hAnsi="Arial"/>
        </w:rPr>
        <w:t xml:space="preserve">this </w:t>
      </w:r>
      <w:r w:rsidRPr="006217D9">
        <w:rPr>
          <w:rFonts w:ascii="Arial" w:hAnsi="Arial"/>
        </w:rPr>
        <w:t xml:space="preserve">will not </w:t>
      </w:r>
      <w:r w:rsidR="005B7742" w:rsidRPr="006217D9">
        <w:rPr>
          <w:rFonts w:ascii="Arial" w:hAnsi="Arial"/>
        </w:rPr>
        <w:t xml:space="preserve">be sufficient to meet the significant challenges </w:t>
      </w:r>
      <w:r w:rsidRPr="006217D9">
        <w:rPr>
          <w:rFonts w:ascii="Arial" w:hAnsi="Arial"/>
        </w:rPr>
        <w:t>facing London local government.</w:t>
      </w:r>
      <w:r w:rsidR="005B7742" w:rsidRPr="006217D9">
        <w:rPr>
          <w:rFonts w:ascii="Arial" w:hAnsi="Arial"/>
        </w:rPr>
        <w:t xml:space="preserve"> </w:t>
      </w:r>
      <w:r>
        <w:rPr>
          <w:rFonts w:ascii="Arial" w:hAnsi="Arial"/>
        </w:rPr>
        <w:t>L</w:t>
      </w:r>
      <w:r w:rsidRPr="006217D9">
        <w:rPr>
          <w:rFonts w:ascii="Arial" w:hAnsi="Arial"/>
        </w:rPr>
        <w:t>ondon b</w:t>
      </w:r>
      <w:r w:rsidR="005B7742" w:rsidRPr="006217D9">
        <w:rPr>
          <w:rFonts w:ascii="Arial" w:hAnsi="Arial"/>
        </w:rPr>
        <w:t>oroughs already fac</w:t>
      </w:r>
      <w:r w:rsidRPr="006217D9">
        <w:rPr>
          <w:rFonts w:ascii="Arial" w:hAnsi="Arial"/>
        </w:rPr>
        <w:t>ed</w:t>
      </w:r>
      <w:r w:rsidR="005B7742" w:rsidRPr="006217D9">
        <w:rPr>
          <w:rFonts w:ascii="Arial" w:hAnsi="Arial"/>
        </w:rPr>
        <w:t xml:space="preserve"> underlying demand pressures of £400m per annum</w:t>
      </w:r>
      <w:r>
        <w:rPr>
          <w:rFonts w:ascii="Arial" w:hAnsi="Arial"/>
        </w:rPr>
        <w:t xml:space="preserve"> </w:t>
      </w:r>
      <w:r w:rsidR="005B7742" w:rsidRPr="006217D9">
        <w:rPr>
          <w:rFonts w:ascii="Arial" w:hAnsi="Arial"/>
        </w:rPr>
        <w:t xml:space="preserve">just to maintain services at </w:t>
      </w:r>
      <w:r w:rsidR="009246F4">
        <w:rPr>
          <w:rFonts w:ascii="Arial" w:hAnsi="Arial"/>
        </w:rPr>
        <w:t>pre-pandemic levels</w:t>
      </w:r>
      <w:r w:rsidR="005B7742" w:rsidRPr="006217D9">
        <w:rPr>
          <w:rFonts w:ascii="Arial" w:hAnsi="Arial"/>
        </w:rPr>
        <w:t xml:space="preserve">. </w:t>
      </w:r>
      <w:r w:rsidR="006D3515">
        <w:rPr>
          <w:rFonts w:ascii="Arial" w:hAnsi="Arial"/>
        </w:rPr>
        <w:t>T</w:t>
      </w:r>
      <w:r w:rsidR="005B7742" w:rsidRPr="006217D9">
        <w:rPr>
          <w:rFonts w:ascii="Arial" w:hAnsi="Arial"/>
        </w:rPr>
        <w:t>hey now face a much-changed environment</w:t>
      </w:r>
      <w:r w:rsidR="00C34DA7">
        <w:rPr>
          <w:rFonts w:ascii="Arial" w:hAnsi="Arial"/>
        </w:rPr>
        <w:t xml:space="preserve"> </w:t>
      </w:r>
      <w:r w:rsidR="005B7742" w:rsidRPr="006217D9">
        <w:rPr>
          <w:rFonts w:ascii="Arial" w:hAnsi="Arial"/>
        </w:rPr>
        <w:t>due to the pandemic</w:t>
      </w:r>
      <w:r>
        <w:rPr>
          <w:rFonts w:ascii="Arial" w:hAnsi="Arial"/>
        </w:rPr>
        <w:t xml:space="preserve"> and its wider economic and social consequences</w:t>
      </w:r>
      <w:r w:rsidR="00AA1BB7">
        <w:rPr>
          <w:rFonts w:ascii="Arial" w:hAnsi="Arial"/>
        </w:rPr>
        <w:t xml:space="preserve">, which </w:t>
      </w:r>
      <w:r w:rsidR="00802F3F">
        <w:rPr>
          <w:rFonts w:ascii="Arial" w:hAnsi="Arial"/>
        </w:rPr>
        <w:t xml:space="preserve">could add a further £500m of pressures, from income losses, additional spending and growing inflation, leaving </w:t>
      </w:r>
      <w:r w:rsidR="00AA1BB7">
        <w:rPr>
          <w:rFonts w:ascii="Arial" w:hAnsi="Arial"/>
        </w:rPr>
        <w:t>a</w:t>
      </w:r>
      <w:r w:rsidR="00747E98">
        <w:rPr>
          <w:rFonts w:ascii="Arial" w:hAnsi="Arial"/>
        </w:rPr>
        <w:t>n</w:t>
      </w:r>
      <w:r w:rsidR="00AA1BB7">
        <w:rPr>
          <w:rFonts w:ascii="Arial" w:hAnsi="Arial"/>
        </w:rPr>
        <w:t xml:space="preserve"> </w:t>
      </w:r>
      <w:r w:rsidR="00747E98">
        <w:rPr>
          <w:rFonts w:ascii="Arial" w:hAnsi="Arial"/>
        </w:rPr>
        <w:t>estimated gap o</w:t>
      </w:r>
      <w:r w:rsidR="00AA1BB7" w:rsidRPr="001F220C">
        <w:rPr>
          <w:rFonts w:ascii="Arial" w:hAnsi="Arial"/>
        </w:rPr>
        <w:t>f</w:t>
      </w:r>
      <w:r w:rsidR="00802F3F" w:rsidRPr="001F220C">
        <w:rPr>
          <w:rFonts w:ascii="Arial" w:hAnsi="Arial"/>
        </w:rPr>
        <w:t xml:space="preserve"> £400m</w:t>
      </w:r>
      <w:r w:rsidR="00802F3F" w:rsidRPr="00802F3F">
        <w:rPr>
          <w:rFonts w:ascii="Arial" w:hAnsi="Arial"/>
          <w:b/>
          <w:bCs/>
        </w:rPr>
        <w:t>.</w:t>
      </w:r>
      <w:r w:rsidR="00802F3F">
        <w:rPr>
          <w:rFonts w:ascii="Arial" w:hAnsi="Arial"/>
        </w:rPr>
        <w:t xml:space="preserve"> </w:t>
      </w:r>
    </w:p>
    <w:p w14:paraId="50816171" w14:textId="21A8AC29" w:rsidR="005B7742" w:rsidRPr="00166413" w:rsidRDefault="00284D52" w:rsidP="002A2C53">
      <w:pPr>
        <w:pStyle w:val="NumBullet1"/>
        <w:rPr>
          <w:rFonts w:ascii="Arial" w:hAnsi="Arial"/>
        </w:rPr>
      </w:pPr>
      <w:r>
        <w:t xml:space="preserve">Firstly, </w:t>
      </w:r>
      <w:r w:rsidR="00C34DA7">
        <w:t>they face</w:t>
      </w:r>
      <w:r w:rsidR="005B7742" w:rsidRPr="005B7742">
        <w:t xml:space="preserve"> substantial inflationary pressures. </w:t>
      </w:r>
      <w:r w:rsidR="003F3348">
        <w:t xml:space="preserve">The ONS reported </w:t>
      </w:r>
      <w:r w:rsidR="002101D5">
        <w:t xml:space="preserve">CPI of </w:t>
      </w:r>
      <w:r w:rsidR="003F3348" w:rsidRPr="003F3348">
        <w:t xml:space="preserve">5.1% </w:t>
      </w:r>
      <w:r w:rsidR="002101D5">
        <w:t xml:space="preserve">in December </w:t>
      </w:r>
      <w:r w:rsidR="007E0FBF">
        <w:t xml:space="preserve">and </w:t>
      </w:r>
      <w:r w:rsidR="006D3515">
        <w:t xml:space="preserve">the Governor of the </w:t>
      </w:r>
      <w:r w:rsidR="007E0FBF" w:rsidRPr="00166413">
        <w:rPr>
          <w:rFonts w:ascii="Arial" w:hAnsi="Arial"/>
        </w:rPr>
        <w:t xml:space="preserve">Bank of England </w:t>
      </w:r>
      <w:r w:rsidR="006D3515">
        <w:rPr>
          <w:rFonts w:ascii="Arial" w:hAnsi="Arial"/>
        </w:rPr>
        <w:t>h</w:t>
      </w:r>
      <w:r w:rsidR="007E0FBF" w:rsidRPr="00166413">
        <w:rPr>
          <w:rFonts w:ascii="Arial" w:hAnsi="Arial"/>
        </w:rPr>
        <w:t xml:space="preserve">as </w:t>
      </w:r>
      <w:r w:rsidR="002101D5">
        <w:rPr>
          <w:rFonts w:ascii="Arial" w:hAnsi="Arial"/>
        </w:rPr>
        <w:t>suggested it may reach</w:t>
      </w:r>
      <w:r w:rsidR="007E0FBF" w:rsidRPr="00166413">
        <w:rPr>
          <w:rFonts w:ascii="Arial" w:hAnsi="Arial"/>
        </w:rPr>
        <w:t xml:space="preserve"> 6% in the </w:t>
      </w:r>
      <w:r w:rsidR="00020F7B" w:rsidRPr="00166413">
        <w:rPr>
          <w:rFonts w:ascii="Arial" w:hAnsi="Arial"/>
        </w:rPr>
        <w:t xml:space="preserve">next </w:t>
      </w:r>
      <w:r w:rsidR="006D3515">
        <w:rPr>
          <w:rFonts w:ascii="Arial" w:hAnsi="Arial"/>
        </w:rPr>
        <w:t xml:space="preserve">few </w:t>
      </w:r>
      <w:r w:rsidR="00020F7B" w:rsidRPr="00166413">
        <w:rPr>
          <w:rFonts w:ascii="Arial" w:hAnsi="Arial"/>
        </w:rPr>
        <w:t>months</w:t>
      </w:r>
      <w:r w:rsidR="00020F7B">
        <w:rPr>
          <w:rStyle w:val="FootnoteReference"/>
        </w:rPr>
        <w:footnoteReference w:id="2"/>
      </w:r>
      <w:r w:rsidR="007E0FBF" w:rsidRPr="00166413">
        <w:rPr>
          <w:rFonts w:ascii="Arial" w:hAnsi="Arial"/>
        </w:rPr>
        <w:t>.</w:t>
      </w:r>
      <w:r w:rsidR="00020F7B" w:rsidRPr="00166413">
        <w:rPr>
          <w:rFonts w:ascii="Arial" w:hAnsi="Arial"/>
        </w:rPr>
        <w:t xml:space="preserve"> </w:t>
      </w:r>
      <w:r w:rsidR="00C34DA7" w:rsidRPr="00166413">
        <w:rPr>
          <w:rFonts w:ascii="Arial" w:hAnsi="Arial"/>
        </w:rPr>
        <w:t>The</w:t>
      </w:r>
      <w:r w:rsidR="00A52E4B" w:rsidRPr="00166413">
        <w:rPr>
          <w:rFonts w:ascii="Arial" w:hAnsi="Arial"/>
        </w:rPr>
        <w:t xml:space="preserve"> </w:t>
      </w:r>
      <w:r w:rsidR="00C34DA7" w:rsidRPr="00166413">
        <w:rPr>
          <w:rFonts w:ascii="Arial" w:hAnsi="Arial"/>
        </w:rPr>
        <w:t xml:space="preserve">anticipated </w:t>
      </w:r>
      <w:r w:rsidR="00A52E4B" w:rsidRPr="00166413">
        <w:rPr>
          <w:rFonts w:ascii="Arial" w:hAnsi="Arial"/>
        </w:rPr>
        <w:t xml:space="preserve">spike in wholesale gas prices </w:t>
      </w:r>
      <w:r w:rsidR="005A1482" w:rsidRPr="00166413">
        <w:rPr>
          <w:rFonts w:ascii="Arial" w:hAnsi="Arial"/>
        </w:rPr>
        <w:t>will have direct and indirect cost implications for local authorities</w:t>
      </w:r>
      <w:r w:rsidR="00166413" w:rsidRPr="00166413">
        <w:rPr>
          <w:rFonts w:ascii="Arial" w:hAnsi="Arial"/>
        </w:rPr>
        <w:t xml:space="preserve">, and the </w:t>
      </w:r>
      <w:r w:rsidR="00E77F30" w:rsidRPr="00166413">
        <w:rPr>
          <w:rFonts w:ascii="Arial" w:hAnsi="Arial"/>
        </w:rPr>
        <w:t xml:space="preserve">rise in </w:t>
      </w:r>
      <w:r w:rsidR="005B7742" w:rsidRPr="00166413">
        <w:rPr>
          <w:rFonts w:ascii="Arial" w:hAnsi="Arial"/>
        </w:rPr>
        <w:t xml:space="preserve">national insurance contributions to fund </w:t>
      </w:r>
      <w:r w:rsidR="00166413">
        <w:rPr>
          <w:rFonts w:ascii="Arial" w:hAnsi="Arial"/>
        </w:rPr>
        <w:t>the</w:t>
      </w:r>
      <w:r w:rsidR="005B7742" w:rsidRPr="00166413">
        <w:rPr>
          <w:rFonts w:ascii="Arial" w:hAnsi="Arial"/>
        </w:rPr>
        <w:t xml:space="preserve"> </w:t>
      </w:r>
      <w:r w:rsidR="00166413">
        <w:rPr>
          <w:rFonts w:ascii="Arial" w:hAnsi="Arial"/>
        </w:rPr>
        <w:t xml:space="preserve">health and </w:t>
      </w:r>
      <w:r w:rsidR="005B7742" w:rsidRPr="00166413">
        <w:rPr>
          <w:rFonts w:ascii="Arial" w:hAnsi="Arial"/>
        </w:rPr>
        <w:t>social care</w:t>
      </w:r>
      <w:r w:rsidR="00B7310D" w:rsidRPr="00166413">
        <w:rPr>
          <w:rFonts w:ascii="Arial" w:hAnsi="Arial"/>
        </w:rPr>
        <w:t xml:space="preserve"> reforms is expected to add around £40m </w:t>
      </w:r>
      <w:r w:rsidR="00166413">
        <w:rPr>
          <w:rFonts w:ascii="Arial" w:hAnsi="Arial"/>
        </w:rPr>
        <w:t>to</w:t>
      </w:r>
      <w:r w:rsidR="00020F7B" w:rsidRPr="00166413">
        <w:rPr>
          <w:rFonts w:ascii="Arial" w:hAnsi="Arial"/>
        </w:rPr>
        <w:t xml:space="preserve"> </w:t>
      </w:r>
      <w:r w:rsidR="00B7310D" w:rsidRPr="00166413">
        <w:rPr>
          <w:rFonts w:ascii="Arial" w:hAnsi="Arial"/>
        </w:rPr>
        <w:t xml:space="preserve">London </w:t>
      </w:r>
      <w:r w:rsidR="00166413">
        <w:rPr>
          <w:rFonts w:ascii="Arial" w:hAnsi="Arial"/>
        </w:rPr>
        <w:t>b</w:t>
      </w:r>
      <w:r w:rsidR="00B7310D" w:rsidRPr="00166413">
        <w:rPr>
          <w:rFonts w:ascii="Arial" w:hAnsi="Arial"/>
        </w:rPr>
        <w:t>oroughs’ supply chains next year</w:t>
      </w:r>
      <w:r w:rsidR="00166413">
        <w:rPr>
          <w:rFonts w:ascii="Arial" w:hAnsi="Arial"/>
        </w:rPr>
        <w:t>. T</w:t>
      </w:r>
      <w:r w:rsidR="005B7742" w:rsidRPr="00166413">
        <w:rPr>
          <w:rFonts w:ascii="Arial" w:hAnsi="Arial"/>
        </w:rPr>
        <w:t>here will be similar pressures on contracts from the rise in the National Living Wage</w:t>
      </w:r>
      <w:r w:rsidR="00B7310D" w:rsidRPr="00166413">
        <w:rPr>
          <w:rFonts w:ascii="Arial" w:hAnsi="Arial"/>
        </w:rPr>
        <w:t xml:space="preserve">. </w:t>
      </w:r>
      <w:r w:rsidR="003F3348" w:rsidRPr="00166413">
        <w:rPr>
          <w:rFonts w:ascii="Arial" w:hAnsi="Arial"/>
        </w:rPr>
        <w:t xml:space="preserve"> </w:t>
      </w:r>
    </w:p>
    <w:p w14:paraId="04D4AFAA" w14:textId="3343FA95" w:rsidR="00166413" w:rsidRDefault="005B7742" w:rsidP="00614A1C">
      <w:pPr>
        <w:pStyle w:val="NumBullet1"/>
        <w:rPr>
          <w:rFonts w:ascii="Arial" w:hAnsi="Arial"/>
        </w:rPr>
      </w:pPr>
      <w:r w:rsidRPr="005B7742">
        <w:t xml:space="preserve">Secondly, </w:t>
      </w:r>
      <w:r w:rsidR="00D20DBB" w:rsidRPr="007345BB">
        <w:rPr>
          <w:rFonts w:ascii="Arial" w:hAnsi="Arial"/>
        </w:rPr>
        <w:t xml:space="preserve">London boroughs have been disproportionately impacted by </w:t>
      </w:r>
      <w:r w:rsidR="00D20DBB" w:rsidRPr="005B7742">
        <w:t>Covid-19</w:t>
      </w:r>
      <w:r w:rsidR="00D20DBB">
        <w:t xml:space="preserve"> related</w:t>
      </w:r>
      <w:r w:rsidR="00D20DBB" w:rsidRPr="005B7742">
        <w:t xml:space="preserve"> </w:t>
      </w:r>
      <w:r w:rsidR="00D20DBB">
        <w:rPr>
          <w:rFonts w:ascii="Arial" w:hAnsi="Arial"/>
        </w:rPr>
        <w:t xml:space="preserve">income </w:t>
      </w:r>
      <w:r w:rsidR="00D20DBB" w:rsidRPr="007345BB">
        <w:rPr>
          <w:rFonts w:ascii="Arial" w:hAnsi="Arial"/>
        </w:rPr>
        <w:t>losses</w:t>
      </w:r>
      <w:r w:rsidR="00166413">
        <w:rPr>
          <w:rFonts w:ascii="Arial" w:hAnsi="Arial"/>
        </w:rPr>
        <w:t xml:space="preserve">, which </w:t>
      </w:r>
      <w:r w:rsidR="00D20DBB">
        <w:rPr>
          <w:rFonts w:ascii="Arial" w:hAnsi="Arial"/>
        </w:rPr>
        <w:t xml:space="preserve">have been </w:t>
      </w:r>
      <w:r w:rsidR="002101D5">
        <w:rPr>
          <w:rFonts w:ascii="Arial" w:hAnsi="Arial"/>
        </w:rPr>
        <w:t xml:space="preserve">nearly </w:t>
      </w:r>
      <w:r w:rsidR="00D20DBB">
        <w:rPr>
          <w:rFonts w:ascii="Arial" w:hAnsi="Arial"/>
        </w:rPr>
        <w:t xml:space="preserve">twice as large as those seen outside the </w:t>
      </w:r>
      <w:r w:rsidR="00D20DBB" w:rsidRPr="007345BB">
        <w:rPr>
          <w:rFonts w:ascii="Arial" w:hAnsi="Arial"/>
        </w:rPr>
        <w:t xml:space="preserve">capital when measured on </w:t>
      </w:r>
      <w:r w:rsidR="00166413">
        <w:rPr>
          <w:rFonts w:ascii="Arial" w:hAnsi="Arial"/>
        </w:rPr>
        <w:t xml:space="preserve">either </w:t>
      </w:r>
      <w:r w:rsidR="00D20DBB" w:rsidRPr="007345BB">
        <w:rPr>
          <w:rFonts w:ascii="Arial" w:hAnsi="Arial"/>
        </w:rPr>
        <w:t>a per capita basis or a</w:t>
      </w:r>
      <w:r w:rsidR="00D20DBB">
        <w:rPr>
          <w:rFonts w:ascii="Arial" w:hAnsi="Arial"/>
        </w:rPr>
        <w:t>s</w:t>
      </w:r>
      <w:r w:rsidR="00D20DBB" w:rsidRPr="007345BB">
        <w:rPr>
          <w:rFonts w:ascii="Arial" w:hAnsi="Arial"/>
        </w:rPr>
        <w:t xml:space="preserve"> share of net </w:t>
      </w:r>
      <w:r w:rsidR="00D20DBB">
        <w:rPr>
          <w:rFonts w:ascii="Arial" w:hAnsi="Arial"/>
        </w:rPr>
        <w:t>revenue expenditure</w:t>
      </w:r>
      <w:r w:rsidR="00D20DBB" w:rsidRPr="007345BB">
        <w:rPr>
          <w:rFonts w:ascii="Arial" w:hAnsi="Arial"/>
        </w:rPr>
        <w:t xml:space="preserve">. </w:t>
      </w:r>
    </w:p>
    <w:p w14:paraId="4C319240" w14:textId="22B29C02" w:rsidR="00DE360D" w:rsidRDefault="00DE360D" w:rsidP="00DE360D">
      <w:pPr>
        <w:pStyle w:val="NumBullet1"/>
        <w:rPr>
          <w:rFonts w:ascii="Arial" w:hAnsi="Arial"/>
        </w:rPr>
      </w:pPr>
      <w:r w:rsidRPr="005B7742">
        <w:t xml:space="preserve">Our estimates suggest the legacy of uncompensated lost council tax and business rates income from 2020-21 and 2021-22 mean boroughs will have </w:t>
      </w:r>
      <w:r>
        <w:t xml:space="preserve">at least </w:t>
      </w:r>
      <w:r w:rsidRPr="005B7742">
        <w:t>£300m less to spend next year</w:t>
      </w:r>
      <w:r>
        <w:t xml:space="preserve">, which </w:t>
      </w:r>
      <w:r w:rsidRPr="005B7742">
        <w:t xml:space="preserve">alone exceeds </w:t>
      </w:r>
      <w:r>
        <w:t xml:space="preserve">their </w:t>
      </w:r>
      <w:r w:rsidRPr="005B7742">
        <w:t>£243m share of the additional grant funding</w:t>
      </w:r>
      <w:r>
        <w:t xml:space="preserve"> confirmed at the provisional settlement</w:t>
      </w:r>
      <w:r w:rsidRPr="005B7742">
        <w:t xml:space="preserve">. The </w:t>
      </w:r>
      <w:r>
        <w:t>“</w:t>
      </w:r>
      <w:r w:rsidRPr="005B7742">
        <w:t>Plan B</w:t>
      </w:r>
      <w:r>
        <w:t>”</w:t>
      </w:r>
      <w:r w:rsidRPr="005B7742">
        <w:t xml:space="preserve"> restrictions will </w:t>
      </w:r>
      <w:r>
        <w:t xml:space="preserve">have a further adverse impact on business </w:t>
      </w:r>
      <w:r w:rsidRPr="005B7742">
        <w:t xml:space="preserve">rates and fees </w:t>
      </w:r>
      <w:r>
        <w:t>&amp;</w:t>
      </w:r>
      <w:r w:rsidRPr="005B7742">
        <w:t xml:space="preserve"> charges income</w:t>
      </w:r>
      <w:r>
        <w:t xml:space="preserve"> </w:t>
      </w:r>
      <w:r w:rsidRPr="007345BB">
        <w:rPr>
          <w:rFonts w:ascii="Arial" w:hAnsi="Arial"/>
        </w:rPr>
        <w:t>as footfall reduces</w:t>
      </w:r>
      <w:r>
        <w:rPr>
          <w:rFonts w:ascii="Arial" w:hAnsi="Arial"/>
        </w:rPr>
        <w:t>,</w:t>
      </w:r>
      <w:r w:rsidRPr="007345BB">
        <w:rPr>
          <w:rFonts w:ascii="Arial" w:hAnsi="Arial"/>
        </w:rPr>
        <w:t xml:space="preserve"> particularly in central London and office-reliant town centres. </w:t>
      </w:r>
      <w:r w:rsidRPr="001541E2">
        <w:rPr>
          <w:rFonts w:ascii="Arial" w:hAnsi="Arial"/>
          <w:b/>
          <w:bCs/>
        </w:rPr>
        <w:t xml:space="preserve">We urge the Government to urgently reinstate the SF&amp;C compensation scheme that ended in July for the reminder of the year and to 2022-23, and to reconsider the decision the decision not to </w:t>
      </w:r>
      <w:r>
        <w:rPr>
          <w:rFonts w:ascii="Arial" w:hAnsi="Arial"/>
          <w:b/>
          <w:bCs/>
        </w:rPr>
        <w:t xml:space="preserve">directly </w:t>
      </w:r>
      <w:r w:rsidRPr="001541E2">
        <w:rPr>
          <w:rFonts w:ascii="Arial" w:hAnsi="Arial"/>
          <w:b/>
          <w:bCs/>
        </w:rPr>
        <w:t>compensate lost tax income for 2021-22</w:t>
      </w:r>
      <w:r w:rsidRPr="00200EFE">
        <w:rPr>
          <w:rFonts w:ascii="Arial" w:hAnsi="Arial"/>
        </w:rPr>
        <w:t>.</w:t>
      </w:r>
    </w:p>
    <w:p w14:paraId="61325F24" w14:textId="77777777" w:rsidR="00DE360D" w:rsidRPr="00200EFE" w:rsidRDefault="00DE360D" w:rsidP="00DE360D">
      <w:pPr>
        <w:pStyle w:val="NumBullet1"/>
        <w:rPr>
          <w:rFonts w:ascii="Arial" w:hAnsi="Arial"/>
        </w:rPr>
      </w:pPr>
      <w:r w:rsidRPr="00200EFE">
        <w:t xml:space="preserve">Thirdly, the rise in demand for key services caused by the pandemic - particularly adult social care, public health, homelessness &amp; rough </w:t>
      </w:r>
      <w:proofErr w:type="gramStart"/>
      <w:r w:rsidRPr="00200EFE">
        <w:t>sleeping</w:t>
      </w:r>
      <w:proofErr w:type="gramEnd"/>
      <w:r w:rsidRPr="00200EFE">
        <w:t xml:space="preserve"> and children’s social care - will continue into 2022-23. London boroughs spent an additional £1.1bn last year and were forecasting to spend almost £700m this year before the Omicron variant. The heightened pressures on these services will not end in March. Even if additional spending halves compared with 2021-22, this will </w:t>
      </w:r>
      <w:r>
        <w:t xml:space="preserve">still </w:t>
      </w:r>
      <w:r w:rsidRPr="00200EFE">
        <w:t xml:space="preserve">eclipse London boroughs’ share of the additional grant funding being made available in the </w:t>
      </w:r>
      <w:r>
        <w:t xml:space="preserve">provisional </w:t>
      </w:r>
      <w:r w:rsidRPr="00200EFE">
        <w:t xml:space="preserve">settlement. </w:t>
      </w:r>
    </w:p>
    <w:p w14:paraId="63B6DB20" w14:textId="182B0D2D" w:rsidR="002101D5" w:rsidRPr="002101D5" w:rsidRDefault="002101D5" w:rsidP="002101D5">
      <w:pPr>
        <w:pStyle w:val="NumBullet1"/>
        <w:numPr>
          <w:ilvl w:val="0"/>
          <w:numId w:val="0"/>
        </w:numPr>
        <w:spacing w:after="120"/>
        <w:ind w:left="142"/>
        <w:rPr>
          <w:rFonts w:ascii="Arial" w:hAnsi="Arial"/>
          <w:b/>
          <w:bCs/>
        </w:rPr>
      </w:pPr>
      <w:r w:rsidRPr="002101D5">
        <w:rPr>
          <w:rFonts w:ascii="Arial" w:hAnsi="Arial"/>
          <w:b/>
          <w:bCs/>
        </w:rPr>
        <w:lastRenderedPageBreak/>
        <w:t>Chart 1 - Estimated losses due to C19 in 2021-22 as % of Net Revenue Expenditure - by authority type</w:t>
      </w:r>
    </w:p>
    <w:p w14:paraId="01B347EA" w14:textId="20DBE7D2" w:rsidR="00166413" w:rsidRDefault="002101D5" w:rsidP="002101D5">
      <w:pPr>
        <w:pStyle w:val="NumBullet1"/>
        <w:numPr>
          <w:ilvl w:val="0"/>
          <w:numId w:val="0"/>
        </w:numPr>
        <w:spacing w:after="120" w:line="240" w:lineRule="auto"/>
        <w:ind w:left="482"/>
        <w:rPr>
          <w:rFonts w:ascii="Arial" w:hAnsi="Arial"/>
        </w:rPr>
      </w:pPr>
      <w:r>
        <w:rPr>
          <w:rFonts w:ascii="Arial" w:hAnsi="Arial"/>
          <w:noProof/>
        </w:rPr>
        <w:drawing>
          <wp:inline distT="0" distB="0" distL="0" distR="0" wp14:anchorId="4EDFEF9F" wp14:editId="2DA03678">
            <wp:extent cx="5335325" cy="260058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128" t="18638" r="1657" b="3055"/>
                    <a:stretch/>
                  </pic:blipFill>
                  <pic:spPr bwMode="auto">
                    <a:xfrm>
                      <a:off x="0" y="0"/>
                      <a:ext cx="5397979" cy="2631123"/>
                    </a:xfrm>
                    <a:prstGeom prst="rect">
                      <a:avLst/>
                    </a:prstGeom>
                    <a:noFill/>
                    <a:ln>
                      <a:noFill/>
                    </a:ln>
                    <a:extLst>
                      <a:ext uri="{53640926-AAD7-44D8-BBD7-CCE9431645EC}">
                        <a14:shadowObscured xmlns:a14="http://schemas.microsoft.com/office/drawing/2010/main"/>
                      </a:ext>
                    </a:extLst>
                  </pic:spPr>
                </pic:pic>
              </a:graphicData>
            </a:graphic>
          </wp:inline>
        </w:drawing>
      </w:r>
    </w:p>
    <w:p w14:paraId="2F5917E4" w14:textId="593DD265" w:rsidR="002101D5" w:rsidRDefault="002101D5" w:rsidP="00DE360D">
      <w:pPr>
        <w:pStyle w:val="NumBullet1"/>
        <w:numPr>
          <w:ilvl w:val="0"/>
          <w:numId w:val="0"/>
        </w:numPr>
        <w:spacing w:after="240" w:line="240" w:lineRule="auto"/>
        <w:ind w:left="482" w:hanging="340"/>
        <w:rPr>
          <w:rFonts w:ascii="Arial" w:hAnsi="Arial"/>
        </w:rPr>
      </w:pPr>
      <w:r>
        <w:rPr>
          <w:rFonts w:ascii="Arial" w:hAnsi="Arial"/>
        </w:rPr>
        <w:t xml:space="preserve">Source: London Councils’ analysis of DLUHC monthly monitoring survey, </w:t>
      </w:r>
      <w:proofErr w:type="gramStart"/>
      <w:r>
        <w:rPr>
          <w:rFonts w:ascii="Arial" w:hAnsi="Arial"/>
        </w:rPr>
        <w:t>Round</w:t>
      </w:r>
      <w:proofErr w:type="gramEnd"/>
      <w:r>
        <w:rPr>
          <w:rFonts w:ascii="Arial" w:hAnsi="Arial"/>
        </w:rPr>
        <w:t xml:space="preserve"> 16</w:t>
      </w:r>
    </w:p>
    <w:p w14:paraId="33BD4F39" w14:textId="77777777" w:rsidR="00536ADF" w:rsidRDefault="00536ADF" w:rsidP="002101D5">
      <w:pPr>
        <w:pStyle w:val="NumBullet1"/>
        <w:numPr>
          <w:ilvl w:val="0"/>
          <w:numId w:val="0"/>
        </w:numPr>
        <w:spacing w:after="0" w:line="240" w:lineRule="auto"/>
        <w:ind w:left="482"/>
        <w:rPr>
          <w:rFonts w:ascii="Arial" w:hAnsi="Arial"/>
        </w:rPr>
      </w:pPr>
    </w:p>
    <w:p w14:paraId="26260885" w14:textId="7C917187" w:rsidR="00D828D0" w:rsidRPr="001541E2" w:rsidRDefault="00D828D0" w:rsidP="00D828D0">
      <w:pPr>
        <w:pStyle w:val="NumBullet1"/>
        <w:spacing w:after="120"/>
        <w:rPr>
          <w:rFonts w:ascii="Arial" w:hAnsi="Arial"/>
          <w:b/>
          <w:bCs/>
        </w:rPr>
      </w:pPr>
      <w:r w:rsidRPr="001541E2">
        <w:rPr>
          <w:rFonts w:ascii="Arial" w:hAnsi="Arial"/>
          <w:b/>
          <w:bCs/>
        </w:rPr>
        <w:t>T</w:t>
      </w:r>
      <w:r w:rsidR="00EE65A5" w:rsidRPr="001541E2">
        <w:rPr>
          <w:b/>
          <w:bCs/>
        </w:rPr>
        <w:t>o aid boroughs’ delivery of testing, contract tracing, and support for the vaccination programme</w:t>
      </w:r>
      <w:r w:rsidR="00EE65A5" w:rsidRPr="00200EFE">
        <w:t xml:space="preserve"> </w:t>
      </w:r>
      <w:r w:rsidR="00EE65A5" w:rsidRPr="001541E2">
        <w:rPr>
          <w:b/>
          <w:bCs/>
        </w:rPr>
        <w:t xml:space="preserve">we </w:t>
      </w:r>
      <w:r w:rsidRPr="001541E2">
        <w:rPr>
          <w:b/>
          <w:bCs/>
        </w:rPr>
        <w:t xml:space="preserve">also </w:t>
      </w:r>
      <w:r w:rsidR="00EE65A5" w:rsidRPr="001541E2">
        <w:rPr>
          <w:b/>
          <w:bCs/>
        </w:rPr>
        <w:t xml:space="preserve">urge </w:t>
      </w:r>
      <w:r w:rsidR="00063356" w:rsidRPr="001541E2">
        <w:rPr>
          <w:b/>
          <w:bCs/>
        </w:rPr>
        <w:t>the Government</w:t>
      </w:r>
      <w:r w:rsidR="00EE65A5" w:rsidRPr="001541E2">
        <w:rPr>
          <w:b/>
          <w:bCs/>
        </w:rPr>
        <w:t xml:space="preserve"> to</w:t>
      </w:r>
      <w:r w:rsidRPr="001541E2">
        <w:rPr>
          <w:b/>
          <w:bCs/>
        </w:rPr>
        <w:t>:</w:t>
      </w:r>
    </w:p>
    <w:p w14:paraId="280AED6C" w14:textId="77777777" w:rsidR="00D828D0" w:rsidRPr="001541E2" w:rsidRDefault="00EE65A5" w:rsidP="00D828D0">
      <w:pPr>
        <w:pStyle w:val="Bullet1"/>
        <w:rPr>
          <w:rFonts w:ascii="Arial" w:hAnsi="Arial"/>
          <w:b/>
          <w:bCs/>
        </w:rPr>
      </w:pPr>
      <w:r w:rsidRPr="001541E2">
        <w:rPr>
          <w:b/>
          <w:bCs/>
        </w:rPr>
        <w:t>confirm that unspent COMF can be carried forward into 2022-23</w:t>
      </w:r>
    </w:p>
    <w:p w14:paraId="6F0D618C" w14:textId="1938B85A" w:rsidR="00D828D0" w:rsidRPr="001541E2" w:rsidRDefault="00112377" w:rsidP="00D828D0">
      <w:pPr>
        <w:pStyle w:val="Bullet1"/>
        <w:rPr>
          <w:rFonts w:ascii="Arial" w:hAnsi="Arial"/>
          <w:b/>
          <w:bCs/>
        </w:rPr>
      </w:pPr>
      <w:r w:rsidRPr="001541E2">
        <w:rPr>
          <w:b/>
          <w:bCs/>
        </w:rPr>
        <w:t xml:space="preserve">provide </w:t>
      </w:r>
      <w:r w:rsidR="00D828D0" w:rsidRPr="001541E2">
        <w:rPr>
          <w:b/>
          <w:bCs/>
        </w:rPr>
        <w:t xml:space="preserve">additional </w:t>
      </w:r>
      <w:r w:rsidR="00EE65A5" w:rsidRPr="001541E2">
        <w:rPr>
          <w:b/>
          <w:bCs/>
        </w:rPr>
        <w:t xml:space="preserve">COMF funding </w:t>
      </w:r>
      <w:r w:rsidR="00D828D0" w:rsidRPr="001541E2">
        <w:rPr>
          <w:b/>
          <w:bCs/>
        </w:rPr>
        <w:t xml:space="preserve">to support boroughs between January and March (where a shortfall of £40m is estimated); and </w:t>
      </w:r>
    </w:p>
    <w:p w14:paraId="123EB701" w14:textId="58945FB0" w:rsidR="00D828D0" w:rsidRPr="001541E2" w:rsidRDefault="00D828D0" w:rsidP="00D828D0">
      <w:pPr>
        <w:pStyle w:val="Bullet1"/>
        <w:rPr>
          <w:rFonts w:ascii="Arial" w:hAnsi="Arial"/>
          <w:b/>
          <w:bCs/>
        </w:rPr>
      </w:pPr>
      <w:r w:rsidRPr="001541E2">
        <w:rPr>
          <w:b/>
          <w:bCs/>
        </w:rPr>
        <w:t xml:space="preserve">provide further COMF in 2022-23 </w:t>
      </w:r>
      <w:r w:rsidR="00112377" w:rsidRPr="001541E2">
        <w:rPr>
          <w:b/>
          <w:bCs/>
        </w:rPr>
        <w:t>if required</w:t>
      </w:r>
      <w:r w:rsidR="00EE65A5" w:rsidRPr="001541E2">
        <w:rPr>
          <w:b/>
          <w:bCs/>
        </w:rPr>
        <w:t xml:space="preserve">. </w:t>
      </w:r>
    </w:p>
    <w:p w14:paraId="4F27C791" w14:textId="77777777" w:rsidR="00D828D0" w:rsidRPr="00D828D0" w:rsidRDefault="00D828D0" w:rsidP="00D828D0">
      <w:pPr>
        <w:pStyle w:val="Bullet1"/>
        <w:numPr>
          <w:ilvl w:val="0"/>
          <w:numId w:val="0"/>
        </w:numPr>
        <w:ind w:left="1060"/>
        <w:rPr>
          <w:rFonts w:ascii="Arial" w:hAnsi="Arial"/>
        </w:rPr>
      </w:pPr>
    </w:p>
    <w:p w14:paraId="70565971" w14:textId="3A6A098F" w:rsidR="00DD12D9" w:rsidRPr="00DD12D9" w:rsidRDefault="00DD12D9" w:rsidP="00DD12D9">
      <w:pPr>
        <w:pStyle w:val="NumBullet1"/>
        <w:spacing w:after="0"/>
        <w:rPr>
          <w:rFonts w:ascii="Arial" w:hAnsi="Arial"/>
          <w:b/>
          <w:bCs/>
        </w:rPr>
      </w:pPr>
      <w:r>
        <w:rPr>
          <w:b/>
          <w:bCs/>
        </w:rPr>
        <w:t xml:space="preserve">We also urge </w:t>
      </w:r>
      <w:r w:rsidRPr="001541E2">
        <w:rPr>
          <w:rFonts w:ascii="Arial" w:hAnsi="Arial"/>
          <w:b/>
          <w:bCs/>
        </w:rPr>
        <w:t xml:space="preserve">the Government to reinstate funding support for those self-isolating, which ended in September, in recognition of </w:t>
      </w:r>
      <w:r>
        <w:rPr>
          <w:rFonts w:ascii="Arial" w:hAnsi="Arial"/>
          <w:b/>
          <w:bCs/>
        </w:rPr>
        <w:t xml:space="preserve">rise in cases due to </w:t>
      </w:r>
      <w:r w:rsidRPr="001541E2">
        <w:rPr>
          <w:rFonts w:ascii="Arial" w:hAnsi="Arial"/>
          <w:b/>
          <w:bCs/>
        </w:rPr>
        <w:t>the Omicron variant.</w:t>
      </w:r>
      <w:r>
        <w:rPr>
          <w:rFonts w:ascii="Arial" w:hAnsi="Arial"/>
        </w:rPr>
        <w:t xml:space="preserve"> </w:t>
      </w:r>
    </w:p>
    <w:p w14:paraId="3FFFCE39" w14:textId="77777777" w:rsidR="00DD12D9" w:rsidRPr="001541E2" w:rsidRDefault="00DD12D9" w:rsidP="00DD12D9">
      <w:pPr>
        <w:pStyle w:val="NumBullet1"/>
        <w:numPr>
          <w:ilvl w:val="0"/>
          <w:numId w:val="0"/>
        </w:numPr>
        <w:spacing w:after="0"/>
        <w:ind w:left="482"/>
        <w:rPr>
          <w:rFonts w:ascii="Arial" w:hAnsi="Arial"/>
          <w:b/>
          <w:bCs/>
        </w:rPr>
      </w:pPr>
    </w:p>
    <w:p w14:paraId="0E79E0F6" w14:textId="7491E447" w:rsidR="00447ED3" w:rsidRPr="00B107C4" w:rsidRDefault="00CA1723" w:rsidP="00B107C4">
      <w:pPr>
        <w:pStyle w:val="NumBullet1"/>
      </w:pPr>
      <w:r w:rsidRPr="00B107C4">
        <w:t xml:space="preserve">Finally, </w:t>
      </w:r>
      <w:r w:rsidR="00213DBE" w:rsidRPr="00B107C4">
        <w:t xml:space="preserve">in addition to these pressures, </w:t>
      </w:r>
      <w:r w:rsidRPr="00B107C4">
        <w:t>we are very concerned about the financial risks that the adult social care funding reforms could bring to London boroughs</w:t>
      </w:r>
      <w:r w:rsidR="00447ED3" w:rsidRPr="00B107C4">
        <w:t xml:space="preserve">. While the </w:t>
      </w:r>
      <w:r w:rsidR="00213DBE" w:rsidRPr="00B107C4">
        <w:t>PLGFS has confirmed £162m in 2022-23</w:t>
      </w:r>
      <w:r w:rsidRPr="00B107C4">
        <w:t xml:space="preserve"> </w:t>
      </w:r>
      <w:r w:rsidR="00213DBE" w:rsidRPr="00B107C4">
        <w:t>to support councils in preparing the</w:t>
      </w:r>
      <w:r w:rsidR="00B107C4">
        <w:t>ir</w:t>
      </w:r>
      <w:r w:rsidR="00213DBE" w:rsidRPr="00B107C4">
        <w:t xml:space="preserve"> market</w:t>
      </w:r>
      <w:r w:rsidR="00B107C4">
        <w:t>s</w:t>
      </w:r>
      <w:r w:rsidR="00213DBE" w:rsidRPr="00B107C4">
        <w:t xml:space="preserve"> </w:t>
      </w:r>
      <w:r w:rsidR="00B107C4">
        <w:t>to deliver the</w:t>
      </w:r>
      <w:r w:rsidR="00447ED3" w:rsidRPr="00B107C4">
        <w:t xml:space="preserve"> fair cost of care</w:t>
      </w:r>
      <w:r w:rsidR="00B107C4">
        <w:t xml:space="preserve"> reforms</w:t>
      </w:r>
      <w:r w:rsidR="00447ED3" w:rsidRPr="00B107C4">
        <w:t xml:space="preserve">, </w:t>
      </w:r>
      <w:bookmarkStart w:id="3" w:name="_Hlk91003803"/>
      <w:r w:rsidR="00B107C4">
        <w:t>delivering these reforms</w:t>
      </w:r>
      <w:r w:rsidR="00447ED3" w:rsidRPr="00B107C4">
        <w:t xml:space="preserve"> will redirect resources away from frontline social care</w:t>
      </w:r>
      <w:r w:rsidR="00B107C4">
        <w:t xml:space="preserve"> at a time when the </w:t>
      </w:r>
      <w:r w:rsidR="00447ED3">
        <w:t xml:space="preserve">pandemic </w:t>
      </w:r>
      <w:r w:rsidR="00B107C4">
        <w:t xml:space="preserve">is </w:t>
      </w:r>
      <w:r w:rsidR="00447ED3">
        <w:t>exert</w:t>
      </w:r>
      <w:r w:rsidR="00B107C4">
        <w:t>ing</w:t>
      </w:r>
      <w:r w:rsidR="00447ED3">
        <w:t xml:space="preserve"> major pressure on staff capacity</w:t>
      </w:r>
      <w:r w:rsidR="00B107C4">
        <w:t>.</w:t>
      </w:r>
      <w:bookmarkEnd w:id="3"/>
    </w:p>
    <w:p w14:paraId="7004B764" w14:textId="40C2D377" w:rsidR="005B7742" w:rsidRDefault="00B107C4" w:rsidP="001541E2">
      <w:pPr>
        <w:pStyle w:val="NumBullet1"/>
        <w:spacing w:after="360"/>
      </w:pPr>
      <w:r>
        <w:t>Given the scale of these pressures</w:t>
      </w:r>
      <w:r w:rsidR="006A0513">
        <w:t>,</w:t>
      </w:r>
      <w:r>
        <w:t xml:space="preserve"> the</w:t>
      </w:r>
      <w:r w:rsidR="005B7742" w:rsidRPr="005B7742">
        <w:t xml:space="preserve"> 3.5% rise in CSP, while generous by historical standards, </w:t>
      </w:r>
      <w:proofErr w:type="gramStart"/>
      <w:r w:rsidR="00DE360D">
        <w:t>will not</w:t>
      </w:r>
      <w:r w:rsidR="005B7742" w:rsidRPr="005B7742">
        <w:t xml:space="preserve"> to</w:t>
      </w:r>
      <w:proofErr w:type="gramEnd"/>
      <w:r w:rsidR="005B7742" w:rsidRPr="005B7742">
        <w:t xml:space="preserve"> prevent boroughs from needing to make </w:t>
      </w:r>
      <w:r w:rsidR="007345BB">
        <w:t xml:space="preserve">considerable </w:t>
      </w:r>
      <w:r w:rsidR="005B7742" w:rsidRPr="005B7742">
        <w:t xml:space="preserve">savings </w:t>
      </w:r>
      <w:r>
        <w:t xml:space="preserve">in the </w:t>
      </w:r>
      <w:r w:rsidR="005B7742" w:rsidRPr="005B7742">
        <w:t>next year</w:t>
      </w:r>
      <w:r w:rsidR="00DE360D">
        <w:t xml:space="preserve"> of up to £400m</w:t>
      </w:r>
      <w:r w:rsidR="005B7742" w:rsidRPr="005B7742">
        <w:t>.</w:t>
      </w:r>
    </w:p>
    <w:p w14:paraId="0A204B46" w14:textId="309B5095" w:rsidR="00667B82" w:rsidRPr="00184FC6" w:rsidRDefault="00761288" w:rsidP="00F95F9F">
      <w:pPr>
        <w:pStyle w:val="NumBullet1"/>
        <w:numPr>
          <w:ilvl w:val="0"/>
          <w:numId w:val="0"/>
        </w:numPr>
        <w:spacing w:before="100" w:beforeAutospacing="1" w:after="100" w:afterAutospacing="1"/>
        <w:rPr>
          <w:rFonts w:ascii="Arial" w:hAnsi="Arial"/>
          <w:b/>
          <w:color w:val="auto"/>
          <w:sz w:val="22"/>
          <w:szCs w:val="22"/>
        </w:rPr>
      </w:pPr>
      <w:r>
        <w:rPr>
          <w:rFonts w:ascii="Arial" w:hAnsi="Arial"/>
          <w:b/>
          <w:color w:val="auto"/>
          <w:sz w:val="22"/>
          <w:szCs w:val="22"/>
        </w:rPr>
        <w:t>Certainty</w:t>
      </w:r>
    </w:p>
    <w:p w14:paraId="142010A2" w14:textId="5953C216" w:rsidR="00761288" w:rsidRPr="00761288" w:rsidRDefault="00761288" w:rsidP="00366516">
      <w:pPr>
        <w:pStyle w:val="NumBullet1"/>
        <w:rPr>
          <w:rFonts w:ascii="Arial" w:hAnsi="Arial"/>
        </w:rPr>
      </w:pPr>
      <w:r w:rsidRPr="00761288">
        <w:rPr>
          <w:rFonts w:ascii="Arial" w:hAnsi="Arial"/>
        </w:rPr>
        <w:t>Local authorities need certainty over how they will be resourced. Medium</w:t>
      </w:r>
      <w:r w:rsidR="00FB6922">
        <w:rPr>
          <w:rFonts w:ascii="Arial" w:hAnsi="Arial"/>
        </w:rPr>
        <w:t>-</w:t>
      </w:r>
      <w:r w:rsidRPr="00761288">
        <w:rPr>
          <w:rFonts w:ascii="Arial" w:hAnsi="Arial"/>
        </w:rPr>
        <w:t xml:space="preserve">term funding certainty breeds robust decision making and more strategic and efficient use of resources. Two single-year Spending Reviews have had a detrimental impact </w:t>
      </w:r>
      <w:r w:rsidR="006A0513">
        <w:rPr>
          <w:rFonts w:ascii="Arial" w:hAnsi="Arial"/>
        </w:rPr>
        <w:t xml:space="preserve">councils’ </w:t>
      </w:r>
      <w:r w:rsidRPr="00761288">
        <w:rPr>
          <w:rFonts w:ascii="Arial" w:hAnsi="Arial"/>
        </w:rPr>
        <w:t xml:space="preserve">ability to </w:t>
      </w:r>
      <w:proofErr w:type="gramStart"/>
      <w:r w:rsidRPr="00761288">
        <w:rPr>
          <w:rFonts w:ascii="Arial" w:hAnsi="Arial"/>
        </w:rPr>
        <w:t>plan for the future</w:t>
      </w:r>
      <w:proofErr w:type="gramEnd"/>
      <w:r w:rsidRPr="00761288">
        <w:rPr>
          <w:rFonts w:ascii="Arial" w:hAnsi="Arial"/>
        </w:rPr>
        <w:t xml:space="preserve">. </w:t>
      </w:r>
      <w:r>
        <w:rPr>
          <w:rFonts w:ascii="Arial" w:hAnsi="Arial"/>
        </w:rPr>
        <w:t>It is</w:t>
      </w:r>
      <w:r w:rsidR="00FB6922">
        <w:rPr>
          <w:rFonts w:ascii="Arial" w:hAnsi="Arial"/>
        </w:rPr>
        <w:t>,</w:t>
      </w:r>
      <w:r>
        <w:rPr>
          <w:rFonts w:ascii="Arial" w:hAnsi="Arial"/>
        </w:rPr>
        <w:t xml:space="preserve"> therefore</w:t>
      </w:r>
      <w:r w:rsidR="00FB6922">
        <w:rPr>
          <w:rFonts w:ascii="Arial" w:hAnsi="Arial"/>
        </w:rPr>
        <w:t>,</w:t>
      </w:r>
      <w:r>
        <w:rPr>
          <w:rFonts w:ascii="Arial" w:hAnsi="Arial"/>
        </w:rPr>
        <w:t xml:space="preserve"> disappointing that</w:t>
      </w:r>
      <w:r w:rsidR="00122D69">
        <w:rPr>
          <w:rFonts w:ascii="Arial" w:hAnsi="Arial"/>
        </w:rPr>
        <w:t>,</w:t>
      </w:r>
      <w:r>
        <w:rPr>
          <w:rFonts w:ascii="Arial" w:hAnsi="Arial"/>
        </w:rPr>
        <w:t xml:space="preserve"> despite the three</w:t>
      </w:r>
      <w:r w:rsidR="00FC52ED">
        <w:rPr>
          <w:rFonts w:ascii="Arial" w:hAnsi="Arial"/>
        </w:rPr>
        <w:t>-</w:t>
      </w:r>
      <w:r>
        <w:rPr>
          <w:rFonts w:ascii="Arial" w:hAnsi="Arial"/>
        </w:rPr>
        <w:t xml:space="preserve">year envelope provided by SR21, </w:t>
      </w:r>
      <w:r w:rsidR="006A0513">
        <w:rPr>
          <w:rFonts w:ascii="Arial" w:hAnsi="Arial"/>
        </w:rPr>
        <w:t>2022-23 is another o</w:t>
      </w:r>
      <w:r>
        <w:rPr>
          <w:rFonts w:ascii="Arial" w:hAnsi="Arial"/>
        </w:rPr>
        <w:t>ne</w:t>
      </w:r>
      <w:r w:rsidR="00FC52ED">
        <w:rPr>
          <w:rFonts w:ascii="Arial" w:hAnsi="Arial"/>
        </w:rPr>
        <w:t>-</w:t>
      </w:r>
      <w:r>
        <w:rPr>
          <w:rFonts w:ascii="Arial" w:hAnsi="Arial"/>
        </w:rPr>
        <w:t>year settlement (effectively for the fourth year in succession).</w:t>
      </w:r>
    </w:p>
    <w:p w14:paraId="525DFF4C" w14:textId="17BAC05C" w:rsidR="00184FC6" w:rsidRDefault="00FC52ED" w:rsidP="00122D69">
      <w:pPr>
        <w:pStyle w:val="NumBullet1"/>
        <w:spacing w:after="0"/>
        <w:rPr>
          <w:rFonts w:ascii="Arial" w:hAnsi="Arial"/>
        </w:rPr>
      </w:pPr>
      <w:r>
        <w:rPr>
          <w:rFonts w:ascii="Arial" w:hAnsi="Arial"/>
        </w:rPr>
        <w:t>W</w:t>
      </w:r>
      <w:r w:rsidR="00761288">
        <w:rPr>
          <w:rFonts w:ascii="Arial" w:hAnsi="Arial"/>
        </w:rPr>
        <w:t xml:space="preserve">e </w:t>
      </w:r>
      <w:r>
        <w:rPr>
          <w:rFonts w:ascii="Arial" w:hAnsi="Arial"/>
        </w:rPr>
        <w:t xml:space="preserve">do, however, </w:t>
      </w:r>
      <w:r w:rsidR="00761288">
        <w:rPr>
          <w:rFonts w:ascii="Arial" w:hAnsi="Arial"/>
        </w:rPr>
        <w:t xml:space="preserve">recognise the </w:t>
      </w:r>
      <w:r>
        <w:rPr>
          <w:rFonts w:ascii="Arial" w:hAnsi="Arial"/>
        </w:rPr>
        <w:t xml:space="preserve">difficulties caused by the pandemic and </w:t>
      </w:r>
      <w:r w:rsidR="00E43931">
        <w:rPr>
          <w:rFonts w:ascii="Arial" w:hAnsi="Arial"/>
        </w:rPr>
        <w:t xml:space="preserve">the delays to the reforms to the finance system, which are </w:t>
      </w:r>
      <w:r w:rsidR="00122D69">
        <w:rPr>
          <w:rFonts w:ascii="Arial" w:hAnsi="Arial"/>
        </w:rPr>
        <w:t>necessary and overdue</w:t>
      </w:r>
      <w:r w:rsidR="00E43931">
        <w:rPr>
          <w:rFonts w:ascii="Arial" w:hAnsi="Arial"/>
        </w:rPr>
        <w:t>. We, therefore,</w:t>
      </w:r>
      <w:r>
        <w:rPr>
          <w:rFonts w:ascii="Arial" w:hAnsi="Arial"/>
        </w:rPr>
        <w:t xml:space="preserve"> </w:t>
      </w:r>
      <w:r w:rsidR="00122D69">
        <w:rPr>
          <w:rFonts w:ascii="Arial" w:hAnsi="Arial"/>
        </w:rPr>
        <w:t xml:space="preserve">welcome </w:t>
      </w:r>
      <w:r>
        <w:rPr>
          <w:rFonts w:ascii="Arial" w:hAnsi="Arial"/>
        </w:rPr>
        <w:t xml:space="preserve">the visibility of the overall Core Spending Power envelope and council tax principles </w:t>
      </w:r>
      <w:r w:rsidR="00122D69">
        <w:rPr>
          <w:rFonts w:ascii="Arial" w:hAnsi="Arial"/>
        </w:rPr>
        <w:t>over the next three years</w:t>
      </w:r>
      <w:r w:rsidR="003B22EF">
        <w:rPr>
          <w:rFonts w:ascii="Arial" w:hAnsi="Arial"/>
        </w:rPr>
        <w:t>,</w:t>
      </w:r>
      <w:r w:rsidR="00122D69">
        <w:rPr>
          <w:rFonts w:ascii="Arial" w:hAnsi="Arial"/>
        </w:rPr>
        <w:t xml:space="preserve"> which we called for prior to the </w:t>
      </w:r>
      <w:r>
        <w:rPr>
          <w:rFonts w:ascii="Arial" w:hAnsi="Arial"/>
        </w:rPr>
        <w:t>SR21</w:t>
      </w:r>
      <w:r w:rsidR="00122D69">
        <w:rPr>
          <w:rFonts w:ascii="Arial" w:hAnsi="Arial"/>
        </w:rPr>
        <w:t>.</w:t>
      </w:r>
      <w:r w:rsidR="00761288" w:rsidRPr="00761288">
        <w:rPr>
          <w:rFonts w:ascii="Arial" w:hAnsi="Arial"/>
        </w:rPr>
        <w:t xml:space="preserve"> </w:t>
      </w:r>
    </w:p>
    <w:p w14:paraId="3814AEA0" w14:textId="77777777" w:rsidR="00122D69" w:rsidRPr="00122D69" w:rsidRDefault="00122D69" w:rsidP="00122D69">
      <w:pPr>
        <w:pStyle w:val="NumBullet1"/>
        <w:numPr>
          <w:ilvl w:val="0"/>
          <w:numId w:val="0"/>
        </w:numPr>
        <w:spacing w:after="0"/>
        <w:ind w:left="482"/>
        <w:rPr>
          <w:rFonts w:ascii="Arial" w:hAnsi="Arial"/>
        </w:rPr>
      </w:pPr>
    </w:p>
    <w:p w14:paraId="61306BFB" w14:textId="240A4D53" w:rsidR="00887695" w:rsidRPr="00115CE4" w:rsidRDefault="00E43931" w:rsidP="001541E2">
      <w:pPr>
        <w:pStyle w:val="NumBullet1"/>
        <w:spacing w:after="360"/>
        <w:rPr>
          <w:b/>
          <w:bCs/>
        </w:rPr>
      </w:pPr>
      <w:r>
        <w:lastRenderedPageBreak/>
        <w:t xml:space="preserve">Finally, </w:t>
      </w:r>
      <w:r w:rsidR="00795E03" w:rsidRPr="00122D69">
        <w:t xml:space="preserve">despite the SR being a month earlier than last year in October, it was disappointing that </w:t>
      </w:r>
      <w:r w:rsidR="00FE0581" w:rsidRPr="00122D69">
        <w:t>the</w:t>
      </w:r>
      <w:r w:rsidR="00E44B96" w:rsidRPr="00122D69">
        <w:t xml:space="preserve"> </w:t>
      </w:r>
      <w:r w:rsidR="006434E3" w:rsidRPr="00122D69">
        <w:t xml:space="preserve">PLGFS </w:t>
      </w:r>
      <w:r w:rsidR="00E44B96" w:rsidRPr="00122D69">
        <w:t xml:space="preserve">was again delivered at the latest possible moment </w:t>
      </w:r>
      <w:r w:rsidR="00795E03" w:rsidRPr="00122D69">
        <w:t>on the final day of the parliamentary term,</w:t>
      </w:r>
      <w:r w:rsidR="00E44B96" w:rsidRPr="00122D69">
        <w:t xml:space="preserve"> </w:t>
      </w:r>
      <w:r w:rsidR="00FE0581" w:rsidRPr="00122D69">
        <w:t>which</w:t>
      </w:r>
      <w:r w:rsidR="006434E3" w:rsidRPr="00122D69">
        <w:t xml:space="preserve"> </w:t>
      </w:r>
      <w:r w:rsidR="00FE0581" w:rsidRPr="00122D69">
        <w:t>hinder</w:t>
      </w:r>
      <w:r w:rsidR="006434E3" w:rsidRPr="00122D69">
        <w:t>s</w:t>
      </w:r>
      <w:r w:rsidR="00FE0581" w:rsidRPr="00122D69">
        <w:t xml:space="preserve"> the ability of councils to </w:t>
      </w:r>
      <w:r w:rsidR="00795E03" w:rsidRPr="00122D69">
        <w:t xml:space="preserve">plan their budgets and </w:t>
      </w:r>
      <w:r w:rsidR="00FE0581" w:rsidRPr="00122D69">
        <w:t xml:space="preserve">deliver </w:t>
      </w:r>
      <w:r w:rsidR="00795E03" w:rsidRPr="00122D69">
        <w:t>the maximum value for money for taxpayers</w:t>
      </w:r>
      <w:r w:rsidR="00E44B96" w:rsidRPr="00122D69">
        <w:t xml:space="preserve">. </w:t>
      </w:r>
      <w:r w:rsidR="00FE0581" w:rsidRPr="00115CE4">
        <w:rPr>
          <w:b/>
          <w:bCs/>
        </w:rPr>
        <w:t xml:space="preserve">We urge </w:t>
      </w:r>
      <w:r w:rsidR="00063356" w:rsidRPr="00115CE4">
        <w:rPr>
          <w:b/>
          <w:bCs/>
        </w:rPr>
        <w:t>the Government</w:t>
      </w:r>
      <w:r w:rsidR="00D52B6F" w:rsidRPr="00115CE4">
        <w:rPr>
          <w:b/>
          <w:bCs/>
        </w:rPr>
        <w:t xml:space="preserve"> to </w:t>
      </w:r>
      <w:r w:rsidR="00DD12D9">
        <w:rPr>
          <w:b/>
          <w:bCs/>
        </w:rPr>
        <w:t xml:space="preserve">deliver on </w:t>
      </w:r>
      <w:r w:rsidR="00FE0581" w:rsidRPr="00115CE4">
        <w:rPr>
          <w:b/>
          <w:bCs/>
        </w:rPr>
        <w:t xml:space="preserve">the </w:t>
      </w:r>
      <w:r w:rsidR="00D52B6F" w:rsidRPr="00115CE4">
        <w:rPr>
          <w:b/>
          <w:bCs/>
        </w:rPr>
        <w:t>commit</w:t>
      </w:r>
      <w:r w:rsidR="00FE0581" w:rsidRPr="00115CE4">
        <w:rPr>
          <w:b/>
          <w:bCs/>
        </w:rPr>
        <w:t xml:space="preserve">ment made following the Hudson Review </w:t>
      </w:r>
      <w:r w:rsidRPr="00115CE4">
        <w:rPr>
          <w:b/>
          <w:bCs/>
        </w:rPr>
        <w:t xml:space="preserve">and </w:t>
      </w:r>
      <w:r w:rsidR="009F517C" w:rsidRPr="00115CE4">
        <w:rPr>
          <w:b/>
          <w:bCs/>
        </w:rPr>
        <w:t>publis</w:t>
      </w:r>
      <w:r w:rsidRPr="00115CE4">
        <w:rPr>
          <w:b/>
          <w:bCs/>
        </w:rPr>
        <w:t>h</w:t>
      </w:r>
      <w:r w:rsidR="009F517C" w:rsidRPr="00115CE4">
        <w:rPr>
          <w:b/>
          <w:bCs/>
        </w:rPr>
        <w:t xml:space="preserve"> the </w:t>
      </w:r>
      <w:r w:rsidR="007B1E3D" w:rsidRPr="00115CE4">
        <w:rPr>
          <w:b/>
          <w:bCs/>
        </w:rPr>
        <w:t xml:space="preserve">provisional </w:t>
      </w:r>
      <w:r w:rsidR="009F517C" w:rsidRPr="00115CE4">
        <w:rPr>
          <w:b/>
          <w:bCs/>
        </w:rPr>
        <w:t xml:space="preserve">settlement in the first week of December </w:t>
      </w:r>
      <w:r w:rsidR="00DD12D9">
        <w:rPr>
          <w:b/>
          <w:bCs/>
        </w:rPr>
        <w:t xml:space="preserve">this </w:t>
      </w:r>
      <w:r w:rsidR="009F517C" w:rsidRPr="00115CE4">
        <w:rPr>
          <w:b/>
          <w:bCs/>
        </w:rPr>
        <w:t>year.</w:t>
      </w:r>
    </w:p>
    <w:p w14:paraId="7DDFAC7E" w14:textId="414BA0AC" w:rsidR="00292829" w:rsidRPr="003B1827" w:rsidRDefault="00D10045" w:rsidP="00292829">
      <w:pPr>
        <w:pStyle w:val="Heading2"/>
        <w:spacing w:before="0" w:after="240" w:line="276" w:lineRule="auto"/>
      </w:pPr>
      <w:bookmarkStart w:id="4" w:name="_Hlk23161538"/>
      <w:r>
        <w:t>T</w:t>
      </w:r>
      <w:r w:rsidR="00292829" w:rsidRPr="003B1827">
        <w:t>ransparency</w:t>
      </w:r>
    </w:p>
    <w:p w14:paraId="493FA061" w14:textId="561D0731" w:rsidR="009C0952" w:rsidRDefault="004E79BF" w:rsidP="000B0E68">
      <w:pPr>
        <w:pStyle w:val="NumBullet1"/>
        <w:tabs>
          <w:tab w:val="clear" w:pos="482"/>
          <w:tab w:val="num" w:pos="567"/>
        </w:tabs>
      </w:pPr>
      <w:r>
        <w:t xml:space="preserve">We are concerned that the headline </w:t>
      </w:r>
      <w:r w:rsidR="003B22EF">
        <w:t>4.1</w:t>
      </w:r>
      <w:r>
        <w:t xml:space="preserve">% </w:t>
      </w:r>
      <w:r w:rsidR="003B22EF">
        <w:t xml:space="preserve">real terms </w:t>
      </w:r>
      <w:r>
        <w:t xml:space="preserve">increase in Core Spending Power </w:t>
      </w:r>
      <w:r w:rsidR="00853F24">
        <w:t xml:space="preserve">(CSP) </w:t>
      </w:r>
      <w:r>
        <w:t>nationally (</w:t>
      </w:r>
      <w:r w:rsidR="003B22EF">
        <w:t>3.9</w:t>
      </w:r>
      <w:r>
        <w:t xml:space="preserve">% across London boroughs) overstates the scale of the increase in resources available to councils. </w:t>
      </w:r>
      <w:r w:rsidR="00235319">
        <w:t xml:space="preserve">CSP </w:t>
      </w:r>
      <w:r>
        <w:t xml:space="preserve">was established as a broader measure of funding available to authorities </w:t>
      </w:r>
      <w:r w:rsidR="006434E3">
        <w:t xml:space="preserve">than just </w:t>
      </w:r>
      <w:r w:rsidR="00E43931">
        <w:t>F</w:t>
      </w:r>
      <w:r w:rsidR="006434E3">
        <w:t xml:space="preserve">ormula </w:t>
      </w:r>
      <w:r w:rsidR="00E43931">
        <w:t>G</w:t>
      </w:r>
      <w:r w:rsidR="006434E3">
        <w:t>rant or Settlement Funding Assessment (SFA</w:t>
      </w:r>
      <w:r w:rsidR="00235319">
        <w:t>) in the early 2010s</w:t>
      </w:r>
      <w:r>
        <w:t xml:space="preserve">, and comprises SFA, estimated council tax, and several specific grants. </w:t>
      </w:r>
      <w:r w:rsidR="003B22EF">
        <w:t>I</w:t>
      </w:r>
      <w:r w:rsidR="009C0952" w:rsidRPr="009C0952">
        <w:t>t</w:t>
      </w:r>
      <w:r w:rsidR="003B22EF">
        <w:t xml:space="preserve"> remains unc</w:t>
      </w:r>
      <w:r w:rsidR="009C0952" w:rsidRPr="009C0952">
        <w:t xml:space="preserve">lear why only some specific grants are included within CSP </w:t>
      </w:r>
      <w:r w:rsidR="00235319">
        <w:t xml:space="preserve">(for example the new adult social care reform funding) </w:t>
      </w:r>
      <w:r w:rsidR="009C0952" w:rsidRPr="009C0952">
        <w:t>and others (such as the £3</w:t>
      </w:r>
      <w:r w:rsidR="009C0952">
        <w:t>.3</w:t>
      </w:r>
      <w:r w:rsidR="009C0952" w:rsidRPr="009C0952">
        <w:t xml:space="preserve">bn Public </w:t>
      </w:r>
      <w:r w:rsidR="003B22EF">
        <w:t>H</w:t>
      </w:r>
      <w:r w:rsidR="009C0952" w:rsidRPr="009C0952">
        <w:t xml:space="preserve">ealth </w:t>
      </w:r>
      <w:r w:rsidR="003B22EF">
        <w:t>G</w:t>
      </w:r>
      <w:r w:rsidR="009C0952" w:rsidRPr="009C0952">
        <w:t>rant</w:t>
      </w:r>
      <w:r w:rsidR="003B22EF">
        <w:t xml:space="preserve"> or the £316m Homelessness </w:t>
      </w:r>
      <w:r w:rsidR="00A83776">
        <w:t>Prevention</w:t>
      </w:r>
      <w:r w:rsidR="003B22EF">
        <w:t xml:space="preserve"> Grant</w:t>
      </w:r>
      <w:r w:rsidR="006434E3">
        <w:t>)</w:t>
      </w:r>
      <w:r w:rsidR="009C0952" w:rsidRPr="009C0952">
        <w:t xml:space="preserve"> are not. </w:t>
      </w:r>
      <w:r w:rsidR="009C0952">
        <w:t>If the changes in other grants outside the settlement were included, the overall 4</w:t>
      </w:r>
      <w:r w:rsidR="003B22EF">
        <w:t>%</w:t>
      </w:r>
      <w:r w:rsidR="009C0952">
        <w:t xml:space="preserve"> figure would be </w:t>
      </w:r>
      <w:r w:rsidR="003B22EF">
        <w:t xml:space="preserve">much </w:t>
      </w:r>
      <w:r w:rsidR="009C0952">
        <w:t>lower</w:t>
      </w:r>
      <w:r w:rsidR="003B22EF">
        <w:t>,</w:t>
      </w:r>
      <w:r w:rsidR="009C0952">
        <w:t xml:space="preserve"> a</w:t>
      </w:r>
      <w:r w:rsidR="00235319">
        <w:t>s</w:t>
      </w:r>
      <w:r w:rsidR="009C0952">
        <w:t xml:space="preserve"> these other grants are increasing by less than </w:t>
      </w:r>
      <w:r w:rsidR="003B22EF">
        <w:t xml:space="preserve">overall </w:t>
      </w:r>
      <w:r w:rsidR="009C0952">
        <w:t xml:space="preserve">CSP. </w:t>
      </w:r>
      <w:r w:rsidR="009C0952" w:rsidRPr="009C0952">
        <w:t xml:space="preserve">   </w:t>
      </w:r>
    </w:p>
    <w:p w14:paraId="5154FD9F" w14:textId="70CB9F17" w:rsidR="005A672D" w:rsidRDefault="009C0952" w:rsidP="009C0952">
      <w:pPr>
        <w:pStyle w:val="NumBullet1"/>
        <w:tabs>
          <w:tab w:val="clear" w:pos="482"/>
          <w:tab w:val="num" w:pos="567"/>
        </w:tabs>
      </w:pPr>
      <w:proofErr w:type="gramStart"/>
      <w:r>
        <w:t>With regard to</w:t>
      </w:r>
      <w:proofErr w:type="gramEnd"/>
      <w:r>
        <w:t xml:space="preserve"> the use of SFA, this itself is not an accurate or tangible number</w:t>
      </w:r>
      <w:r w:rsidR="006434E3">
        <w:t xml:space="preserve"> that councils recognise in their budgets</w:t>
      </w:r>
      <w:r>
        <w:t>, as it comprises R</w:t>
      </w:r>
      <w:r w:rsidR="00367C47">
        <w:t>evenue Support Grant (R</w:t>
      </w:r>
      <w:r>
        <w:t>SG</w:t>
      </w:r>
      <w:r w:rsidR="00367C47">
        <w:t>)</w:t>
      </w:r>
      <w:r>
        <w:t xml:space="preserve"> and B</w:t>
      </w:r>
      <w:r w:rsidR="006434E3">
        <w:t>a</w:t>
      </w:r>
      <w:r>
        <w:t xml:space="preserve">seline Funding Level </w:t>
      </w:r>
      <w:r w:rsidR="006434E3">
        <w:t>(</w:t>
      </w:r>
      <w:r>
        <w:t xml:space="preserve">essentially the baseline target for retained business rates set by government). </w:t>
      </w:r>
      <w:proofErr w:type="gramStart"/>
      <w:r>
        <w:t>In reality</w:t>
      </w:r>
      <w:r w:rsidR="006434E3">
        <w:t>,</w:t>
      </w:r>
      <w:r>
        <w:t xml:space="preserve"> </w:t>
      </w:r>
      <w:r w:rsidR="005A672D">
        <w:t>some</w:t>
      </w:r>
      <w:proofErr w:type="gramEnd"/>
      <w:r w:rsidR="005A672D">
        <w:t xml:space="preserve"> authorit</w:t>
      </w:r>
      <w:r w:rsidR="006434E3">
        <w:t>i</w:t>
      </w:r>
      <w:r w:rsidR="005A672D">
        <w:t>es will retain more than their baseline, but many will be below it. This is increasingly likely in 2022</w:t>
      </w:r>
      <w:r w:rsidR="00901D35">
        <w:t>-23</w:t>
      </w:r>
      <w:r w:rsidR="005A672D">
        <w:t xml:space="preserve"> as the ongoing impact of the pan</w:t>
      </w:r>
      <w:r w:rsidR="008D49D5">
        <w:t>de</w:t>
      </w:r>
      <w:r w:rsidR="005A672D">
        <w:t>mi</w:t>
      </w:r>
      <w:r w:rsidR="008D49D5">
        <w:t xml:space="preserve">c </w:t>
      </w:r>
      <w:r w:rsidR="005A672D">
        <w:t xml:space="preserve">on the economy will depress business rates revenues significantly. </w:t>
      </w:r>
    </w:p>
    <w:p w14:paraId="5943DE11" w14:textId="427C1DE2" w:rsidR="00306304" w:rsidRDefault="005A672D" w:rsidP="00306304">
      <w:pPr>
        <w:pStyle w:val="NumBullet1"/>
        <w:tabs>
          <w:tab w:val="clear" w:pos="482"/>
          <w:tab w:val="num" w:pos="567"/>
        </w:tabs>
      </w:pPr>
      <w:r>
        <w:t>Finally, and most significantly</w:t>
      </w:r>
      <w:r w:rsidR="008D49D5">
        <w:t xml:space="preserve">, </w:t>
      </w:r>
      <w:r>
        <w:t xml:space="preserve">the assumptions being made </w:t>
      </w:r>
      <w:proofErr w:type="gramStart"/>
      <w:r>
        <w:t>with regard to</w:t>
      </w:r>
      <w:proofErr w:type="gramEnd"/>
      <w:r>
        <w:t xml:space="preserve"> council tax are potentially misleading.</w:t>
      </w:r>
      <w:r w:rsidR="008D49D5">
        <w:t xml:space="preserve"> The CSP figures assume a</w:t>
      </w:r>
      <w:r w:rsidR="009C0952" w:rsidRPr="00E24F14">
        <w:t xml:space="preserve">ll authorities raise </w:t>
      </w:r>
      <w:r w:rsidR="008D49D5">
        <w:t xml:space="preserve">council tax and, for those eligible, the </w:t>
      </w:r>
      <w:r w:rsidR="00901D35">
        <w:t xml:space="preserve">adult </w:t>
      </w:r>
      <w:r w:rsidR="009C0952" w:rsidRPr="00E24F14">
        <w:t>social care precept</w:t>
      </w:r>
      <w:r w:rsidR="008D49D5">
        <w:t>,</w:t>
      </w:r>
      <w:r w:rsidR="009C0952" w:rsidRPr="00E24F14">
        <w:t xml:space="preserve"> </w:t>
      </w:r>
      <w:r w:rsidR="008D49D5">
        <w:t>by the</w:t>
      </w:r>
      <w:r w:rsidR="009C0952" w:rsidRPr="00E24F14">
        <w:t xml:space="preserve"> maximum </w:t>
      </w:r>
      <w:r w:rsidR="008D49D5">
        <w:t xml:space="preserve">amount possible </w:t>
      </w:r>
      <w:r w:rsidR="009C0952" w:rsidRPr="00E24F14">
        <w:t>in 202</w:t>
      </w:r>
      <w:r w:rsidR="009C0952">
        <w:t>2</w:t>
      </w:r>
      <w:r w:rsidR="00901D35">
        <w:t>-23</w:t>
      </w:r>
      <w:r w:rsidR="009C0952">
        <w:t xml:space="preserve"> (</w:t>
      </w:r>
      <w:r w:rsidR="00901D35">
        <w:t>3</w:t>
      </w:r>
      <w:r w:rsidR="009C0952">
        <w:t xml:space="preserve">% </w:t>
      </w:r>
      <w:r w:rsidR="008D49D5">
        <w:t xml:space="preserve">for London boroughs). Council tax rises are local decisions </w:t>
      </w:r>
      <w:r w:rsidR="00BA275A">
        <w:t xml:space="preserve">that must be taken </w:t>
      </w:r>
      <w:proofErr w:type="gramStart"/>
      <w:r w:rsidR="00BA275A">
        <w:t>in light of</w:t>
      </w:r>
      <w:proofErr w:type="gramEnd"/>
      <w:r w:rsidR="00BA275A">
        <w:t xml:space="preserve"> the regressive nature of the tax and </w:t>
      </w:r>
      <w:r w:rsidR="0022635E">
        <w:t>the impact</w:t>
      </w:r>
      <w:r w:rsidR="00BA275A">
        <w:t xml:space="preserve"> on local residents. It is</w:t>
      </w:r>
      <w:r w:rsidR="0022635E">
        <w:t>,</w:t>
      </w:r>
      <w:r w:rsidR="00BA275A">
        <w:t xml:space="preserve"> therefore</w:t>
      </w:r>
      <w:r w:rsidR="0022635E">
        <w:t>,</w:t>
      </w:r>
      <w:r w:rsidR="00BA275A">
        <w:t xml:space="preserve"> inappropriate to assume maximal increases</w:t>
      </w:r>
      <w:r w:rsidR="00306304">
        <w:t xml:space="preserve"> when </w:t>
      </w:r>
      <w:r w:rsidR="00BA275A">
        <w:t>presenting</w:t>
      </w:r>
      <w:r w:rsidR="00306304">
        <w:t xml:space="preserve"> official funding figures. It would be more accurate for </w:t>
      </w:r>
      <w:r w:rsidR="00063356">
        <w:t>the Government</w:t>
      </w:r>
      <w:r w:rsidR="00306304">
        <w:t xml:space="preserve"> to assume the average level of increase within the permitted rules using historic trends,</w:t>
      </w:r>
      <w:r w:rsidR="00F27CE9">
        <w:t xml:space="preserve"> rather</w:t>
      </w:r>
      <w:r w:rsidR="00306304">
        <w:t xml:space="preserve"> than assuming maxim</w:t>
      </w:r>
      <w:r w:rsidR="006434E3">
        <w:t>um</w:t>
      </w:r>
      <w:r w:rsidR="00306304">
        <w:t xml:space="preserve"> increases, which will overst</w:t>
      </w:r>
      <w:r w:rsidR="008B0234">
        <w:t>a</w:t>
      </w:r>
      <w:r w:rsidR="00306304">
        <w:t>t</w:t>
      </w:r>
      <w:r w:rsidR="008B0234">
        <w:t>e</w:t>
      </w:r>
      <w:r w:rsidR="00306304">
        <w:t xml:space="preserve"> the act</w:t>
      </w:r>
      <w:r w:rsidR="008B0234">
        <w:t>u</w:t>
      </w:r>
      <w:r w:rsidR="00306304">
        <w:t>al level of resource</w:t>
      </w:r>
      <w:r w:rsidR="006434E3">
        <w:t>s</w:t>
      </w:r>
      <w:r w:rsidR="00306304">
        <w:t xml:space="preserve">. </w:t>
      </w:r>
    </w:p>
    <w:p w14:paraId="4606EBED" w14:textId="5136144E" w:rsidR="009C0952" w:rsidRDefault="009C0E82" w:rsidP="00306304">
      <w:pPr>
        <w:pStyle w:val="NumBullet1"/>
        <w:tabs>
          <w:tab w:val="clear" w:pos="482"/>
          <w:tab w:val="num" w:pos="567"/>
        </w:tabs>
      </w:pPr>
      <w:r>
        <w:t xml:space="preserve">We would also challenge the </w:t>
      </w:r>
      <w:r w:rsidR="00306304">
        <w:t xml:space="preserve">assumption </w:t>
      </w:r>
      <w:r>
        <w:t>that</w:t>
      </w:r>
      <w:r w:rsidR="00306304">
        <w:t xml:space="preserve"> each authorities’ </w:t>
      </w:r>
      <w:r w:rsidR="000A2BE3">
        <w:t>c</w:t>
      </w:r>
      <w:r w:rsidR="009C0952">
        <w:t xml:space="preserve">ouncil </w:t>
      </w:r>
      <w:r w:rsidR="000A2BE3">
        <w:t>t</w:t>
      </w:r>
      <w:r w:rsidR="009C0952" w:rsidRPr="008B7D68">
        <w:t xml:space="preserve">ax base </w:t>
      </w:r>
      <w:r>
        <w:t xml:space="preserve">will </w:t>
      </w:r>
      <w:r w:rsidR="00306304">
        <w:t xml:space="preserve">continue to </w:t>
      </w:r>
      <w:r w:rsidR="009C0952" w:rsidRPr="008B7D68">
        <w:t xml:space="preserve">increase </w:t>
      </w:r>
      <w:r w:rsidR="00306304">
        <w:t>by the same as the a</w:t>
      </w:r>
      <w:r w:rsidR="009C0952" w:rsidRPr="008B7D68">
        <w:t xml:space="preserve">verage </w:t>
      </w:r>
      <w:r w:rsidR="00306304">
        <w:t xml:space="preserve">annual change over the </w:t>
      </w:r>
      <w:r w:rsidR="009C0952">
        <w:t>last 5 years</w:t>
      </w:r>
      <w:r w:rsidR="00306304">
        <w:t xml:space="preserve">. This </w:t>
      </w:r>
      <w:r>
        <w:t>understates</w:t>
      </w:r>
      <w:r w:rsidR="00306304">
        <w:t xml:space="preserve"> the potential impact of the pandemic on the tax base – both through lower collection rates and through the increased number of LCTS claimants</w:t>
      </w:r>
      <w:r w:rsidR="00BA6A49">
        <w:t xml:space="preserve">. The </w:t>
      </w:r>
      <w:r w:rsidR="008B0234">
        <w:t xml:space="preserve">£670m of LCTS support </w:t>
      </w:r>
      <w:r w:rsidR="00901D35">
        <w:t xml:space="preserve">funding awarded to </w:t>
      </w:r>
      <w:r w:rsidR="008B0234">
        <w:t>councils in 2021-22</w:t>
      </w:r>
      <w:r w:rsidR="00901D35">
        <w:t xml:space="preserve"> will end in 2022-23</w:t>
      </w:r>
      <w:r w:rsidR="008B0234">
        <w:t xml:space="preserve">. </w:t>
      </w:r>
      <w:r w:rsidR="00901D35">
        <w:t>Many of the recipients of this support will struggle without it</w:t>
      </w:r>
      <w:r w:rsidR="0022635E">
        <w:t>,</w:t>
      </w:r>
      <w:r w:rsidR="00901D35">
        <w:t xml:space="preserve"> </w:t>
      </w:r>
      <w:r>
        <w:t xml:space="preserve">which will put pressure on collection rates. </w:t>
      </w:r>
      <w:r w:rsidR="008B0234">
        <w:t>The level</w:t>
      </w:r>
      <w:r w:rsidR="0022635E">
        <w:t xml:space="preserve"> </w:t>
      </w:r>
      <w:r w:rsidR="008B0234">
        <w:t>of council tax included within CSP in the provisional settlement will, in our view, significantly overstate the true level of resources available to councils next year</w:t>
      </w:r>
      <w:r w:rsidR="0022635E">
        <w:t xml:space="preserve"> (as it has done in previous years).</w:t>
      </w:r>
      <w:r w:rsidR="008B0234">
        <w:t xml:space="preserve">  </w:t>
      </w:r>
    </w:p>
    <w:p w14:paraId="08E963AD" w14:textId="53C06B26" w:rsidR="00292829" w:rsidRPr="003B1827" w:rsidRDefault="006434E3" w:rsidP="00292829">
      <w:pPr>
        <w:pStyle w:val="NumBullet1"/>
        <w:tabs>
          <w:tab w:val="clear" w:pos="482"/>
          <w:tab w:val="num" w:pos="567"/>
        </w:tabs>
      </w:pPr>
      <w:r>
        <w:t xml:space="preserve">More broadly, </w:t>
      </w:r>
      <w:r w:rsidR="00292829" w:rsidRPr="003B1827">
        <w:t xml:space="preserve">London Councils believes the local government finance system should be underpinned by the principles of stability, </w:t>
      </w:r>
      <w:proofErr w:type="gramStart"/>
      <w:r w:rsidR="00292829" w:rsidRPr="003B1827">
        <w:t>certainty</w:t>
      </w:r>
      <w:proofErr w:type="gramEnd"/>
      <w:r w:rsidR="00292829" w:rsidRPr="003B1827">
        <w:t xml:space="preserve"> and transparency. Local authorities should be able to understand clearly how much funding is available</w:t>
      </w:r>
      <w:r w:rsidR="00292829">
        <w:t>,</w:t>
      </w:r>
      <w:r w:rsidR="00292829" w:rsidRPr="003B1827">
        <w:t xml:space="preserve"> and where it comes from</w:t>
      </w:r>
      <w:r w:rsidR="00292829">
        <w:t>,</w:t>
      </w:r>
      <w:r w:rsidR="00292829" w:rsidRPr="003B1827">
        <w:t xml:space="preserve"> for the services they are required to deliver. </w:t>
      </w:r>
      <w:r w:rsidR="00292829">
        <w:t>The c</w:t>
      </w:r>
      <w:r w:rsidR="00292829" w:rsidRPr="003B1827">
        <w:t xml:space="preserve">urrent system remains incredibly complex and opaque, enabling changes to be made to the distribution of funding allocations which are extremely difficult to understand and assess accurately. </w:t>
      </w:r>
    </w:p>
    <w:p w14:paraId="2B54E65D" w14:textId="79BA031D" w:rsidR="00CA0453" w:rsidRDefault="00235319" w:rsidP="002E24D6">
      <w:pPr>
        <w:pStyle w:val="NumBullet1"/>
      </w:pPr>
      <w:r>
        <w:t>Without significant levels of prior knowledge, it is not clear from the settlement how the £1.5bn of new funding is being allocated, or indeed how the underlying £9bn of Local Government DEL is distributed as different grants.</w:t>
      </w:r>
      <w:r w:rsidR="002171CD">
        <w:t xml:space="preserve"> </w:t>
      </w:r>
      <w:r w:rsidR="00292829" w:rsidRPr="003B1827">
        <w:t xml:space="preserve">Without </w:t>
      </w:r>
      <w:r w:rsidR="002171CD">
        <w:t xml:space="preserve">a breakdown of the LG DEL and other relevant departmental expenditure limits which fund local authorities, </w:t>
      </w:r>
      <w:r w:rsidR="00292829" w:rsidRPr="003B1827">
        <w:t xml:space="preserve">it is </w:t>
      </w:r>
      <w:r w:rsidR="00292829">
        <w:t>unc</w:t>
      </w:r>
      <w:r w:rsidR="00292829" w:rsidRPr="003B1827">
        <w:t xml:space="preserve">lear how the central share of business rates </w:t>
      </w:r>
      <w:r w:rsidR="00292829">
        <w:t xml:space="preserve">funds </w:t>
      </w:r>
      <w:r w:rsidR="002171CD">
        <w:t xml:space="preserve">grants </w:t>
      </w:r>
      <w:r w:rsidR="00292829">
        <w:t xml:space="preserve">inside and </w:t>
      </w:r>
      <w:r w:rsidR="00292829" w:rsidRPr="003B1827">
        <w:t xml:space="preserve">outside of </w:t>
      </w:r>
      <w:r w:rsidR="00292829">
        <w:t xml:space="preserve">the </w:t>
      </w:r>
      <w:r w:rsidR="00292829" w:rsidRPr="003B1827">
        <w:t>settlement.</w:t>
      </w:r>
      <w:r w:rsidR="002171CD" w:rsidRPr="002171CD">
        <w:t xml:space="preserve"> </w:t>
      </w:r>
      <w:r w:rsidR="002171CD" w:rsidRPr="002171CD">
        <w:rPr>
          <w:b/>
          <w:bCs/>
        </w:rPr>
        <w:t xml:space="preserve">We continue to urge the Government to publish a full reconciliation between </w:t>
      </w:r>
      <w:r w:rsidR="002171CD" w:rsidRPr="002171CD">
        <w:rPr>
          <w:b/>
          <w:bCs/>
        </w:rPr>
        <w:lastRenderedPageBreak/>
        <w:t>the funding made available to local government and the Local Government DEL figures published annually by HMT.</w:t>
      </w:r>
    </w:p>
    <w:p w14:paraId="312DB279" w14:textId="0D8DA368" w:rsidR="00D67AC8" w:rsidRPr="00115CE4" w:rsidRDefault="00115CE4" w:rsidP="00A52215">
      <w:pPr>
        <w:pStyle w:val="NumBullet1"/>
        <w:spacing w:after="360"/>
        <w:rPr>
          <w:b/>
          <w:bCs/>
        </w:rPr>
      </w:pPr>
      <w:r w:rsidRPr="00115CE4">
        <w:rPr>
          <w:b/>
          <w:bCs/>
        </w:rPr>
        <w:t xml:space="preserve">We </w:t>
      </w:r>
      <w:r w:rsidR="002171CD">
        <w:rPr>
          <w:b/>
          <w:bCs/>
        </w:rPr>
        <w:t xml:space="preserve">also </w:t>
      </w:r>
      <w:r w:rsidRPr="00115CE4">
        <w:rPr>
          <w:b/>
          <w:bCs/>
        </w:rPr>
        <w:t>urge th</w:t>
      </w:r>
      <w:r w:rsidR="00063356" w:rsidRPr="00115CE4">
        <w:rPr>
          <w:b/>
          <w:bCs/>
        </w:rPr>
        <w:t>e Government</w:t>
      </w:r>
      <w:r w:rsidR="00292829" w:rsidRPr="00115CE4">
        <w:rPr>
          <w:b/>
          <w:bCs/>
        </w:rPr>
        <w:t xml:space="preserve"> </w:t>
      </w:r>
      <w:r w:rsidRPr="00115CE4">
        <w:rPr>
          <w:b/>
          <w:bCs/>
        </w:rPr>
        <w:t>to</w:t>
      </w:r>
      <w:r w:rsidR="00292829" w:rsidRPr="00115CE4">
        <w:rPr>
          <w:b/>
          <w:bCs/>
        </w:rPr>
        <w:t xml:space="preserve"> be clearer about how </w:t>
      </w:r>
      <w:r w:rsidR="00235319">
        <w:rPr>
          <w:b/>
          <w:bCs/>
        </w:rPr>
        <w:t>t</w:t>
      </w:r>
      <w:r w:rsidR="002E24D6" w:rsidRPr="00115CE4">
        <w:rPr>
          <w:b/>
          <w:bCs/>
        </w:rPr>
        <w:t xml:space="preserve">he </w:t>
      </w:r>
      <w:r w:rsidR="00235319">
        <w:rPr>
          <w:b/>
          <w:bCs/>
        </w:rPr>
        <w:t xml:space="preserve">national </w:t>
      </w:r>
      <w:r w:rsidR="00292829" w:rsidRPr="00115CE4">
        <w:rPr>
          <w:b/>
          <w:bCs/>
        </w:rPr>
        <w:t xml:space="preserve">business rates </w:t>
      </w:r>
      <w:r w:rsidR="002E24D6" w:rsidRPr="00115CE4">
        <w:rPr>
          <w:b/>
          <w:bCs/>
        </w:rPr>
        <w:t xml:space="preserve">yield </w:t>
      </w:r>
      <w:r w:rsidR="00292829" w:rsidRPr="00115CE4">
        <w:rPr>
          <w:b/>
          <w:bCs/>
        </w:rPr>
        <w:t xml:space="preserve">is used to fund different </w:t>
      </w:r>
      <w:r w:rsidR="002E24D6" w:rsidRPr="00115CE4">
        <w:rPr>
          <w:b/>
          <w:bCs/>
        </w:rPr>
        <w:t xml:space="preserve">local authority </w:t>
      </w:r>
      <w:r w:rsidR="00292829" w:rsidRPr="00115CE4">
        <w:rPr>
          <w:b/>
          <w:bCs/>
        </w:rPr>
        <w:t xml:space="preserve">grants </w:t>
      </w:r>
      <w:r w:rsidR="002E24D6" w:rsidRPr="00115CE4">
        <w:rPr>
          <w:b/>
          <w:bCs/>
        </w:rPr>
        <w:t>(as the 1988 L</w:t>
      </w:r>
      <w:r w:rsidR="0022635E" w:rsidRPr="00115CE4">
        <w:rPr>
          <w:b/>
          <w:bCs/>
        </w:rPr>
        <w:t xml:space="preserve">ocal </w:t>
      </w:r>
      <w:r w:rsidR="002E24D6" w:rsidRPr="00115CE4">
        <w:rPr>
          <w:b/>
          <w:bCs/>
        </w:rPr>
        <w:t>G</w:t>
      </w:r>
      <w:r w:rsidR="0022635E" w:rsidRPr="00115CE4">
        <w:rPr>
          <w:b/>
          <w:bCs/>
        </w:rPr>
        <w:t xml:space="preserve">overnment </w:t>
      </w:r>
      <w:r w:rsidR="002E24D6" w:rsidRPr="00115CE4">
        <w:rPr>
          <w:b/>
          <w:bCs/>
        </w:rPr>
        <w:t>F</w:t>
      </w:r>
      <w:r w:rsidR="0022635E" w:rsidRPr="00115CE4">
        <w:rPr>
          <w:b/>
          <w:bCs/>
        </w:rPr>
        <w:t>inance</w:t>
      </w:r>
      <w:r w:rsidR="002E24D6" w:rsidRPr="00115CE4">
        <w:rPr>
          <w:b/>
          <w:bCs/>
        </w:rPr>
        <w:t xml:space="preserve"> Act</w:t>
      </w:r>
      <w:r w:rsidRPr="00115CE4">
        <w:rPr>
          <w:b/>
          <w:bCs/>
        </w:rPr>
        <w:t xml:space="preserve"> states it must</w:t>
      </w:r>
      <w:r w:rsidR="0022635E" w:rsidRPr="00115CE4">
        <w:rPr>
          <w:b/>
          <w:bCs/>
        </w:rPr>
        <w:t>)</w:t>
      </w:r>
      <w:r w:rsidR="002E24D6" w:rsidRPr="00115CE4">
        <w:rPr>
          <w:b/>
          <w:bCs/>
        </w:rPr>
        <w:t>, so that</w:t>
      </w:r>
      <w:r w:rsidR="00292829" w:rsidRPr="00115CE4">
        <w:rPr>
          <w:b/>
          <w:bCs/>
        </w:rPr>
        <w:t xml:space="preserve"> allocation decisions can be understood </w:t>
      </w:r>
      <w:r w:rsidR="00CA0453" w:rsidRPr="00115CE4">
        <w:rPr>
          <w:b/>
          <w:bCs/>
        </w:rPr>
        <w:t xml:space="preserve">by the lay person </w:t>
      </w:r>
      <w:r w:rsidR="00292829" w:rsidRPr="00115CE4">
        <w:rPr>
          <w:b/>
          <w:bCs/>
        </w:rPr>
        <w:t>and given the appropriate scrutiny</w:t>
      </w:r>
      <w:r w:rsidR="00CA0453" w:rsidRPr="00115CE4">
        <w:rPr>
          <w:b/>
          <w:bCs/>
        </w:rPr>
        <w:t>.</w:t>
      </w:r>
    </w:p>
    <w:p w14:paraId="3623FC60" w14:textId="4689BA4E" w:rsidR="00C01EBE" w:rsidRPr="002A0B36" w:rsidRDefault="00C01EBE" w:rsidP="00F95F9F">
      <w:pPr>
        <w:pStyle w:val="NumBullet1"/>
        <w:numPr>
          <w:ilvl w:val="0"/>
          <w:numId w:val="0"/>
        </w:numPr>
        <w:spacing w:before="100" w:beforeAutospacing="1" w:after="100" w:afterAutospacing="1"/>
        <w:rPr>
          <w:rFonts w:ascii="Arial" w:hAnsi="Arial"/>
          <w:b/>
          <w:color w:val="auto"/>
          <w:sz w:val="22"/>
          <w:szCs w:val="22"/>
        </w:rPr>
      </w:pPr>
      <w:r w:rsidRPr="002A0B36">
        <w:rPr>
          <w:rFonts w:ascii="Arial" w:hAnsi="Arial"/>
          <w:b/>
          <w:color w:val="auto"/>
          <w:sz w:val="22"/>
          <w:szCs w:val="22"/>
        </w:rPr>
        <w:t xml:space="preserve">Council Tax </w:t>
      </w:r>
      <w:r w:rsidR="00C30136" w:rsidRPr="002A0B36">
        <w:rPr>
          <w:rFonts w:ascii="Arial" w:hAnsi="Arial"/>
          <w:b/>
          <w:color w:val="auto"/>
          <w:sz w:val="22"/>
          <w:szCs w:val="22"/>
        </w:rPr>
        <w:t>P</w:t>
      </w:r>
      <w:r w:rsidRPr="002A0B36">
        <w:rPr>
          <w:rFonts w:ascii="Arial" w:hAnsi="Arial"/>
          <w:b/>
          <w:color w:val="auto"/>
          <w:sz w:val="22"/>
          <w:szCs w:val="22"/>
        </w:rPr>
        <w:t xml:space="preserve">rinciples </w:t>
      </w:r>
    </w:p>
    <w:p w14:paraId="57E34FC9" w14:textId="7EFB76A8" w:rsidR="00B33825" w:rsidRPr="00187416" w:rsidRDefault="00CA0453" w:rsidP="0026415E">
      <w:pPr>
        <w:pStyle w:val="NumBullet1"/>
        <w:spacing w:before="100" w:beforeAutospacing="1" w:after="360" w:afterAutospacing="1"/>
      </w:pPr>
      <w:r>
        <w:t xml:space="preserve">While we welcome the visibility of council tax referendum principles for the next three years, </w:t>
      </w:r>
      <w:r w:rsidR="000431EE">
        <w:t xml:space="preserve">it is </w:t>
      </w:r>
      <w:r w:rsidR="00046750">
        <w:t xml:space="preserve">disappointing that </w:t>
      </w:r>
      <w:r w:rsidR="00063356">
        <w:t>the Government</w:t>
      </w:r>
      <w:r w:rsidR="00046750">
        <w:t xml:space="preserve"> has </w:t>
      </w:r>
      <w:r w:rsidR="00D67AC8">
        <w:t xml:space="preserve">continued the </w:t>
      </w:r>
      <w:r w:rsidR="00B33825" w:rsidRPr="00B33825">
        <w:t>Adult Social Care Precept</w:t>
      </w:r>
      <w:r w:rsidR="000A2BE3">
        <w:t>, rather than funding adult social care</w:t>
      </w:r>
      <w:r w:rsidR="00725C8E">
        <w:t xml:space="preserve"> </w:t>
      </w:r>
      <w:r w:rsidR="000A2BE3">
        <w:t>through a needs</w:t>
      </w:r>
      <w:r>
        <w:t>-</w:t>
      </w:r>
      <w:r w:rsidR="000A2BE3">
        <w:t xml:space="preserve">based grant, as this not only </w:t>
      </w:r>
      <w:r w:rsidR="00B33825" w:rsidRPr="00B33825">
        <w:t xml:space="preserve">represents unnecessary central government control over local </w:t>
      </w:r>
      <w:r w:rsidR="0022635E">
        <w:t xml:space="preserve">taxation, </w:t>
      </w:r>
      <w:r>
        <w:t xml:space="preserve">but </w:t>
      </w:r>
      <w:r w:rsidR="000A2BE3">
        <w:t xml:space="preserve">it </w:t>
      </w:r>
      <w:r>
        <w:t>fails to</w:t>
      </w:r>
      <w:r w:rsidR="000A2BE3">
        <w:t xml:space="preserve"> deliver funding where it is needed most</w:t>
      </w:r>
      <w:r w:rsidR="002F7ABB">
        <w:t>, while placing the greatest burden on those who can least afford it</w:t>
      </w:r>
      <w:r w:rsidR="000A2BE3">
        <w:t xml:space="preserve">. </w:t>
      </w:r>
      <w:r w:rsidR="000A2BE3" w:rsidRPr="000431EE">
        <w:rPr>
          <w:b/>
          <w:bCs/>
        </w:rPr>
        <w:t xml:space="preserve">We </w:t>
      </w:r>
      <w:r w:rsidR="00B33825" w:rsidRPr="000431EE">
        <w:rPr>
          <w:b/>
          <w:bCs/>
        </w:rPr>
        <w:t xml:space="preserve">urge </w:t>
      </w:r>
      <w:r w:rsidR="00063356" w:rsidRPr="000431EE">
        <w:rPr>
          <w:b/>
          <w:bCs/>
        </w:rPr>
        <w:t>the Government</w:t>
      </w:r>
      <w:r w:rsidR="00B33825" w:rsidRPr="000431EE">
        <w:rPr>
          <w:b/>
          <w:bCs/>
        </w:rPr>
        <w:t xml:space="preserve"> to </w:t>
      </w:r>
      <w:r w:rsidR="006A26CB" w:rsidRPr="000431EE">
        <w:rPr>
          <w:b/>
          <w:bCs/>
        </w:rPr>
        <w:t xml:space="preserve">reconsider its plans to continue the </w:t>
      </w:r>
      <w:r w:rsidR="00B33825" w:rsidRPr="000431EE">
        <w:rPr>
          <w:b/>
          <w:bCs/>
        </w:rPr>
        <w:t xml:space="preserve">precept </w:t>
      </w:r>
      <w:r w:rsidR="00EA13FA" w:rsidRPr="000431EE">
        <w:rPr>
          <w:b/>
          <w:bCs/>
        </w:rPr>
        <w:t>beyond 2</w:t>
      </w:r>
      <w:r w:rsidR="000A2BE3" w:rsidRPr="000431EE">
        <w:rPr>
          <w:b/>
          <w:bCs/>
        </w:rPr>
        <w:t xml:space="preserve">022-23, so it </w:t>
      </w:r>
      <w:r w:rsidR="00B33825" w:rsidRPr="000431EE">
        <w:rPr>
          <w:b/>
          <w:bCs/>
        </w:rPr>
        <w:t>does not become a permanent hypothecation of council tax</w:t>
      </w:r>
      <w:r w:rsidR="00EA13FA" w:rsidRPr="000431EE">
        <w:rPr>
          <w:b/>
          <w:bCs/>
        </w:rPr>
        <w:t>.</w:t>
      </w:r>
      <w:r w:rsidR="00B33825" w:rsidRPr="00B33825">
        <w:t xml:space="preserve"> </w:t>
      </w:r>
    </w:p>
    <w:bookmarkEnd w:id="4"/>
    <w:p w14:paraId="2F1302B6" w14:textId="273134BD" w:rsidR="00667B82" w:rsidRPr="00917318" w:rsidRDefault="00667B82" w:rsidP="00CA0453">
      <w:pPr>
        <w:pStyle w:val="NumBullet1"/>
        <w:numPr>
          <w:ilvl w:val="0"/>
          <w:numId w:val="0"/>
        </w:numPr>
        <w:spacing w:before="100" w:beforeAutospacing="1" w:after="100" w:afterAutospacing="1"/>
        <w:ind w:left="482" w:hanging="482"/>
        <w:rPr>
          <w:rFonts w:ascii="Arial" w:hAnsi="Arial"/>
          <w:b/>
          <w:color w:val="auto"/>
          <w:sz w:val="22"/>
          <w:szCs w:val="22"/>
        </w:rPr>
      </w:pPr>
      <w:r w:rsidRPr="00917318">
        <w:rPr>
          <w:rFonts w:ascii="Arial" w:hAnsi="Arial"/>
          <w:b/>
          <w:color w:val="auto"/>
          <w:sz w:val="22"/>
          <w:szCs w:val="22"/>
        </w:rPr>
        <w:t>Social Care Funding</w:t>
      </w:r>
    </w:p>
    <w:p w14:paraId="6135FACB" w14:textId="012FB350" w:rsidR="006478B9" w:rsidRDefault="00FA5C90" w:rsidP="00C85816">
      <w:pPr>
        <w:pStyle w:val="NumBullet1"/>
      </w:pPr>
      <w:r>
        <w:t>London Council</w:t>
      </w:r>
      <w:r w:rsidR="0022635E">
        <w:t>s</w:t>
      </w:r>
      <w:r>
        <w:t xml:space="preserve"> is concerned that the £3.6bn funding over three years to implement fair cost of care reform, the care cost cap and extension of the means test threshold </w:t>
      </w:r>
      <w:r w:rsidR="009005DD">
        <w:t>will not be</w:t>
      </w:r>
      <w:r>
        <w:t xml:space="preserve"> sufficient. The LGA estimates the existing provider market funding gap is £1.5bn nationally. </w:t>
      </w:r>
      <w:r w:rsidRPr="007F678E">
        <w:t xml:space="preserve">Tackling this alone is more than the funding allocated for </w:t>
      </w:r>
      <w:r w:rsidR="007F678E" w:rsidRPr="007F678E">
        <w:t xml:space="preserve">the fair cost of care </w:t>
      </w:r>
      <w:r w:rsidRPr="007F678E">
        <w:t>reform</w:t>
      </w:r>
      <w:r w:rsidR="007F678E" w:rsidRPr="007F678E">
        <w:t>s</w:t>
      </w:r>
      <w:r w:rsidRPr="007F678E">
        <w:t>, leaving nothing</w:t>
      </w:r>
      <w:r>
        <w:t xml:space="preserve"> for other practical implementation matters. </w:t>
      </w:r>
      <w:r w:rsidR="006478B9">
        <w:t>D</w:t>
      </w:r>
      <w:r w:rsidR="006478B9" w:rsidRPr="006478B9">
        <w:t xml:space="preserve">elivering these reforms will redirect resources away from delivering frontline social care when the pandemic is </w:t>
      </w:r>
      <w:r w:rsidR="0016365A">
        <w:t xml:space="preserve">putting huge </w:t>
      </w:r>
      <w:r w:rsidR="006478B9" w:rsidRPr="006478B9">
        <w:t>pressure on staff capacity</w:t>
      </w:r>
      <w:r w:rsidR="006478B9">
        <w:t xml:space="preserve">. </w:t>
      </w:r>
      <w:r w:rsidR="007074D8">
        <w:t xml:space="preserve">Moreover, boroughs </w:t>
      </w:r>
      <w:r>
        <w:t xml:space="preserve">will be unable to play their part in delivering </w:t>
      </w:r>
      <w:r w:rsidR="00063356">
        <w:t>the Government</w:t>
      </w:r>
      <w:r>
        <w:t xml:space="preserve">’s </w:t>
      </w:r>
      <w:r w:rsidR="0016365A">
        <w:t>W</w:t>
      </w:r>
      <w:r>
        <w:t xml:space="preserve">hite </w:t>
      </w:r>
      <w:r w:rsidR="0016365A">
        <w:t>P</w:t>
      </w:r>
      <w:r>
        <w:t xml:space="preserve">aper ambitions if </w:t>
      </w:r>
      <w:r w:rsidR="007074D8">
        <w:t>the existing pressures within ASC, including the rising demand and significant overspending caused by the pandemic, are</w:t>
      </w:r>
      <w:r>
        <w:t xml:space="preserve"> not addressed as an immediate priority.</w:t>
      </w:r>
      <w:r w:rsidR="006478B9">
        <w:t xml:space="preserve"> </w:t>
      </w:r>
      <w:r w:rsidRPr="00115CE4">
        <w:rPr>
          <w:b/>
          <w:bCs/>
        </w:rPr>
        <w:t>We</w:t>
      </w:r>
      <w:r w:rsidR="0016365A" w:rsidRPr="00115CE4">
        <w:rPr>
          <w:b/>
          <w:bCs/>
        </w:rPr>
        <w:t>,</w:t>
      </w:r>
      <w:r w:rsidRPr="00115CE4">
        <w:rPr>
          <w:b/>
          <w:bCs/>
        </w:rPr>
        <w:t xml:space="preserve"> therefore</w:t>
      </w:r>
      <w:r w:rsidR="0016365A" w:rsidRPr="00115CE4">
        <w:rPr>
          <w:b/>
          <w:bCs/>
        </w:rPr>
        <w:t>,</w:t>
      </w:r>
      <w:r w:rsidRPr="00115CE4">
        <w:rPr>
          <w:b/>
          <w:bCs/>
        </w:rPr>
        <w:t xml:space="preserve"> call on </w:t>
      </w:r>
      <w:r w:rsidR="00063356" w:rsidRPr="00115CE4">
        <w:rPr>
          <w:b/>
          <w:bCs/>
        </w:rPr>
        <w:t>the Government</w:t>
      </w:r>
      <w:r w:rsidRPr="00115CE4">
        <w:rPr>
          <w:b/>
          <w:bCs/>
        </w:rPr>
        <w:t xml:space="preserve"> to redirect a greater share of the</w:t>
      </w:r>
      <w:r w:rsidR="006478B9" w:rsidRPr="00115CE4">
        <w:rPr>
          <w:b/>
          <w:bCs/>
        </w:rPr>
        <w:t xml:space="preserve"> Health and Social Care</w:t>
      </w:r>
      <w:r w:rsidRPr="00115CE4">
        <w:rPr>
          <w:b/>
          <w:bCs/>
        </w:rPr>
        <w:t xml:space="preserve"> Levy to frontline adult social care</w:t>
      </w:r>
      <w:r>
        <w:t>.</w:t>
      </w:r>
      <w:r w:rsidR="006478B9">
        <w:t xml:space="preserve"> </w:t>
      </w:r>
    </w:p>
    <w:p w14:paraId="4B3C12EC" w14:textId="7B33DADD" w:rsidR="00AA7801" w:rsidRPr="00AA7801" w:rsidRDefault="00917318" w:rsidP="00AA7801">
      <w:pPr>
        <w:pStyle w:val="NumBullet1"/>
      </w:pPr>
      <w:r w:rsidRPr="00AA7801">
        <w:t xml:space="preserve">London </w:t>
      </w:r>
      <w:r w:rsidR="00B5698F" w:rsidRPr="00AA7801">
        <w:t>Councils recognises that delivering the soc</w:t>
      </w:r>
      <w:r w:rsidR="00FA5C90" w:rsidRPr="00AA7801">
        <w:t>i</w:t>
      </w:r>
      <w:r w:rsidR="00B5698F" w:rsidRPr="00AA7801">
        <w:t>al care funding reforms</w:t>
      </w:r>
      <w:r w:rsidR="006478B9" w:rsidRPr="00AA7801">
        <w:t xml:space="preserve">, </w:t>
      </w:r>
      <w:r w:rsidR="00FA5C90" w:rsidRPr="00AA7801">
        <w:t xml:space="preserve">including transitioning to funding </w:t>
      </w:r>
      <w:r w:rsidR="006478B9" w:rsidRPr="00AA7801">
        <w:t xml:space="preserve">social care </w:t>
      </w:r>
      <w:r w:rsidR="00FA5C90" w:rsidRPr="00AA7801">
        <w:t xml:space="preserve">via the </w:t>
      </w:r>
      <w:r w:rsidR="006478B9" w:rsidRPr="00AA7801">
        <w:t>H</w:t>
      </w:r>
      <w:r w:rsidR="00FA5C90" w:rsidRPr="00AA7801">
        <w:t xml:space="preserve">ealth and Care </w:t>
      </w:r>
      <w:r w:rsidR="006478B9" w:rsidRPr="00AA7801">
        <w:t>L</w:t>
      </w:r>
      <w:r w:rsidR="00FA5C90" w:rsidRPr="00AA7801">
        <w:t>evy</w:t>
      </w:r>
      <w:r w:rsidR="006478B9" w:rsidRPr="00AA7801">
        <w:t>,</w:t>
      </w:r>
      <w:r w:rsidR="00FA5C90" w:rsidRPr="00AA7801">
        <w:t xml:space="preserve"> will take time to implement. We</w:t>
      </w:r>
      <w:r w:rsidR="006478B9" w:rsidRPr="00AA7801">
        <w:t xml:space="preserve">, </w:t>
      </w:r>
      <w:r w:rsidR="00FA5C90" w:rsidRPr="00AA7801">
        <w:t>therefore</w:t>
      </w:r>
      <w:r w:rsidR="006478B9" w:rsidRPr="00AA7801">
        <w:t>,</w:t>
      </w:r>
      <w:r w:rsidR="00FA5C90" w:rsidRPr="00AA7801">
        <w:t xml:space="preserve"> welcome </w:t>
      </w:r>
      <w:r w:rsidRPr="00AA7801">
        <w:t xml:space="preserve">the </w:t>
      </w:r>
      <w:r w:rsidR="00046750" w:rsidRPr="00AA7801">
        <w:t xml:space="preserve">continuation of the </w:t>
      </w:r>
      <w:proofErr w:type="spellStart"/>
      <w:r w:rsidR="006538E8" w:rsidRPr="00AA7801">
        <w:rPr>
          <w:rFonts w:eastAsia="Times New Roman"/>
        </w:rPr>
        <w:t>iBCF</w:t>
      </w:r>
      <w:proofErr w:type="spellEnd"/>
      <w:r w:rsidR="006538E8" w:rsidRPr="00AA7801">
        <w:rPr>
          <w:rFonts w:eastAsia="Times New Roman"/>
        </w:rPr>
        <w:t xml:space="preserve"> and Social Care Grant (SCG)</w:t>
      </w:r>
      <w:r w:rsidR="006538E8" w:rsidRPr="00AA7801">
        <w:t xml:space="preserve"> </w:t>
      </w:r>
      <w:r w:rsidR="006478B9" w:rsidRPr="00AA7801">
        <w:rPr>
          <w:rFonts w:eastAsia="Times New Roman"/>
        </w:rPr>
        <w:t>in 2022-23</w:t>
      </w:r>
      <w:r w:rsidR="006538E8" w:rsidRPr="00AA7801">
        <w:rPr>
          <w:rFonts w:eastAsia="Times New Roman"/>
        </w:rPr>
        <w:t xml:space="preserve">. </w:t>
      </w:r>
      <w:r w:rsidR="006478B9" w:rsidRPr="006478B9">
        <w:t>T</w:t>
      </w:r>
      <w:r w:rsidR="00046750" w:rsidRPr="006478B9">
        <w:t>he</w:t>
      </w:r>
      <w:r w:rsidR="007D7C66" w:rsidRPr="006478B9">
        <w:t xml:space="preserve"> </w:t>
      </w:r>
      <w:r w:rsidR="006478B9" w:rsidRPr="006478B9">
        <w:t xml:space="preserve">37% uplift in the </w:t>
      </w:r>
      <w:r w:rsidR="00BE333E" w:rsidRPr="006478B9">
        <w:t xml:space="preserve">SCG </w:t>
      </w:r>
      <w:r w:rsidR="006478B9" w:rsidRPr="006478B9">
        <w:t>is particularly welcome as this will support not only adult but children’s social care</w:t>
      </w:r>
      <w:r w:rsidR="00046750" w:rsidRPr="006478B9">
        <w:t>.</w:t>
      </w:r>
      <w:r w:rsidR="006478B9">
        <w:t xml:space="preserve"> </w:t>
      </w:r>
      <w:r w:rsidR="00046750">
        <w:t>However, the increase across London (amounting to just over £</w:t>
      </w:r>
      <w:r w:rsidR="00554F4C">
        <w:t>100m</w:t>
      </w:r>
      <w:r w:rsidR="00046750">
        <w:t>) will not keep pace with the growing funding gaps presenting in adult and children’s social care, which together had a</w:t>
      </w:r>
      <w:r w:rsidR="00554F4C">
        <w:t>n annual</w:t>
      </w:r>
      <w:r w:rsidR="00046750">
        <w:t xml:space="preserve"> shortfall </w:t>
      </w:r>
      <w:proofErr w:type="gramStart"/>
      <w:r w:rsidR="00046750">
        <w:t>in excess of</w:t>
      </w:r>
      <w:proofErr w:type="gramEnd"/>
      <w:r w:rsidR="00046750">
        <w:t xml:space="preserve"> £</w:t>
      </w:r>
      <w:r w:rsidR="00554F4C">
        <w:t>3</w:t>
      </w:r>
      <w:r w:rsidR="00046750">
        <w:t>00m</w:t>
      </w:r>
      <w:r w:rsidR="00B5698F">
        <w:t xml:space="preserve"> </w:t>
      </w:r>
      <w:r w:rsidR="00046750">
        <w:t xml:space="preserve">in London even </w:t>
      </w:r>
      <w:r w:rsidR="00046750" w:rsidRPr="00554F4C">
        <w:rPr>
          <w:i/>
          <w:iCs/>
        </w:rPr>
        <w:t>before</w:t>
      </w:r>
      <w:r w:rsidR="00046750">
        <w:t xml:space="preserve"> the pandemic</w:t>
      </w:r>
      <w:r w:rsidR="00554F4C">
        <w:t xml:space="preserve">. </w:t>
      </w:r>
    </w:p>
    <w:p w14:paraId="08126C88" w14:textId="1E43316F" w:rsidR="00DC62C0" w:rsidRPr="00554F4C" w:rsidRDefault="00554F4C" w:rsidP="006837D3">
      <w:pPr>
        <w:pStyle w:val="NumBullet1"/>
        <w:spacing w:after="360"/>
      </w:pPr>
      <w:r>
        <w:t xml:space="preserve">We </w:t>
      </w:r>
      <w:r w:rsidR="00BE333E" w:rsidRPr="00AA7801">
        <w:t xml:space="preserve">continue to oppose the </w:t>
      </w:r>
      <w:r w:rsidR="002C19FD" w:rsidRPr="00AA7801">
        <w:t>proposed method</w:t>
      </w:r>
      <w:r w:rsidR="00BE333E" w:rsidRPr="00AA7801">
        <w:t>ology</w:t>
      </w:r>
      <w:r w:rsidR="002C19FD" w:rsidRPr="00AA7801">
        <w:t xml:space="preserve"> for distributing the </w:t>
      </w:r>
      <w:r w:rsidR="00BE333E" w:rsidRPr="00AA7801">
        <w:t>SCG</w:t>
      </w:r>
      <w:r w:rsidR="002C19FD" w:rsidRPr="00AA7801">
        <w:t xml:space="preserve"> based solely on the adult social care Relative Needs Formula (RNF). If the intention is for this funding to alleviate pressure on both adult and children’s social care, its distribution should reflect relative levels of need in both services. The proposed approach disadvantag</w:t>
      </w:r>
      <w:r w:rsidR="00725C8E" w:rsidRPr="00AA7801">
        <w:t>es</w:t>
      </w:r>
      <w:r w:rsidR="002C19FD" w:rsidRPr="00AA7801">
        <w:t xml:space="preserve"> London </w:t>
      </w:r>
      <w:proofErr w:type="gramStart"/>
      <w:r w:rsidR="002C19FD" w:rsidRPr="00AA7801">
        <w:t>boroughs as a whole, whose</w:t>
      </w:r>
      <w:proofErr w:type="gramEnd"/>
      <w:r w:rsidR="002C19FD" w:rsidRPr="00AA7801">
        <w:t xml:space="preserve"> aggregate share of the adult social care RNF is 15.5%, while their aggregate share of the children’s social care RNF is 25.5%. </w:t>
      </w:r>
      <w:r w:rsidR="002C19FD" w:rsidRPr="00554F4C">
        <w:t xml:space="preserve">We estimate that London Boroughs would receive </w:t>
      </w:r>
      <w:r w:rsidR="007C6540" w:rsidRPr="00554F4C">
        <w:t>over £</w:t>
      </w:r>
      <w:r>
        <w:t>20</w:t>
      </w:r>
      <w:r w:rsidR="007C6540" w:rsidRPr="00554F4C">
        <w:t>0</w:t>
      </w:r>
      <w:r w:rsidR="002C19FD" w:rsidRPr="00554F4C">
        <w:t>m</w:t>
      </w:r>
      <w:r w:rsidR="007C6540" w:rsidRPr="00554F4C">
        <w:t xml:space="preserve"> more</w:t>
      </w:r>
      <w:r w:rsidR="002C19FD" w:rsidRPr="00554F4C">
        <w:t xml:space="preserve"> if the total £</w:t>
      </w:r>
      <w:r>
        <w:t>2.3</w:t>
      </w:r>
      <w:r w:rsidR="002C19FD" w:rsidRPr="00554F4C">
        <w:t xml:space="preserve">bn Social Care Grant used both the ASC and CSC RNFs, for example, in equal weighting. </w:t>
      </w:r>
      <w:r w:rsidR="002C19FD" w:rsidRPr="00115CE4">
        <w:rPr>
          <w:b/>
          <w:bCs/>
        </w:rPr>
        <w:t xml:space="preserve">We believe that the evidential basis for this decision must be clearer. </w:t>
      </w:r>
      <w:r w:rsidR="00174F4C" w:rsidRPr="00115CE4">
        <w:rPr>
          <w:b/>
          <w:bCs/>
        </w:rPr>
        <w:t xml:space="preserve">We urge </w:t>
      </w:r>
      <w:r w:rsidR="00063356" w:rsidRPr="00115CE4">
        <w:rPr>
          <w:b/>
          <w:bCs/>
        </w:rPr>
        <w:t>the Government</w:t>
      </w:r>
      <w:r w:rsidR="00174F4C" w:rsidRPr="00115CE4">
        <w:rPr>
          <w:b/>
          <w:bCs/>
        </w:rPr>
        <w:t xml:space="preserve"> to reconsider the distribution at the final settlement.</w:t>
      </w:r>
      <w:r w:rsidR="00174F4C">
        <w:t xml:space="preserve"> </w:t>
      </w:r>
    </w:p>
    <w:p w14:paraId="6738F6A8" w14:textId="3DD817A6" w:rsidR="00C80126" w:rsidRPr="002B2DE2" w:rsidRDefault="00C80126" w:rsidP="00F95F9F">
      <w:pPr>
        <w:pStyle w:val="NumBullet1"/>
        <w:numPr>
          <w:ilvl w:val="0"/>
          <w:numId w:val="0"/>
        </w:numPr>
        <w:spacing w:before="100" w:beforeAutospacing="1" w:after="100" w:afterAutospacing="1"/>
        <w:ind w:left="482" w:hanging="340"/>
        <w:rPr>
          <w:rFonts w:ascii="Arial" w:hAnsi="Arial"/>
          <w:sz w:val="22"/>
          <w:szCs w:val="22"/>
        </w:rPr>
      </w:pPr>
      <w:r w:rsidRPr="002B2DE2">
        <w:rPr>
          <w:rFonts w:ascii="Arial" w:hAnsi="Arial"/>
          <w:b/>
          <w:sz w:val="22"/>
          <w:szCs w:val="22"/>
        </w:rPr>
        <w:t>New Homes Bonus</w:t>
      </w:r>
    </w:p>
    <w:p w14:paraId="4560E1EA" w14:textId="10B9F7E6" w:rsidR="00174F4C" w:rsidRDefault="002B2DE2" w:rsidP="00174F4C">
      <w:pPr>
        <w:pStyle w:val="NumBullet1"/>
        <w:spacing w:after="0"/>
      </w:pPr>
      <w:r>
        <w:t>London Councils welcomes the</w:t>
      </w:r>
      <w:r w:rsidRPr="002B2DE2">
        <w:t xml:space="preserve"> proposed new round of New Homes Bonus (NHB) allocations</w:t>
      </w:r>
      <w:r w:rsidR="00CD0E6D">
        <w:t>.</w:t>
      </w:r>
      <w:r>
        <w:t xml:space="preserve"> We are, however, disappointed in the continued diminution of this funding stream, and the continuation of the </w:t>
      </w:r>
      <w:r>
        <w:lastRenderedPageBreak/>
        <w:t xml:space="preserve">phasing out of legacy payments. </w:t>
      </w:r>
      <w:r w:rsidR="005C2C9D" w:rsidRPr="005C2C9D">
        <w:t>The scheme has already seen significant reductions in eligibility and generosity that have reduced its effectiveness as an incentive</w:t>
      </w:r>
      <w:r w:rsidR="0003229A">
        <w:t>.</w:t>
      </w:r>
    </w:p>
    <w:p w14:paraId="4967E4C2" w14:textId="77777777" w:rsidR="00174F4C" w:rsidRDefault="00174F4C" w:rsidP="00174F4C">
      <w:pPr>
        <w:pStyle w:val="NumBullet1"/>
        <w:numPr>
          <w:ilvl w:val="0"/>
          <w:numId w:val="0"/>
        </w:numPr>
        <w:spacing w:after="0"/>
        <w:ind w:left="482"/>
      </w:pPr>
    </w:p>
    <w:p w14:paraId="1E2716B1" w14:textId="77777777" w:rsidR="009005DD" w:rsidRDefault="00174F4C" w:rsidP="00174F4C">
      <w:pPr>
        <w:pStyle w:val="NumBullet1"/>
      </w:pPr>
      <w:r>
        <w:t xml:space="preserve">The scale of the reduction in London boroughs’ 2022-23 allocation </w:t>
      </w:r>
      <w:r w:rsidR="009005DD">
        <w:t>(</w:t>
      </w:r>
      <w:r>
        <w:t xml:space="preserve">to just 13.5% of the England total when historically it has been </w:t>
      </w:r>
      <w:r w:rsidR="009005DD">
        <w:t xml:space="preserve">over </w:t>
      </w:r>
      <w:r>
        <w:t xml:space="preserve">20%) suggests that housebuilding in the capital has slowed considerably and is further evidence of the disproportionate impact of the pandemic on London’s economy. </w:t>
      </w:r>
    </w:p>
    <w:p w14:paraId="269DFC52" w14:textId="16336FD3" w:rsidR="009005DD" w:rsidRDefault="00174F4C" w:rsidP="006837D3">
      <w:pPr>
        <w:pStyle w:val="NumBullet1"/>
        <w:spacing w:after="360"/>
      </w:pPr>
      <w:r>
        <w:t xml:space="preserve">Having consulted in the spring, it is unclear why the outcome of the consultation has not been published or why </w:t>
      </w:r>
      <w:r w:rsidR="00186741" w:rsidRPr="00CD08D3">
        <w:t>confirmation</w:t>
      </w:r>
      <w:r w:rsidR="00186741">
        <w:t xml:space="preserve"> over the future of the NHB </w:t>
      </w:r>
      <w:r>
        <w:t xml:space="preserve">was not provided </w:t>
      </w:r>
      <w:r w:rsidR="00186741">
        <w:t xml:space="preserve">until the PLGFS, leaving authorities with </w:t>
      </w:r>
      <w:r w:rsidR="00CD08D3">
        <w:t>no certainty to</w:t>
      </w:r>
      <w:r w:rsidR="0003229A">
        <w:t xml:space="preserve"> plan for this significant funding stream. </w:t>
      </w:r>
      <w:r w:rsidR="00115CE4" w:rsidRPr="00115CE4">
        <w:t xml:space="preserve">This is the third year the existing scheme has been rolled forward and </w:t>
      </w:r>
      <w:r w:rsidR="00115CE4" w:rsidRPr="00115CE4">
        <w:rPr>
          <w:b/>
          <w:bCs/>
        </w:rPr>
        <w:t xml:space="preserve">a more permanent solution is required to provide longer term certainty. </w:t>
      </w:r>
      <w:r w:rsidR="0003229A" w:rsidRPr="00115CE4">
        <w:rPr>
          <w:b/>
          <w:bCs/>
        </w:rPr>
        <w:t xml:space="preserve">Any reforms to the bonus, or indeed a successor scheme, must ensure it truly incentivises house building in areas of the country facing the greatest housing pressures. </w:t>
      </w:r>
    </w:p>
    <w:p w14:paraId="309F809D" w14:textId="77777777" w:rsidR="006660C0" w:rsidRDefault="006660C0" w:rsidP="006660C0">
      <w:pPr>
        <w:pStyle w:val="NumBullet1"/>
        <w:numPr>
          <w:ilvl w:val="0"/>
          <w:numId w:val="0"/>
        </w:numPr>
        <w:spacing w:before="100" w:beforeAutospacing="1" w:after="100" w:afterAutospacing="1"/>
        <w:ind w:left="482" w:hanging="482"/>
        <w:rPr>
          <w:rFonts w:ascii="Arial" w:hAnsi="Arial"/>
          <w:b/>
          <w:color w:val="auto"/>
          <w:sz w:val="22"/>
          <w:szCs w:val="22"/>
        </w:rPr>
      </w:pPr>
      <w:r>
        <w:rPr>
          <w:rFonts w:ascii="Arial" w:hAnsi="Arial"/>
          <w:b/>
          <w:color w:val="auto"/>
          <w:sz w:val="22"/>
          <w:szCs w:val="22"/>
        </w:rPr>
        <w:t>Lower Tier Services Grant and 2022-23 Services Grant</w:t>
      </w:r>
    </w:p>
    <w:p w14:paraId="7AD2BF75" w14:textId="25E46320" w:rsidR="006660C0" w:rsidRPr="006660C0" w:rsidRDefault="006660C0" w:rsidP="006660C0">
      <w:pPr>
        <w:pStyle w:val="NumBullet1"/>
      </w:pPr>
      <w:r w:rsidRPr="006660C0">
        <w:t>London Councils welcomes the new one-off “Services Grant”</w:t>
      </w:r>
      <w:r w:rsidR="00A76CC8">
        <w:t xml:space="preserve">, of which </w:t>
      </w:r>
      <w:r w:rsidR="004C49DF">
        <w:t xml:space="preserve">London </w:t>
      </w:r>
      <w:r w:rsidR="009005DD">
        <w:t>b</w:t>
      </w:r>
      <w:r w:rsidR="004C49DF">
        <w:t xml:space="preserve">oroughs </w:t>
      </w:r>
      <w:r w:rsidRPr="006660C0">
        <w:t>will receive £152m</w:t>
      </w:r>
      <w:r w:rsidR="00A76CC8">
        <w:t xml:space="preserve">. </w:t>
      </w:r>
      <w:r w:rsidRPr="006660C0">
        <w:t xml:space="preserve"> </w:t>
      </w:r>
      <w:r w:rsidR="00A76CC8">
        <w:t>This</w:t>
      </w:r>
      <w:r w:rsidRPr="006660C0">
        <w:t xml:space="preserve"> represents more than half of the new £1.5bn of grant funding in the settlement. However, it is unclear why the 2013-14 SFA formula is being used as the basis for distribution rather than 2022-23 </w:t>
      </w:r>
      <w:r w:rsidR="009005DD">
        <w:t>SFA</w:t>
      </w:r>
      <w:r w:rsidR="00A76CC8">
        <w:t xml:space="preserve">. </w:t>
      </w:r>
      <w:r w:rsidR="00063356">
        <w:t>The Government</w:t>
      </w:r>
      <w:r w:rsidRPr="006660C0">
        <w:t xml:space="preserve"> should clarify the rationale behind this</w:t>
      </w:r>
      <w:r w:rsidR="00A76CC8">
        <w:t xml:space="preserve"> decision</w:t>
      </w:r>
      <w:r w:rsidRPr="006660C0">
        <w:t xml:space="preserve">. </w:t>
      </w:r>
    </w:p>
    <w:p w14:paraId="76EEB981" w14:textId="1DD87CF2" w:rsidR="006660C0" w:rsidRPr="006660C0" w:rsidRDefault="006660C0" w:rsidP="006837D3">
      <w:pPr>
        <w:pStyle w:val="NumBullet1"/>
        <w:spacing w:after="360"/>
      </w:pPr>
      <w:bookmarkStart w:id="5" w:name="_Hlk91256122"/>
      <w:r w:rsidRPr="006660C0">
        <w:t xml:space="preserve">We also welcome the continuation of the un-ringfenced Lower Tier Services Grant, of </w:t>
      </w:r>
      <w:r w:rsidR="009005DD">
        <w:t xml:space="preserve">which </w:t>
      </w:r>
      <w:r w:rsidR="00C71099">
        <w:t>London boroughs</w:t>
      </w:r>
      <w:r w:rsidRPr="006660C0">
        <w:t xml:space="preserve"> will receive £25m</w:t>
      </w:r>
      <w:r w:rsidR="00C71099">
        <w:t xml:space="preserve">. We further welcome the decision to </w:t>
      </w:r>
      <w:r w:rsidRPr="003859DE">
        <w:t xml:space="preserve">update </w:t>
      </w:r>
      <w:r w:rsidR="00C71099">
        <w:t xml:space="preserve">the minimum </w:t>
      </w:r>
      <w:r w:rsidR="006832C0">
        <w:t>funding floor from 2021</w:t>
      </w:r>
      <w:r w:rsidR="00A76CC8">
        <w:t>-</w:t>
      </w:r>
      <w:r w:rsidR="006832C0">
        <w:t>22</w:t>
      </w:r>
      <w:r w:rsidRPr="003859DE">
        <w:t xml:space="preserve"> to ensure no authority sees an annual reduction in Core Spending Power in 2022-23. </w:t>
      </w:r>
      <w:r w:rsidRPr="006660C0">
        <w:t xml:space="preserve"> </w:t>
      </w:r>
      <w:bookmarkEnd w:id="5"/>
    </w:p>
    <w:p w14:paraId="1241FAF4" w14:textId="62669CED" w:rsidR="0063368C" w:rsidRPr="0003229A" w:rsidRDefault="00231876" w:rsidP="001E7918">
      <w:pPr>
        <w:pStyle w:val="NumBullet1"/>
        <w:numPr>
          <w:ilvl w:val="0"/>
          <w:numId w:val="0"/>
        </w:numPr>
        <w:spacing w:before="100" w:beforeAutospacing="1" w:after="100" w:afterAutospacing="1"/>
        <w:rPr>
          <w:rFonts w:ascii="Arial" w:hAnsi="Arial"/>
          <w:b/>
          <w:color w:val="auto"/>
          <w:sz w:val="22"/>
          <w:szCs w:val="22"/>
        </w:rPr>
      </w:pPr>
      <w:r w:rsidRPr="0003229A">
        <w:rPr>
          <w:rFonts w:ascii="Arial" w:hAnsi="Arial"/>
          <w:b/>
          <w:color w:val="auto"/>
          <w:sz w:val="22"/>
          <w:szCs w:val="22"/>
        </w:rPr>
        <w:t>Rural Services Delivery Grant</w:t>
      </w:r>
    </w:p>
    <w:p w14:paraId="399F5056" w14:textId="3E521C01" w:rsidR="009F41CA" w:rsidRPr="00190C7B" w:rsidRDefault="00476D3A" w:rsidP="006837D3">
      <w:pPr>
        <w:pStyle w:val="NumBullet1"/>
        <w:spacing w:before="100" w:beforeAutospacing="1" w:after="360"/>
        <w:rPr>
          <w:rFonts w:ascii="Arial" w:hAnsi="Arial"/>
          <w:color w:val="auto"/>
        </w:rPr>
      </w:pPr>
      <w:r w:rsidRPr="0003229A">
        <w:rPr>
          <w:rFonts w:ascii="Arial" w:hAnsi="Arial"/>
          <w:color w:val="auto"/>
        </w:rPr>
        <w:t xml:space="preserve">London Councils </w:t>
      </w:r>
      <w:r w:rsidR="00190C7B">
        <w:rPr>
          <w:rFonts w:ascii="Arial" w:hAnsi="Arial"/>
          <w:color w:val="auto"/>
        </w:rPr>
        <w:t>continues to question why the</w:t>
      </w:r>
      <w:r w:rsidR="00827E22" w:rsidRPr="0003229A">
        <w:rPr>
          <w:rFonts w:ascii="Arial" w:hAnsi="Arial"/>
          <w:color w:val="auto"/>
        </w:rPr>
        <w:t xml:space="preserve"> additional fund</w:t>
      </w:r>
      <w:r w:rsidR="00250372">
        <w:rPr>
          <w:rFonts w:ascii="Arial" w:hAnsi="Arial"/>
          <w:color w:val="auto"/>
        </w:rPr>
        <w:t xml:space="preserve">ing </w:t>
      </w:r>
      <w:r w:rsidR="00827E22" w:rsidRPr="0003229A">
        <w:rPr>
          <w:rFonts w:ascii="Arial" w:hAnsi="Arial"/>
          <w:color w:val="auto"/>
        </w:rPr>
        <w:t xml:space="preserve">allocated to meet </w:t>
      </w:r>
      <w:bookmarkStart w:id="6" w:name="_Hlk22733364"/>
      <w:r w:rsidR="00827E22" w:rsidRPr="0003229A">
        <w:rPr>
          <w:rFonts w:ascii="Arial" w:hAnsi="Arial"/>
          <w:color w:val="auto"/>
        </w:rPr>
        <w:t xml:space="preserve">unique challenges in rural areas </w:t>
      </w:r>
      <w:bookmarkEnd w:id="6"/>
      <w:r w:rsidR="00827E22" w:rsidRPr="0003229A">
        <w:rPr>
          <w:rFonts w:ascii="Arial" w:hAnsi="Arial"/>
          <w:color w:val="auto"/>
        </w:rPr>
        <w:t xml:space="preserve">through </w:t>
      </w:r>
      <w:r w:rsidRPr="0003229A">
        <w:rPr>
          <w:rFonts w:ascii="Arial" w:hAnsi="Arial"/>
          <w:color w:val="auto"/>
        </w:rPr>
        <w:t>R</w:t>
      </w:r>
      <w:r w:rsidR="00864386" w:rsidRPr="0003229A">
        <w:rPr>
          <w:rFonts w:ascii="Arial" w:hAnsi="Arial"/>
          <w:color w:val="auto"/>
        </w:rPr>
        <w:t xml:space="preserve">ural </w:t>
      </w:r>
      <w:r w:rsidRPr="0003229A">
        <w:rPr>
          <w:rFonts w:ascii="Arial" w:hAnsi="Arial"/>
          <w:color w:val="auto"/>
        </w:rPr>
        <w:t>S</w:t>
      </w:r>
      <w:r w:rsidR="00864386" w:rsidRPr="0003229A">
        <w:rPr>
          <w:rFonts w:ascii="Arial" w:hAnsi="Arial"/>
          <w:color w:val="auto"/>
        </w:rPr>
        <w:t xml:space="preserve">ervices </w:t>
      </w:r>
      <w:r w:rsidRPr="0003229A">
        <w:rPr>
          <w:rFonts w:ascii="Arial" w:hAnsi="Arial"/>
          <w:color w:val="auto"/>
        </w:rPr>
        <w:t>D</w:t>
      </w:r>
      <w:r w:rsidR="00864386" w:rsidRPr="0003229A">
        <w:rPr>
          <w:rFonts w:ascii="Arial" w:hAnsi="Arial"/>
          <w:color w:val="auto"/>
        </w:rPr>
        <w:t xml:space="preserve">elivery </w:t>
      </w:r>
      <w:r w:rsidRPr="0003229A">
        <w:rPr>
          <w:rFonts w:ascii="Arial" w:hAnsi="Arial"/>
          <w:color w:val="auto"/>
        </w:rPr>
        <w:t>G</w:t>
      </w:r>
      <w:r w:rsidR="00864386" w:rsidRPr="0003229A">
        <w:rPr>
          <w:rFonts w:ascii="Arial" w:hAnsi="Arial"/>
          <w:color w:val="auto"/>
        </w:rPr>
        <w:t xml:space="preserve">rant </w:t>
      </w:r>
      <w:r w:rsidR="00250372">
        <w:rPr>
          <w:rFonts w:ascii="Arial" w:hAnsi="Arial"/>
          <w:color w:val="auto"/>
        </w:rPr>
        <w:t xml:space="preserve">is </w:t>
      </w:r>
      <w:r w:rsidR="00827E22" w:rsidRPr="0003229A">
        <w:rPr>
          <w:rFonts w:ascii="Arial" w:hAnsi="Arial"/>
          <w:color w:val="auto"/>
        </w:rPr>
        <w:t>not mirrored by a comparable grant funding stream to address unique challenges in urban areas</w:t>
      </w:r>
      <w:r w:rsidR="00864386" w:rsidRPr="0003229A">
        <w:rPr>
          <w:rFonts w:ascii="Arial" w:hAnsi="Arial"/>
          <w:color w:val="auto"/>
        </w:rPr>
        <w:t xml:space="preserve">. While there are </w:t>
      </w:r>
      <w:r w:rsidR="003827D3" w:rsidRPr="0003229A">
        <w:rPr>
          <w:rFonts w:ascii="Arial" w:hAnsi="Arial"/>
          <w:color w:val="auto"/>
        </w:rPr>
        <w:t xml:space="preserve">likely to be </w:t>
      </w:r>
      <w:r w:rsidR="00864386" w:rsidRPr="0003229A">
        <w:rPr>
          <w:rFonts w:ascii="Arial" w:hAnsi="Arial"/>
          <w:color w:val="auto"/>
        </w:rPr>
        <w:t xml:space="preserve">higher costs for delivering </w:t>
      </w:r>
      <w:r w:rsidR="00C431CA" w:rsidRPr="0003229A">
        <w:rPr>
          <w:rFonts w:ascii="Arial" w:hAnsi="Arial"/>
          <w:color w:val="auto"/>
        </w:rPr>
        <w:t>a few</w:t>
      </w:r>
      <w:r w:rsidR="00864386" w:rsidRPr="0003229A">
        <w:rPr>
          <w:rFonts w:ascii="Arial" w:hAnsi="Arial"/>
          <w:color w:val="auto"/>
        </w:rPr>
        <w:t xml:space="preserve"> services in rural areas,</w:t>
      </w:r>
      <w:r w:rsidR="00FE3A4F" w:rsidRPr="0003229A">
        <w:rPr>
          <w:rFonts w:ascii="Arial" w:hAnsi="Arial"/>
          <w:color w:val="auto"/>
        </w:rPr>
        <w:t xml:space="preserve"> </w:t>
      </w:r>
      <w:r w:rsidR="00C431CA" w:rsidRPr="0003229A">
        <w:rPr>
          <w:rFonts w:ascii="Arial" w:hAnsi="Arial"/>
        </w:rPr>
        <w:t>there is more evidence of higher delivery costs in urban areas</w:t>
      </w:r>
      <w:r w:rsidR="00C431CA" w:rsidRPr="0003229A">
        <w:rPr>
          <w:rStyle w:val="FootnoteReference"/>
          <w:rFonts w:ascii="Arial" w:hAnsi="Arial"/>
        </w:rPr>
        <w:footnoteReference w:id="3"/>
      </w:r>
      <w:r w:rsidR="003A22FD">
        <w:rPr>
          <w:rFonts w:ascii="Arial" w:hAnsi="Arial"/>
        </w:rPr>
        <w:t xml:space="preserve">. </w:t>
      </w:r>
      <w:r w:rsidR="003A22FD">
        <w:rPr>
          <w:rFonts w:ascii="Arial" w:hAnsi="Arial"/>
          <w:color w:val="auto"/>
        </w:rPr>
        <w:t>This</w:t>
      </w:r>
      <w:r w:rsidR="00FE3A4F" w:rsidRPr="0003229A">
        <w:rPr>
          <w:rFonts w:ascii="Arial" w:hAnsi="Arial"/>
          <w:color w:val="auto"/>
        </w:rPr>
        <w:t xml:space="preserve"> has not been equally recognised through bespoke additional grant funding</w:t>
      </w:r>
      <w:r w:rsidR="00864386" w:rsidRPr="0003229A">
        <w:rPr>
          <w:rFonts w:ascii="Arial" w:hAnsi="Arial"/>
          <w:color w:val="auto"/>
        </w:rPr>
        <w:t xml:space="preserve">. If </w:t>
      </w:r>
      <w:r w:rsidR="00063356">
        <w:rPr>
          <w:rFonts w:ascii="Arial" w:hAnsi="Arial"/>
          <w:color w:val="auto"/>
        </w:rPr>
        <w:t>the Government</w:t>
      </w:r>
      <w:r w:rsidR="00864386" w:rsidRPr="0003229A">
        <w:rPr>
          <w:rFonts w:ascii="Arial" w:hAnsi="Arial"/>
          <w:color w:val="auto"/>
        </w:rPr>
        <w:t xml:space="preserve"> is minded to further recognise some of the financial pressure on rural authorities, </w:t>
      </w:r>
      <w:r w:rsidR="00864386" w:rsidRPr="0086407F">
        <w:rPr>
          <w:rFonts w:ascii="Arial" w:hAnsi="Arial"/>
          <w:b/>
          <w:bCs/>
          <w:color w:val="auto"/>
        </w:rPr>
        <w:t>London Councils believes that it is reasonable to expect further consideration to be given to the unique pressures faced by urban areas</w:t>
      </w:r>
      <w:r w:rsidR="00C431CA" w:rsidRPr="0086407F">
        <w:rPr>
          <w:rFonts w:ascii="Arial" w:hAnsi="Arial"/>
          <w:b/>
          <w:bCs/>
          <w:color w:val="auto"/>
        </w:rPr>
        <w:t xml:space="preserve">, </w:t>
      </w:r>
      <w:r w:rsidR="00C431CA" w:rsidRPr="0086407F">
        <w:rPr>
          <w:rFonts w:ascii="Arial" w:hAnsi="Arial"/>
          <w:b/>
          <w:bCs/>
        </w:rPr>
        <w:t xml:space="preserve">particularly the impact of population underestimation, daytime </w:t>
      </w:r>
      <w:proofErr w:type="gramStart"/>
      <w:r w:rsidR="00C431CA" w:rsidRPr="0086407F">
        <w:rPr>
          <w:rFonts w:ascii="Arial" w:hAnsi="Arial"/>
          <w:b/>
          <w:bCs/>
        </w:rPr>
        <w:t>visitors</w:t>
      </w:r>
      <w:proofErr w:type="gramEnd"/>
      <w:r w:rsidR="00C431CA" w:rsidRPr="0086407F">
        <w:rPr>
          <w:rFonts w:ascii="Arial" w:hAnsi="Arial"/>
          <w:b/>
          <w:bCs/>
        </w:rPr>
        <w:t xml:space="preserve"> and high levels of population churn</w:t>
      </w:r>
      <w:r w:rsidR="00C431CA" w:rsidRPr="0003229A">
        <w:rPr>
          <w:rFonts w:ascii="Arial" w:hAnsi="Arial"/>
        </w:rPr>
        <w:t>.</w:t>
      </w:r>
    </w:p>
    <w:p w14:paraId="6CA68B33" w14:textId="2CB839A4" w:rsidR="0056555F" w:rsidRPr="00800B5F" w:rsidRDefault="0056555F" w:rsidP="00F95F9F">
      <w:pPr>
        <w:pStyle w:val="NumBullet1"/>
        <w:numPr>
          <w:ilvl w:val="0"/>
          <w:numId w:val="0"/>
        </w:numPr>
        <w:spacing w:before="100" w:beforeAutospacing="1" w:after="100" w:afterAutospacing="1"/>
        <w:rPr>
          <w:rFonts w:ascii="Arial" w:hAnsi="Arial"/>
          <w:b/>
          <w:sz w:val="22"/>
          <w:szCs w:val="22"/>
        </w:rPr>
      </w:pPr>
      <w:r w:rsidRPr="00800B5F">
        <w:rPr>
          <w:rFonts w:ascii="Arial" w:hAnsi="Arial"/>
          <w:b/>
          <w:sz w:val="22"/>
          <w:szCs w:val="22"/>
        </w:rPr>
        <w:t>Grants outside of the settlement</w:t>
      </w:r>
    </w:p>
    <w:p w14:paraId="45F6D9A7" w14:textId="0F6F0993" w:rsidR="00BB5260" w:rsidRPr="00D97066" w:rsidRDefault="00B84FD3" w:rsidP="00D97066">
      <w:pPr>
        <w:pStyle w:val="NumBullet1"/>
        <w:rPr>
          <w:rFonts w:ascii="Arial" w:hAnsi="Arial"/>
        </w:rPr>
      </w:pPr>
      <w:r w:rsidRPr="00800B5F">
        <w:t>W</w:t>
      </w:r>
      <w:r w:rsidR="006825FF" w:rsidRPr="00800B5F">
        <w:t>hile the</w:t>
      </w:r>
      <w:r w:rsidR="0056555F" w:rsidRPr="00800B5F">
        <w:t xml:space="preserve"> confirmation of the main funding streams within the settlement </w:t>
      </w:r>
      <w:r w:rsidR="006825FF" w:rsidRPr="00800B5F">
        <w:t>prior to Christmas i</w:t>
      </w:r>
      <w:r w:rsidR="0056555F" w:rsidRPr="00800B5F">
        <w:t>s welcome</w:t>
      </w:r>
      <w:r w:rsidR="006825FF" w:rsidRPr="00800B5F">
        <w:t>, several other</w:t>
      </w:r>
      <w:r w:rsidR="0056555F" w:rsidRPr="00800B5F">
        <w:t xml:space="preserve"> </w:t>
      </w:r>
      <w:r w:rsidR="0056555F" w:rsidRPr="00D97066">
        <w:t>funding</w:t>
      </w:r>
      <w:r w:rsidR="0056555F" w:rsidRPr="00800B5F">
        <w:t xml:space="preserve"> streams outside of the main finance settlement ha</w:t>
      </w:r>
      <w:r w:rsidR="00F87BFB" w:rsidRPr="00800B5F">
        <w:t>d n</w:t>
      </w:r>
      <w:r w:rsidR="0056555F" w:rsidRPr="00800B5F">
        <w:t>ot yet been confirmed</w:t>
      </w:r>
      <w:r w:rsidR="00F87BFB" w:rsidRPr="00800B5F">
        <w:t xml:space="preserve"> at the time of draftin</w:t>
      </w:r>
      <w:r w:rsidR="00BB5260">
        <w:t>g</w:t>
      </w:r>
      <w:r w:rsidR="0056555F" w:rsidRPr="00800B5F">
        <w:t xml:space="preserve">. </w:t>
      </w:r>
      <w:r w:rsidR="0014678D" w:rsidRPr="00800B5F">
        <w:t xml:space="preserve">These </w:t>
      </w:r>
      <w:r w:rsidR="0056555F" w:rsidRPr="00800B5F">
        <w:t>include</w:t>
      </w:r>
      <w:r w:rsidR="00BB5260">
        <w:t xml:space="preserve">: </w:t>
      </w:r>
      <w:r w:rsidR="00F87BFB" w:rsidRPr="00BB5260">
        <w:t>The Public Health Grant</w:t>
      </w:r>
      <w:r w:rsidR="00BB5260">
        <w:t xml:space="preserve">; Independent Living Fund; </w:t>
      </w:r>
      <w:r w:rsidR="00CE66F4" w:rsidRPr="00D97066">
        <w:rPr>
          <w:rFonts w:ascii="Arial" w:hAnsi="Arial"/>
        </w:rPr>
        <w:t xml:space="preserve">Rough Sleeping Initiative Fund; </w:t>
      </w:r>
      <w:r w:rsidR="00122D69">
        <w:rPr>
          <w:rFonts w:ascii="Arial" w:hAnsi="Arial"/>
        </w:rPr>
        <w:t>t</w:t>
      </w:r>
      <w:r w:rsidR="00F87BFB" w:rsidRPr="00BB5260">
        <w:t xml:space="preserve">he </w:t>
      </w:r>
      <w:r w:rsidR="0056555F" w:rsidRPr="00BB5260">
        <w:t>Better Care Fund</w:t>
      </w:r>
      <w:r w:rsidR="00D97066">
        <w:t xml:space="preserve">; and </w:t>
      </w:r>
      <w:r w:rsidR="0056555F" w:rsidRPr="00D97066">
        <w:rPr>
          <w:color w:val="auto"/>
        </w:rPr>
        <w:t>Housing Benefit and C</w:t>
      </w:r>
      <w:r w:rsidR="00F05D9A">
        <w:rPr>
          <w:color w:val="auto"/>
        </w:rPr>
        <w:t xml:space="preserve">ouncil </w:t>
      </w:r>
      <w:r w:rsidR="0056555F" w:rsidRPr="00D97066">
        <w:rPr>
          <w:color w:val="auto"/>
        </w:rPr>
        <w:t>T</w:t>
      </w:r>
      <w:r w:rsidR="00F05D9A">
        <w:rPr>
          <w:color w:val="auto"/>
        </w:rPr>
        <w:t>ax</w:t>
      </w:r>
      <w:r w:rsidR="0056555F" w:rsidRPr="00D97066">
        <w:rPr>
          <w:color w:val="auto"/>
        </w:rPr>
        <w:t xml:space="preserve"> Administration Subsidies</w:t>
      </w:r>
      <w:r w:rsidR="00CE66F4" w:rsidRPr="00D97066">
        <w:rPr>
          <w:color w:val="auto"/>
        </w:rPr>
        <w:t xml:space="preserve">. </w:t>
      </w:r>
    </w:p>
    <w:p w14:paraId="6EA9C39D" w14:textId="4981E052" w:rsidR="0086407F" w:rsidRPr="00BA1B64" w:rsidRDefault="00DD7B97" w:rsidP="009B54DA">
      <w:pPr>
        <w:pStyle w:val="NumBullet1"/>
        <w:spacing w:after="0"/>
      </w:pPr>
      <w:r w:rsidRPr="00800B5F">
        <w:t xml:space="preserve">With regards to </w:t>
      </w:r>
      <w:r w:rsidR="00F87BFB" w:rsidRPr="00800B5F">
        <w:t>Public Health Grant</w:t>
      </w:r>
      <w:r w:rsidR="009B54DA">
        <w:t xml:space="preserve">, </w:t>
      </w:r>
      <w:r w:rsidR="00924A3C">
        <w:t xml:space="preserve">London Councils is very </w:t>
      </w:r>
      <w:r w:rsidRPr="00800B5F">
        <w:t>concern</w:t>
      </w:r>
      <w:r w:rsidR="00924A3C">
        <w:t xml:space="preserve">ed </w:t>
      </w:r>
      <w:r w:rsidRPr="00800B5F">
        <w:t xml:space="preserve">that </w:t>
      </w:r>
      <w:r w:rsidR="00924A3C">
        <w:t>this is being held flat in real terms for the next three years (as confirmed at the SR). This makes no sense during an ongoing pandemic when many pre-existing public health functions are likely to have been adversely affected by the capacity and resources needed to cope with the ongoing emergency response and vaccination programme.</w:t>
      </w:r>
      <w:r w:rsidR="00924A3C" w:rsidRPr="0086407F">
        <w:rPr>
          <w:b/>
          <w:bCs/>
        </w:rPr>
        <w:t xml:space="preserve"> </w:t>
      </w:r>
      <w:r w:rsidR="00800B5F" w:rsidRPr="0086407F">
        <w:rPr>
          <w:b/>
          <w:bCs/>
        </w:rPr>
        <w:t xml:space="preserve">We urge </w:t>
      </w:r>
      <w:r w:rsidR="00063356" w:rsidRPr="0086407F">
        <w:rPr>
          <w:b/>
          <w:bCs/>
        </w:rPr>
        <w:lastRenderedPageBreak/>
        <w:t>the Government</w:t>
      </w:r>
      <w:r w:rsidR="00800B5F" w:rsidRPr="0086407F">
        <w:rPr>
          <w:b/>
          <w:bCs/>
        </w:rPr>
        <w:t xml:space="preserve"> to </w:t>
      </w:r>
      <w:r w:rsidR="002D3D5B" w:rsidRPr="0086407F">
        <w:rPr>
          <w:b/>
          <w:bCs/>
        </w:rPr>
        <w:t>re</w:t>
      </w:r>
      <w:r w:rsidR="00800B5F" w:rsidRPr="0086407F">
        <w:rPr>
          <w:b/>
          <w:bCs/>
        </w:rPr>
        <w:t xml:space="preserve">consider </w:t>
      </w:r>
      <w:r w:rsidR="002D3D5B" w:rsidRPr="0086407F">
        <w:rPr>
          <w:b/>
          <w:bCs/>
        </w:rPr>
        <w:t>this decision and provide an increase in funding to</w:t>
      </w:r>
      <w:r w:rsidR="00800B5F" w:rsidRPr="0086407F">
        <w:rPr>
          <w:b/>
          <w:bCs/>
        </w:rPr>
        <w:t xml:space="preserve"> </w:t>
      </w:r>
      <w:r w:rsidR="00924A3C" w:rsidRPr="0086407F">
        <w:rPr>
          <w:b/>
          <w:bCs/>
        </w:rPr>
        <w:t xml:space="preserve">support not only the ongoing response to pandemic but </w:t>
      </w:r>
      <w:r w:rsidR="00FC35FD" w:rsidRPr="0086407F">
        <w:rPr>
          <w:b/>
          <w:bCs/>
        </w:rPr>
        <w:t xml:space="preserve">the delivery of this key service as we move back to “business as usual”. </w:t>
      </w:r>
    </w:p>
    <w:p w14:paraId="16878D4C" w14:textId="77777777" w:rsidR="00BA1B64" w:rsidRPr="0086407F" w:rsidRDefault="00BA1B64" w:rsidP="00BA1B64">
      <w:pPr>
        <w:pStyle w:val="NumBullet1"/>
        <w:numPr>
          <w:ilvl w:val="0"/>
          <w:numId w:val="0"/>
        </w:numPr>
        <w:spacing w:after="0"/>
        <w:ind w:left="482"/>
      </w:pPr>
    </w:p>
    <w:p w14:paraId="0D4FB8F1" w14:textId="333083C0" w:rsidR="009B54DA" w:rsidRDefault="0086407F" w:rsidP="009B54DA">
      <w:pPr>
        <w:pStyle w:val="NumBullet1"/>
        <w:spacing w:after="0"/>
      </w:pPr>
      <w:r>
        <w:rPr>
          <w:b/>
          <w:bCs/>
        </w:rPr>
        <w:t>We also ask</w:t>
      </w:r>
      <w:r w:rsidR="0095646A" w:rsidRPr="0086407F">
        <w:rPr>
          <w:b/>
          <w:bCs/>
        </w:rPr>
        <w:t xml:space="preserve"> that the public health grant formula</w:t>
      </w:r>
      <w:r w:rsidR="00B24090" w:rsidRPr="0086407F">
        <w:rPr>
          <w:b/>
          <w:bCs/>
        </w:rPr>
        <w:t xml:space="preserve"> is reviewed in the next year</w:t>
      </w:r>
      <w:r w:rsidR="006D658F" w:rsidRPr="0086407F">
        <w:rPr>
          <w:b/>
          <w:bCs/>
        </w:rPr>
        <w:t>,</w:t>
      </w:r>
      <w:r w:rsidR="00FC35FD" w:rsidRPr="0086407F">
        <w:rPr>
          <w:b/>
          <w:bCs/>
        </w:rPr>
        <w:t xml:space="preserve"> to take account of significant changes in demography and deprivation since 2013 and the increases health inequalities that have been exacerbated and highlighted by the pandemic. </w:t>
      </w:r>
      <w:r w:rsidR="00FC35FD">
        <w:t xml:space="preserve">A new formula should be </w:t>
      </w:r>
      <w:r w:rsidR="006D658F">
        <w:t>in place by 2023</w:t>
      </w:r>
      <w:r w:rsidR="00FC35FD">
        <w:t>-24</w:t>
      </w:r>
      <w:r w:rsidR="006D658F">
        <w:t xml:space="preserve">. </w:t>
      </w:r>
    </w:p>
    <w:p w14:paraId="6CAF6265" w14:textId="77777777" w:rsidR="009B54DA" w:rsidRDefault="009B54DA" w:rsidP="009B54DA">
      <w:pPr>
        <w:pStyle w:val="NumBullet1"/>
        <w:numPr>
          <w:ilvl w:val="0"/>
          <w:numId w:val="0"/>
        </w:numPr>
        <w:spacing w:after="0"/>
        <w:ind w:left="482"/>
      </w:pPr>
    </w:p>
    <w:p w14:paraId="60BB9909" w14:textId="34A63790" w:rsidR="009F0F3D" w:rsidRDefault="006557D6" w:rsidP="005A2664">
      <w:pPr>
        <w:pStyle w:val="NumBullet1"/>
      </w:pPr>
      <w:r>
        <w:t>Although it was published later than the PLGFS, w</w:t>
      </w:r>
      <w:r w:rsidR="00650D3F">
        <w:t xml:space="preserve">e welcome </w:t>
      </w:r>
      <w:r w:rsidR="003E423C">
        <w:t>the</w:t>
      </w:r>
      <w:r w:rsidR="00DB6D4C">
        <w:t xml:space="preserve"> continuation of the</w:t>
      </w:r>
      <w:r w:rsidR="003E423C">
        <w:t xml:space="preserve"> Homelessness </w:t>
      </w:r>
      <w:r w:rsidR="00731C61">
        <w:t>Prevent</w:t>
      </w:r>
      <w:r w:rsidR="003E423C">
        <w:t>ion Grant</w:t>
      </w:r>
      <w:r>
        <w:t>, and the confirmation at the SR that this will continue for three years. However, given this is the case</w:t>
      </w:r>
      <w:r w:rsidR="00DB6D4C">
        <w:t xml:space="preserve">, </w:t>
      </w:r>
      <w:r>
        <w:t>it is unclear why allocations could not be set out for the three-year period to enable more strategic planning of resources. We are</w:t>
      </w:r>
      <w:r w:rsidR="00B5234F">
        <w:t xml:space="preserve"> </w:t>
      </w:r>
      <w:r w:rsidR="00650D3F">
        <w:t xml:space="preserve">concerned that </w:t>
      </w:r>
      <w:r w:rsidR="00B5234F">
        <w:t xml:space="preserve">London’s </w:t>
      </w:r>
      <w:r w:rsidR="000F4920">
        <w:t xml:space="preserve">share of funding </w:t>
      </w:r>
      <w:r w:rsidR="00B5234F">
        <w:t xml:space="preserve">allocations </w:t>
      </w:r>
      <w:r w:rsidR="000F4920">
        <w:t>in the last few years has decreased</w:t>
      </w:r>
      <w:r w:rsidR="00B5234F">
        <w:t>. This is particularly disappointing given London</w:t>
      </w:r>
      <w:r w:rsidR="00FC35FD">
        <w:t xml:space="preserve">’s disproportionate </w:t>
      </w:r>
      <w:r w:rsidR="00B5234F">
        <w:t xml:space="preserve">housing and homelessness </w:t>
      </w:r>
      <w:r w:rsidR="00FC35FD">
        <w:t>challenges</w:t>
      </w:r>
      <w:r>
        <w:t>, which have been worsened by the pandemic.</w:t>
      </w:r>
      <w:r w:rsidR="000A6A3F" w:rsidRPr="000A6A3F">
        <w:t xml:space="preserve"> London ha</w:t>
      </w:r>
      <w:r w:rsidR="00650D3F">
        <w:t xml:space="preserve">s </w:t>
      </w:r>
      <w:r w:rsidR="000A6A3F" w:rsidRPr="000A6A3F">
        <w:t xml:space="preserve">57,000 households in Temporary Accommodation: two thirds of the </w:t>
      </w:r>
      <w:r w:rsidR="000A6A3F" w:rsidRPr="005A2664">
        <w:t>England</w:t>
      </w:r>
      <w:r w:rsidR="000A6A3F" w:rsidRPr="000A6A3F">
        <w:t xml:space="preserve"> total and an increase of over 50% since 2010. This crisis is one facing many metropolitan areas, and London has a set of specific factors that mean it is most pronounced in the capital. </w:t>
      </w:r>
      <w:r w:rsidRPr="0086407F">
        <w:rPr>
          <w:b/>
          <w:bCs/>
        </w:rPr>
        <w:t>We remain concerned that there is no long-term plan to find a sustainable solution to London’s unique homelessness pressures</w:t>
      </w:r>
      <w:r w:rsidR="000A6A3F" w:rsidRPr="0086407F">
        <w:rPr>
          <w:b/>
          <w:bCs/>
        </w:rPr>
        <w:t>.</w:t>
      </w:r>
    </w:p>
    <w:p w14:paraId="53A29919" w14:textId="1874448A" w:rsidR="00550D33" w:rsidRDefault="009F0F3D" w:rsidP="005A2664">
      <w:pPr>
        <w:pStyle w:val="NumBullet1"/>
      </w:pPr>
      <w:r>
        <w:t>While outside of the core funding settlement,</w:t>
      </w:r>
      <w:r w:rsidR="00550D33">
        <w:t xml:space="preserve"> t</w:t>
      </w:r>
      <w:r w:rsidR="009F1FB3">
        <w:t>he funding shortfall in the High Needs block of the Dedicated Schools Grant (DSG) for pupils with Special Educational Needs and Disabilities</w:t>
      </w:r>
      <w:r w:rsidR="00550D33">
        <w:t xml:space="preserve"> (SEND)</w:t>
      </w:r>
      <w:r w:rsidR="009F1FB3">
        <w:t xml:space="preserve"> has become the single biggest financial pressure for some London boroughs who are fast running out of options for recovering deficits. If left unaddressed, it could place several boroughs in extreme financial difficulty in the next few years. Over half of London boroughs will have an accumulated DSG deficit by the end of the year, </w:t>
      </w:r>
      <w:r w:rsidR="00550D33">
        <w:t xml:space="preserve">collectively </w:t>
      </w:r>
      <w:r w:rsidR="009F1FB3">
        <w:t>totalling over £300m. The scale for those in deficit averages around 13% of the DSG – but for some it will be almost 40%</w:t>
      </w:r>
      <w:r w:rsidR="00550D33">
        <w:t xml:space="preserve"> -</w:t>
      </w:r>
      <w:r w:rsidR="009F1FB3">
        <w:t xml:space="preserve"> meaning they have little prospect of recovering deficits over the next three years. </w:t>
      </w:r>
      <w:r w:rsidR="00550D33">
        <w:t>Although t</w:t>
      </w:r>
      <w:r w:rsidR="009F1FB3">
        <w:t xml:space="preserve">he £1bn increase in 2022-23 is very welcome, the 9% average HB block increase for London boroughs is below the recent annual increases in EHCP numbers (10% in 2021) and is barely enough to stand still. </w:t>
      </w:r>
      <w:r w:rsidR="009565A1">
        <w:t xml:space="preserve">The £136m increase for London boroughs next year is less than half of the existing deficits. </w:t>
      </w:r>
    </w:p>
    <w:p w14:paraId="2FF2201F" w14:textId="168EC952" w:rsidR="009F1FB3" w:rsidRDefault="00550D33" w:rsidP="00963900">
      <w:pPr>
        <w:pStyle w:val="NumBullet1"/>
      </w:pPr>
      <w:r>
        <w:t>W</w:t>
      </w:r>
      <w:r w:rsidR="009F1FB3">
        <w:t>e welcome the DfE’s attempts to tighten the ring-fence on the DSG via secondary legislation and the statutory override introduced last year</w:t>
      </w:r>
      <w:r>
        <w:t>. However</w:t>
      </w:r>
      <w:r w:rsidR="009F1FB3">
        <w:t xml:space="preserve">, these changes are temporary and do not resolve the underlying deficits. </w:t>
      </w:r>
      <w:r w:rsidR="00897209">
        <w:t>T</w:t>
      </w:r>
      <w:r w:rsidR="009F1FB3">
        <w:t xml:space="preserve">he current “Safety Valve” approach focusses only on </w:t>
      </w:r>
      <w:r w:rsidR="00DC6E1B">
        <w:t xml:space="preserve">a </w:t>
      </w:r>
      <w:r w:rsidR="009F1FB3">
        <w:t xml:space="preserve">handful of </w:t>
      </w:r>
      <w:r w:rsidR="00DC6E1B">
        <w:t xml:space="preserve">the worst affected </w:t>
      </w:r>
      <w:r w:rsidR="009F1FB3">
        <w:t>authorities</w:t>
      </w:r>
      <w:r w:rsidR="00897209">
        <w:t xml:space="preserve">, providing no assistance to </w:t>
      </w:r>
      <w:r w:rsidR="009F1FB3">
        <w:t xml:space="preserve">the growing number of authorities where deficits are now typically £20m or more. </w:t>
      </w:r>
      <w:r w:rsidR="00897209">
        <w:t xml:space="preserve">If action is not taken to support these authorities, the numbers requiring an emergency intervention will only grow. </w:t>
      </w:r>
      <w:r w:rsidR="009565A1" w:rsidRPr="0086407F">
        <w:rPr>
          <w:b/>
          <w:bCs/>
        </w:rPr>
        <w:t xml:space="preserve">We therefore continue to urge </w:t>
      </w:r>
      <w:r w:rsidR="00063356" w:rsidRPr="0086407F">
        <w:rPr>
          <w:b/>
          <w:bCs/>
        </w:rPr>
        <w:t>the Government</w:t>
      </w:r>
      <w:r w:rsidR="009565A1" w:rsidRPr="0086407F">
        <w:rPr>
          <w:b/>
          <w:bCs/>
        </w:rPr>
        <w:t xml:space="preserve"> to set out a robust strategy to support </w:t>
      </w:r>
      <w:r w:rsidR="009565A1" w:rsidRPr="0086407F">
        <w:rPr>
          <w:b/>
          <w:bCs/>
          <w:i/>
          <w:iCs/>
        </w:rPr>
        <w:t xml:space="preserve">all </w:t>
      </w:r>
      <w:r w:rsidR="009565A1" w:rsidRPr="0086407F">
        <w:rPr>
          <w:b/>
          <w:bCs/>
        </w:rPr>
        <w:t xml:space="preserve">councils to clear DSG deficits alongside its </w:t>
      </w:r>
      <w:r w:rsidR="009F1FB3" w:rsidRPr="0086407F">
        <w:rPr>
          <w:b/>
          <w:bCs/>
        </w:rPr>
        <w:t>SEND Review, which must be published as soon as possible</w:t>
      </w:r>
      <w:r w:rsidR="009565A1" w:rsidRPr="0086407F">
        <w:rPr>
          <w:b/>
          <w:bCs/>
        </w:rPr>
        <w:t>.</w:t>
      </w:r>
    </w:p>
    <w:p w14:paraId="75ABD60F" w14:textId="622BADF7" w:rsidR="004F7319" w:rsidRDefault="002505AE" w:rsidP="004F7319">
      <w:pPr>
        <w:pStyle w:val="NumBullet1"/>
        <w:spacing w:after="0"/>
      </w:pPr>
      <w:r>
        <w:t>W</w:t>
      </w:r>
      <w:r w:rsidR="000A6A3F" w:rsidRPr="000A6A3F">
        <w:t xml:space="preserve">e are </w:t>
      </w:r>
      <w:r>
        <w:t xml:space="preserve">also </w:t>
      </w:r>
      <w:r w:rsidR="000A6A3F" w:rsidRPr="000A6A3F">
        <w:t>disappointed that there was no additional funding within SR</w:t>
      </w:r>
      <w:r w:rsidR="00C06EA9">
        <w:t>2</w:t>
      </w:r>
      <w:r w:rsidR="009565A1">
        <w:t>1</w:t>
      </w:r>
      <w:r w:rsidR="000A6A3F" w:rsidRPr="000A6A3F">
        <w:t xml:space="preserve"> or </w:t>
      </w:r>
      <w:r w:rsidR="009565A1">
        <w:t xml:space="preserve">the </w:t>
      </w:r>
      <w:r w:rsidR="000A6A3F" w:rsidRPr="000A6A3F">
        <w:t xml:space="preserve">settlement to support councils with the considerable costs associated with supporting people with No Recourse to Public Funds. </w:t>
      </w:r>
      <w:r w:rsidR="00BE3354" w:rsidRPr="00BE3354">
        <w:t xml:space="preserve">London Boroughs </w:t>
      </w:r>
      <w:r>
        <w:t xml:space="preserve">spend £40-50m per annum </w:t>
      </w:r>
      <w:r w:rsidR="00BE3354" w:rsidRPr="00BE3354">
        <w:t xml:space="preserve">were supporting households with accommodation and/or financial </w:t>
      </w:r>
      <w:r>
        <w:t xml:space="preserve">support. </w:t>
      </w:r>
      <w:r w:rsidR="002A7E05">
        <w:t>These are often extremely</w:t>
      </w:r>
      <w:r w:rsidR="000A6A3F" w:rsidRPr="000A6A3F">
        <w:t xml:space="preserve"> vulnerable people</w:t>
      </w:r>
      <w:r w:rsidR="0086407F">
        <w:t xml:space="preserve">. </w:t>
      </w:r>
      <w:r w:rsidR="0086407F" w:rsidRPr="0086407F">
        <w:rPr>
          <w:b/>
          <w:bCs/>
        </w:rPr>
        <w:t>W</w:t>
      </w:r>
      <w:r w:rsidR="000A6A3F" w:rsidRPr="0086407F">
        <w:rPr>
          <w:b/>
          <w:bCs/>
        </w:rPr>
        <w:t xml:space="preserve">e urge </w:t>
      </w:r>
      <w:r w:rsidR="00063356" w:rsidRPr="0086407F">
        <w:rPr>
          <w:b/>
          <w:bCs/>
        </w:rPr>
        <w:t>the Government</w:t>
      </w:r>
      <w:r w:rsidR="000A6A3F" w:rsidRPr="0086407F">
        <w:rPr>
          <w:b/>
          <w:bCs/>
        </w:rPr>
        <w:t xml:space="preserve"> to provide financial support to help with this cost pressure</w:t>
      </w:r>
      <w:r w:rsidR="0086407F" w:rsidRPr="0086407F">
        <w:rPr>
          <w:b/>
          <w:bCs/>
        </w:rPr>
        <w:t>, i</w:t>
      </w:r>
      <w:r w:rsidR="000A6A3F" w:rsidRPr="0086407F">
        <w:rPr>
          <w:b/>
          <w:bCs/>
        </w:rPr>
        <w:t xml:space="preserve">f not by a separate grant, </w:t>
      </w:r>
      <w:r w:rsidR="0086407F" w:rsidRPr="0086407F">
        <w:rPr>
          <w:b/>
          <w:bCs/>
        </w:rPr>
        <w:t xml:space="preserve">then through core funding as part of </w:t>
      </w:r>
      <w:r w:rsidR="000A6A3F" w:rsidRPr="0086407F">
        <w:rPr>
          <w:b/>
          <w:bCs/>
        </w:rPr>
        <w:t>th</w:t>
      </w:r>
      <w:r w:rsidR="009565A1" w:rsidRPr="0086407F">
        <w:rPr>
          <w:b/>
          <w:bCs/>
        </w:rPr>
        <w:t>e new needs assessment.</w:t>
      </w:r>
      <w:r w:rsidR="000A6A3F" w:rsidRPr="004F7319">
        <w:t xml:space="preserve"> </w:t>
      </w:r>
    </w:p>
    <w:p w14:paraId="14B83C81" w14:textId="58167E4B" w:rsidR="009565A1" w:rsidRDefault="009565A1" w:rsidP="004F7319">
      <w:pPr>
        <w:pStyle w:val="NumBullet1"/>
        <w:numPr>
          <w:ilvl w:val="0"/>
          <w:numId w:val="0"/>
        </w:numPr>
        <w:spacing w:after="0"/>
        <w:ind w:left="482"/>
      </w:pPr>
    </w:p>
    <w:p w14:paraId="71F7E5A0" w14:textId="4EFFE108" w:rsidR="00190C7B" w:rsidRDefault="00190C7B" w:rsidP="004F7319">
      <w:pPr>
        <w:pStyle w:val="NumBullet1"/>
        <w:numPr>
          <w:ilvl w:val="0"/>
          <w:numId w:val="0"/>
        </w:numPr>
        <w:spacing w:after="0"/>
        <w:ind w:left="482"/>
      </w:pPr>
    </w:p>
    <w:p w14:paraId="2E2A8484" w14:textId="76A7D660" w:rsidR="004F7319" w:rsidRPr="004F7319" w:rsidRDefault="00795E03" w:rsidP="004F7319">
      <w:pPr>
        <w:pStyle w:val="NumBullet1"/>
        <w:numPr>
          <w:ilvl w:val="0"/>
          <w:numId w:val="0"/>
        </w:numPr>
        <w:ind w:left="142"/>
        <w:rPr>
          <w:b/>
          <w:bCs/>
          <w:sz w:val="22"/>
          <w:szCs w:val="22"/>
        </w:rPr>
      </w:pPr>
      <w:r>
        <w:rPr>
          <w:b/>
          <w:bCs/>
          <w:sz w:val="22"/>
          <w:szCs w:val="22"/>
        </w:rPr>
        <w:t xml:space="preserve">Funding reforms </w:t>
      </w:r>
    </w:p>
    <w:p w14:paraId="6C8CC858" w14:textId="76AC8585" w:rsidR="00F27F4D" w:rsidRDefault="004F7319" w:rsidP="00F27F4D">
      <w:pPr>
        <w:pStyle w:val="NumBullet1"/>
        <w:rPr>
          <w:lang w:eastAsia="en-GB"/>
        </w:rPr>
      </w:pPr>
      <w:r w:rsidRPr="004F7319">
        <w:lastRenderedPageBreak/>
        <w:t xml:space="preserve">Finally, </w:t>
      </w:r>
      <w:r w:rsidR="007C32F0">
        <w:t xml:space="preserve">London Councils welcomes </w:t>
      </w:r>
      <w:r w:rsidR="00063356">
        <w:t>the Government</w:t>
      </w:r>
      <w:r w:rsidR="007C32F0">
        <w:t>’</w:t>
      </w:r>
      <w:r w:rsidR="007C32F0" w:rsidRPr="007C32F0">
        <w:t xml:space="preserve">s </w:t>
      </w:r>
      <w:r w:rsidR="007C32F0">
        <w:t xml:space="preserve">commitment </w:t>
      </w:r>
      <w:r w:rsidR="007C32F0" w:rsidRPr="007C32F0">
        <w:t xml:space="preserve">to ensuring that funding allocations for councils are based on an up-to-date assessment of their needs and resources. </w:t>
      </w:r>
      <w:r w:rsidR="00F27F4D" w:rsidRPr="00761288">
        <w:rPr>
          <w:lang w:eastAsia="en-GB"/>
        </w:rPr>
        <w:t xml:space="preserve">We welcome </w:t>
      </w:r>
      <w:r w:rsidR="00063356">
        <w:rPr>
          <w:lang w:eastAsia="en-GB"/>
        </w:rPr>
        <w:t>the Government</w:t>
      </w:r>
      <w:r w:rsidR="00F27F4D" w:rsidRPr="00761288">
        <w:rPr>
          <w:lang w:eastAsia="en-GB"/>
        </w:rPr>
        <w:t xml:space="preserve">’s intention to engage with the </w:t>
      </w:r>
      <w:proofErr w:type="gramStart"/>
      <w:r w:rsidR="00F27F4D" w:rsidRPr="00761288">
        <w:rPr>
          <w:lang w:eastAsia="en-GB"/>
        </w:rPr>
        <w:t>sector, and</w:t>
      </w:r>
      <w:proofErr w:type="gramEnd"/>
      <w:r w:rsidR="00F27F4D" w:rsidRPr="00761288">
        <w:rPr>
          <w:lang w:eastAsia="en-GB"/>
        </w:rPr>
        <w:t xml:space="preserve"> consult on potential future changes to the system. This process should be as open and transparent as possible</w:t>
      </w:r>
      <w:r w:rsidR="00F27F4D">
        <w:t xml:space="preserve">. </w:t>
      </w:r>
      <w:r w:rsidR="007C32F0">
        <w:t xml:space="preserve">We note that both the Written </w:t>
      </w:r>
      <w:r w:rsidR="00F27F4D">
        <w:t>Ministerial</w:t>
      </w:r>
      <w:r w:rsidR="007C32F0">
        <w:t xml:space="preserve"> Statement and the consultation document only refer to updating data and not to reviewing the </w:t>
      </w:r>
      <w:r w:rsidR="00F27F4D">
        <w:t xml:space="preserve">structure of the </w:t>
      </w:r>
      <w:r w:rsidR="007C32F0">
        <w:t xml:space="preserve">formulae </w:t>
      </w:r>
      <w:r w:rsidR="00F27F4D">
        <w:t xml:space="preserve">which determine core funding. </w:t>
      </w:r>
      <w:r w:rsidR="00F27F4D" w:rsidRPr="006837D3">
        <w:rPr>
          <w:b/>
          <w:bCs/>
        </w:rPr>
        <w:t xml:space="preserve">We urge </w:t>
      </w:r>
      <w:r w:rsidR="00063356" w:rsidRPr="006837D3">
        <w:rPr>
          <w:b/>
          <w:bCs/>
        </w:rPr>
        <w:t>the Government</w:t>
      </w:r>
      <w:r w:rsidR="00F27F4D" w:rsidRPr="006837D3">
        <w:rPr>
          <w:b/>
          <w:bCs/>
        </w:rPr>
        <w:t xml:space="preserve"> to clarify the scope of the reforms to the relative needs and resources assessment as soon as possible.</w:t>
      </w:r>
      <w:r w:rsidR="00F27F4D">
        <w:t xml:space="preserve"> </w:t>
      </w:r>
    </w:p>
    <w:p w14:paraId="24798C61" w14:textId="47FF2592" w:rsidR="006837D3" w:rsidRDefault="00F27F4D" w:rsidP="006837D3">
      <w:pPr>
        <w:pStyle w:val="NumBullet1"/>
        <w:spacing w:after="0"/>
      </w:pPr>
      <w:r>
        <w:t>By April 2023, it will have been a decade since the funding formula has been updated, in which London’s population will have grown by almost 800,000</w:t>
      </w:r>
      <w:r w:rsidR="006837D3">
        <w:rPr>
          <w:rStyle w:val="FootnoteReference"/>
        </w:rPr>
        <w:footnoteReference w:id="4"/>
      </w:r>
      <w:r>
        <w:t xml:space="preserve"> and when the gap between wages and housing costs grew starkly in many parts of London. The pandemic has further deepened inequalities and has hit London particularly hard. </w:t>
      </w:r>
    </w:p>
    <w:p w14:paraId="22513A31" w14:textId="77777777" w:rsidR="006837D3" w:rsidRDefault="006837D3" w:rsidP="006837D3">
      <w:pPr>
        <w:pStyle w:val="NumBullet1"/>
        <w:numPr>
          <w:ilvl w:val="0"/>
          <w:numId w:val="0"/>
        </w:numPr>
        <w:spacing w:after="0"/>
        <w:ind w:left="482"/>
      </w:pPr>
    </w:p>
    <w:p w14:paraId="5F4FCD69" w14:textId="5A7B3978" w:rsidR="00F27F4D" w:rsidRDefault="006837D3" w:rsidP="00854A65">
      <w:pPr>
        <w:pStyle w:val="NumBullet1"/>
        <w:spacing w:after="120"/>
      </w:pPr>
      <w:r>
        <w:t>As such, o</w:t>
      </w:r>
      <w:r w:rsidR="00854A65">
        <w:t xml:space="preserve">ur </w:t>
      </w:r>
      <w:r w:rsidR="000030DD">
        <w:t xml:space="preserve">key </w:t>
      </w:r>
      <w:r w:rsidR="00854A65">
        <w:t xml:space="preserve">priorities for updating the relative needs assessment </w:t>
      </w:r>
      <w:r w:rsidR="000030DD">
        <w:t>will be to</w:t>
      </w:r>
      <w:r w:rsidR="00F27F4D">
        <w:t xml:space="preserve">: </w:t>
      </w:r>
    </w:p>
    <w:p w14:paraId="40A7C1B6" w14:textId="482ED0B4" w:rsidR="00854A65" w:rsidRDefault="00854A65" w:rsidP="00854A65">
      <w:pPr>
        <w:pStyle w:val="Bullet1"/>
        <w:spacing w:after="120"/>
      </w:pPr>
      <w:r w:rsidRPr="006837D3">
        <w:rPr>
          <w:b/>
          <w:bCs/>
        </w:rPr>
        <w:t xml:space="preserve">ensure any measures of deprivation properly </w:t>
      </w:r>
      <w:proofErr w:type="gramStart"/>
      <w:r w:rsidRPr="006837D3">
        <w:rPr>
          <w:b/>
          <w:bCs/>
        </w:rPr>
        <w:t>take into account</w:t>
      </w:r>
      <w:proofErr w:type="gramEnd"/>
      <w:r w:rsidRPr="006837D3">
        <w:rPr>
          <w:b/>
          <w:bCs/>
        </w:rPr>
        <w:t xml:space="preserve"> housing costs</w:t>
      </w:r>
      <w:r>
        <w:t xml:space="preserve"> – Londoners have higher wages but also far higher housing costs than other parts of the country. 27% of Londoners live in relative poverty after housing costs are </w:t>
      </w:r>
      <w:proofErr w:type="gramStart"/>
      <w:r>
        <w:t>taken into account</w:t>
      </w:r>
      <w:proofErr w:type="gramEnd"/>
      <w:r>
        <w:t>: the highest of any region</w:t>
      </w:r>
      <w:r w:rsidR="000030DD">
        <w:rPr>
          <w:rStyle w:val="FootnoteReference"/>
        </w:rPr>
        <w:footnoteReference w:id="5"/>
      </w:r>
      <w:r>
        <w:t>.</w:t>
      </w:r>
    </w:p>
    <w:p w14:paraId="21534486" w14:textId="16D4B1BA" w:rsidR="00854A65" w:rsidRDefault="00854A65" w:rsidP="00854A65">
      <w:pPr>
        <w:pStyle w:val="Bullet1"/>
        <w:spacing w:after="120"/>
      </w:pPr>
      <w:r w:rsidRPr="006837D3">
        <w:rPr>
          <w:b/>
          <w:bCs/>
        </w:rPr>
        <w:t>ensur</w:t>
      </w:r>
      <w:r w:rsidR="000030DD" w:rsidRPr="006837D3">
        <w:rPr>
          <w:b/>
          <w:bCs/>
        </w:rPr>
        <w:t>e</w:t>
      </w:r>
      <w:r w:rsidRPr="006837D3">
        <w:rPr>
          <w:b/>
          <w:bCs/>
        </w:rPr>
        <w:t xml:space="preserve"> reliable and robust population projections are used</w:t>
      </w:r>
      <w:r>
        <w:t xml:space="preserve"> that take account of </w:t>
      </w:r>
      <w:r w:rsidR="000030DD">
        <w:t>any</w:t>
      </w:r>
      <w:r w:rsidR="00063356">
        <w:t xml:space="preserve"> temporary</w:t>
      </w:r>
      <w:r w:rsidR="003D0669">
        <w:t xml:space="preserve">, </w:t>
      </w:r>
      <w:r w:rsidR="00063356">
        <w:t>short</w:t>
      </w:r>
      <w:r w:rsidR="003D0669">
        <w:t>-</w:t>
      </w:r>
      <w:r w:rsidR="00063356">
        <w:t xml:space="preserve">term impact of the pandemic </w:t>
      </w:r>
      <w:r w:rsidR="000030DD">
        <w:t>within th</w:t>
      </w:r>
      <w:r>
        <w:t>e 2021 Census</w:t>
      </w:r>
      <w:r w:rsidR="008C71A9">
        <w:t xml:space="preserve"> data</w:t>
      </w:r>
      <w:r w:rsidR="003D0669">
        <w:t>.</w:t>
      </w:r>
      <w:r>
        <w:t xml:space="preserve"> </w:t>
      </w:r>
    </w:p>
    <w:p w14:paraId="318081FD" w14:textId="0BDA4D0F" w:rsidR="00F27F4D" w:rsidRDefault="00F27F4D" w:rsidP="00854A65">
      <w:pPr>
        <w:pStyle w:val="Bullet1"/>
        <w:spacing w:after="120"/>
      </w:pPr>
      <w:r w:rsidRPr="003D0669">
        <w:rPr>
          <w:b/>
          <w:bCs/>
        </w:rPr>
        <w:t>ensur</w:t>
      </w:r>
      <w:r w:rsidR="000030DD" w:rsidRPr="003D0669">
        <w:rPr>
          <w:b/>
          <w:bCs/>
        </w:rPr>
        <w:t xml:space="preserve">e </w:t>
      </w:r>
      <w:r w:rsidRPr="003D0669">
        <w:rPr>
          <w:b/>
          <w:bCs/>
        </w:rPr>
        <w:t xml:space="preserve">any measures of need are </w:t>
      </w:r>
      <w:proofErr w:type="gramStart"/>
      <w:r w:rsidRPr="003D0669">
        <w:rPr>
          <w:b/>
          <w:bCs/>
        </w:rPr>
        <w:t>up</w:t>
      </w:r>
      <w:r w:rsidR="003D0669" w:rsidRPr="003D0669">
        <w:rPr>
          <w:b/>
          <w:bCs/>
        </w:rPr>
        <w:t>-</w:t>
      </w:r>
      <w:r w:rsidRPr="003D0669">
        <w:rPr>
          <w:b/>
          <w:bCs/>
        </w:rPr>
        <w:t>to</w:t>
      </w:r>
      <w:r w:rsidR="003D0669" w:rsidRPr="003D0669">
        <w:rPr>
          <w:b/>
          <w:bCs/>
        </w:rPr>
        <w:t>-</w:t>
      </w:r>
      <w:r w:rsidRPr="003D0669">
        <w:rPr>
          <w:b/>
          <w:bCs/>
        </w:rPr>
        <w:t>date</w:t>
      </w:r>
      <w:proofErr w:type="gramEnd"/>
      <w:r w:rsidRPr="003D0669">
        <w:rPr>
          <w:b/>
          <w:bCs/>
        </w:rPr>
        <w:t xml:space="preserve"> in light of the pandemic</w:t>
      </w:r>
      <w:r>
        <w:t xml:space="preserve">, which has exacerbated inequalities in many areas and has </w:t>
      </w:r>
      <w:r w:rsidR="000030DD">
        <w:t xml:space="preserve">disproportionately impacted on </w:t>
      </w:r>
      <w:r>
        <w:t xml:space="preserve">London and </w:t>
      </w:r>
      <w:r w:rsidR="000030DD">
        <w:t>Londoners.</w:t>
      </w:r>
      <w:r>
        <w:t xml:space="preserve"> </w:t>
      </w:r>
    </w:p>
    <w:p w14:paraId="7F7870E5" w14:textId="579C9DA6" w:rsidR="00F27F4D" w:rsidRDefault="000030DD" w:rsidP="003D0669">
      <w:pPr>
        <w:pStyle w:val="Bullet1"/>
        <w:spacing w:after="360"/>
      </w:pPr>
      <w:r w:rsidRPr="003D0669">
        <w:rPr>
          <w:b/>
          <w:bCs/>
        </w:rPr>
        <w:t>e</w:t>
      </w:r>
      <w:r w:rsidR="00F27F4D" w:rsidRPr="003D0669">
        <w:rPr>
          <w:b/>
          <w:bCs/>
        </w:rPr>
        <w:t>nsur</w:t>
      </w:r>
      <w:r w:rsidRPr="003D0669">
        <w:rPr>
          <w:b/>
          <w:bCs/>
        </w:rPr>
        <w:t xml:space="preserve">e </w:t>
      </w:r>
      <w:r w:rsidR="00F27F4D" w:rsidRPr="003D0669">
        <w:rPr>
          <w:b/>
          <w:bCs/>
        </w:rPr>
        <w:t xml:space="preserve">any new formula accurately </w:t>
      </w:r>
      <w:proofErr w:type="gramStart"/>
      <w:r w:rsidR="00F27F4D" w:rsidRPr="003D0669">
        <w:rPr>
          <w:b/>
          <w:bCs/>
        </w:rPr>
        <w:t>takes into account</w:t>
      </w:r>
      <w:proofErr w:type="gramEnd"/>
      <w:r w:rsidR="00F27F4D" w:rsidRPr="003D0669">
        <w:rPr>
          <w:b/>
          <w:bCs/>
        </w:rPr>
        <w:t xml:space="preserve"> the different costs of delivering services in different parts of the country</w:t>
      </w:r>
      <w:r w:rsidR="00854A65">
        <w:t xml:space="preserve"> and that an</w:t>
      </w:r>
      <w:r w:rsidR="00F27F4D">
        <w:t xml:space="preserve">y changes to </w:t>
      </w:r>
      <w:r w:rsidR="00F32FC6">
        <w:t xml:space="preserve">the </w:t>
      </w:r>
      <w:r w:rsidR="00F27F4D">
        <w:t xml:space="preserve">area cost adjustment </w:t>
      </w:r>
      <w:r w:rsidR="00854A65">
        <w:t xml:space="preserve">are </w:t>
      </w:r>
      <w:r w:rsidR="00F27F4D">
        <w:t>based on robust evidence</w:t>
      </w:r>
      <w:r w:rsidR="00F32FC6">
        <w:t xml:space="preserve"> and are consistent with other public funding formulae</w:t>
      </w:r>
      <w:r w:rsidR="00F27F4D">
        <w:t xml:space="preserve">.  </w:t>
      </w:r>
    </w:p>
    <w:p w14:paraId="2A02CA8E" w14:textId="48217962" w:rsidR="003D0669" w:rsidRDefault="000030DD" w:rsidP="00F27F4D">
      <w:pPr>
        <w:pStyle w:val="NumBullet1"/>
      </w:pPr>
      <w:r>
        <w:t xml:space="preserve">The WMS and consultation document did not explicitly refer to the </w:t>
      </w:r>
      <w:r w:rsidR="00F27F4D">
        <w:t xml:space="preserve">reset of the business rates retention scheme, which had previously been due to be implemented alongside the new needs </w:t>
      </w:r>
      <w:r w:rsidR="003D0669">
        <w:t xml:space="preserve">and resources </w:t>
      </w:r>
      <w:r w:rsidR="00F27F4D">
        <w:t xml:space="preserve">assessment. The </w:t>
      </w:r>
      <w:r w:rsidR="00AF2E81">
        <w:t>baselines</w:t>
      </w:r>
      <w:r w:rsidR="003D0669">
        <w:t>,</w:t>
      </w:r>
      <w:r w:rsidR="00AF2E81">
        <w:t xml:space="preserve"> which were set in 2013, no longer reflect the distribution of business rates yield across the country</w:t>
      </w:r>
      <w:r w:rsidR="003D0669">
        <w:t xml:space="preserve"> and have </w:t>
      </w:r>
      <w:r w:rsidR="00AF2E81">
        <w:t xml:space="preserve">changed considerably since the start of the pandemic. </w:t>
      </w:r>
    </w:p>
    <w:p w14:paraId="3E566160" w14:textId="267CFBC0" w:rsidR="00AF2E81" w:rsidRPr="003D0669" w:rsidRDefault="00AF2E81" w:rsidP="00F27F4D">
      <w:pPr>
        <w:pStyle w:val="NumBullet1"/>
        <w:rPr>
          <w:b/>
          <w:bCs/>
        </w:rPr>
      </w:pPr>
      <w:r>
        <w:t xml:space="preserve">The fact that </w:t>
      </w:r>
      <w:r w:rsidR="00063356">
        <w:t>the Government</w:t>
      </w:r>
      <w:r w:rsidR="00F27F4D">
        <w:t xml:space="preserve"> will be providing over £1bn of grant funding next year to compensate for historical decisions it has taken </w:t>
      </w:r>
      <w:r w:rsidR="00F32FC6">
        <w:t xml:space="preserve">affecting </w:t>
      </w:r>
      <w:r w:rsidR="00F27F4D">
        <w:t xml:space="preserve">retained income, </w:t>
      </w:r>
      <w:r w:rsidR="003D0669">
        <w:t>shows</w:t>
      </w:r>
      <w:r w:rsidR="00F27F4D">
        <w:t xml:space="preserve"> </w:t>
      </w:r>
      <w:r w:rsidR="0086407F">
        <w:t xml:space="preserve">how the scheme is still subject to annual central government decisions which not only add complexity but move the scheme </w:t>
      </w:r>
      <w:r w:rsidR="00F27F4D">
        <w:t xml:space="preserve">further away from its intended purpose to incentivise local economic growth. </w:t>
      </w:r>
      <w:r>
        <w:t>The retention scheme</w:t>
      </w:r>
      <w:r w:rsidR="00F32FC6">
        <w:t xml:space="preserve"> must be </w:t>
      </w:r>
      <w:r>
        <w:t>made simpler and fairer, with the costs of business rates appeals being borne by central government rather than at the individual local authority level.</w:t>
      </w:r>
      <w:r w:rsidR="003607ED">
        <w:t xml:space="preserve"> </w:t>
      </w:r>
      <w:r w:rsidR="003607ED" w:rsidRPr="003D0669">
        <w:rPr>
          <w:b/>
          <w:bCs/>
        </w:rPr>
        <w:t xml:space="preserve">We urge </w:t>
      </w:r>
      <w:r w:rsidR="00063356" w:rsidRPr="003D0669">
        <w:rPr>
          <w:b/>
          <w:bCs/>
        </w:rPr>
        <w:t>the Government</w:t>
      </w:r>
      <w:r w:rsidR="003607ED" w:rsidRPr="003D0669">
        <w:rPr>
          <w:b/>
          <w:bCs/>
        </w:rPr>
        <w:t xml:space="preserve"> to clarify whether it intends to deliver the business rates reset alongside the updated assessment of need and to set out a clear timeline for the delivery of the reforms.</w:t>
      </w:r>
    </w:p>
    <w:p w14:paraId="1A27E050" w14:textId="28A821E5" w:rsidR="00761288" w:rsidRPr="00761288" w:rsidRDefault="003607ED" w:rsidP="003607ED">
      <w:pPr>
        <w:pStyle w:val="NumBullet1"/>
        <w:rPr>
          <w:lang w:eastAsia="en-GB"/>
        </w:rPr>
      </w:pPr>
      <w:r w:rsidRPr="0086407F">
        <w:rPr>
          <w:b/>
          <w:bCs/>
          <w:lang w:eastAsia="en-GB"/>
        </w:rPr>
        <w:t>As set out previously,</w:t>
      </w:r>
      <w:r>
        <w:rPr>
          <w:lang w:eastAsia="en-GB"/>
        </w:rPr>
        <w:t xml:space="preserve"> </w:t>
      </w:r>
      <w:r w:rsidR="003D0669" w:rsidRPr="003D0669">
        <w:rPr>
          <w:b/>
          <w:bCs/>
          <w:lang w:eastAsia="en-GB"/>
        </w:rPr>
        <w:t xml:space="preserve">we urge the Government to ensure the </w:t>
      </w:r>
      <w:r w:rsidRPr="003D0669">
        <w:rPr>
          <w:b/>
          <w:bCs/>
          <w:lang w:eastAsia="en-GB"/>
        </w:rPr>
        <w:t>t</w:t>
      </w:r>
      <w:r w:rsidR="00761288" w:rsidRPr="003D0669">
        <w:rPr>
          <w:b/>
          <w:bCs/>
          <w:lang w:eastAsia="en-GB"/>
        </w:rPr>
        <w:t xml:space="preserve">ransitional mechanisms </w:t>
      </w:r>
      <w:r w:rsidRPr="003D0669">
        <w:rPr>
          <w:b/>
          <w:bCs/>
          <w:lang w:eastAsia="en-GB"/>
        </w:rPr>
        <w:t>needed to deliver the</w:t>
      </w:r>
      <w:r w:rsidR="00761288" w:rsidRPr="003D0669">
        <w:rPr>
          <w:b/>
          <w:bCs/>
          <w:lang w:eastAsia="en-GB"/>
        </w:rPr>
        <w:t xml:space="preserve"> outcome of the re</w:t>
      </w:r>
      <w:r w:rsidRPr="003D0669">
        <w:rPr>
          <w:b/>
          <w:bCs/>
          <w:lang w:eastAsia="en-GB"/>
        </w:rPr>
        <w:t>forms</w:t>
      </w:r>
      <w:r w:rsidR="00761288" w:rsidRPr="003D0669">
        <w:rPr>
          <w:b/>
          <w:bCs/>
          <w:lang w:eastAsia="en-GB"/>
        </w:rPr>
        <w:t xml:space="preserve"> ensure that no council experiences a loss of income.</w:t>
      </w:r>
    </w:p>
    <w:p w14:paraId="4732F0BC" w14:textId="24A8F135" w:rsidR="00FF07C0" w:rsidRPr="006D7F2B" w:rsidRDefault="00115CE4" w:rsidP="007F678E">
      <w:pPr>
        <w:pStyle w:val="Heading1"/>
      </w:pPr>
      <w:r>
        <w:br w:type="page"/>
      </w:r>
      <w:r w:rsidR="00805BD5" w:rsidRPr="006D7F2B">
        <w:lastRenderedPageBreak/>
        <w:t>Responses</w:t>
      </w:r>
      <w:r w:rsidR="009420E7" w:rsidRPr="006D7F2B">
        <w:t xml:space="preserve"> to specific questions</w:t>
      </w:r>
    </w:p>
    <w:p w14:paraId="01246CF6" w14:textId="2CD6F810" w:rsidR="00767D49" w:rsidRDefault="00767D49" w:rsidP="00767D49">
      <w:pPr>
        <w:shd w:val="clear" w:color="auto" w:fill="FFFFFF"/>
        <w:spacing w:before="360" w:after="360" w:line="240" w:lineRule="auto"/>
        <w:rPr>
          <w:rFonts w:ascii="Arial" w:eastAsia="Times New Roman" w:hAnsi="Arial"/>
          <w:b/>
          <w:bCs/>
          <w:color w:val="0B0C0C"/>
          <w:lang w:eastAsia="en-GB"/>
        </w:rPr>
      </w:pPr>
      <w:r w:rsidRPr="00767D49">
        <w:rPr>
          <w:rFonts w:ascii="Arial" w:eastAsia="Times New Roman" w:hAnsi="Arial"/>
          <w:b/>
          <w:bCs/>
          <w:color w:val="0B0C0C"/>
          <w:lang w:eastAsia="en-GB"/>
        </w:rPr>
        <w:t xml:space="preserve">Question 1: Do you agree with </w:t>
      </w:r>
      <w:r w:rsidR="00063356">
        <w:rPr>
          <w:rFonts w:ascii="Arial" w:eastAsia="Times New Roman" w:hAnsi="Arial"/>
          <w:b/>
          <w:bCs/>
          <w:color w:val="0B0C0C"/>
          <w:lang w:eastAsia="en-GB"/>
        </w:rPr>
        <w:t>the Government</w:t>
      </w:r>
      <w:r w:rsidRPr="00767D49">
        <w:rPr>
          <w:rFonts w:ascii="Arial" w:eastAsia="Times New Roman" w:hAnsi="Arial"/>
          <w:b/>
          <w:bCs/>
          <w:color w:val="0B0C0C"/>
          <w:lang w:eastAsia="en-GB"/>
        </w:rPr>
        <w:t>’s proposed methodology for the distribution of Revenue Support Grant in 2022/23, including the rolling in of two New Burdens grants?</w:t>
      </w:r>
    </w:p>
    <w:p w14:paraId="75459167" w14:textId="765AC01A" w:rsidR="00D87393" w:rsidRDefault="00767D49" w:rsidP="00767D49">
      <w:pPr>
        <w:pStyle w:val="NumBullet1"/>
        <w:rPr>
          <w:lang w:eastAsia="en-GB"/>
        </w:rPr>
      </w:pPr>
      <w:r w:rsidRPr="00767D49">
        <w:rPr>
          <w:lang w:eastAsia="en-GB"/>
        </w:rPr>
        <w:t xml:space="preserve">London Councils </w:t>
      </w:r>
      <w:r w:rsidR="009137B0">
        <w:rPr>
          <w:lang w:eastAsia="en-GB"/>
        </w:rPr>
        <w:t xml:space="preserve">broadly </w:t>
      </w:r>
      <w:r w:rsidRPr="00767D49">
        <w:rPr>
          <w:lang w:eastAsia="en-GB"/>
        </w:rPr>
        <w:t>agrees with the proposed approach to distributing RSG</w:t>
      </w:r>
      <w:r>
        <w:rPr>
          <w:lang w:eastAsia="en-GB"/>
        </w:rPr>
        <w:t xml:space="preserve">. </w:t>
      </w:r>
      <w:r w:rsidR="009137B0">
        <w:rPr>
          <w:lang w:eastAsia="en-GB"/>
        </w:rPr>
        <w:t>We understand th</w:t>
      </w:r>
      <w:r>
        <w:rPr>
          <w:lang w:eastAsia="en-GB"/>
        </w:rPr>
        <w:t xml:space="preserve">e </w:t>
      </w:r>
      <w:r w:rsidR="009137B0">
        <w:rPr>
          <w:lang w:eastAsia="en-GB"/>
        </w:rPr>
        <w:t xml:space="preserve">rationale for rolling in the </w:t>
      </w:r>
      <w:r>
        <w:rPr>
          <w:lang w:eastAsia="en-GB"/>
        </w:rPr>
        <w:t xml:space="preserve">two new </w:t>
      </w:r>
      <w:r w:rsidR="009137B0">
        <w:rPr>
          <w:lang w:eastAsia="en-GB"/>
        </w:rPr>
        <w:t xml:space="preserve">burdens </w:t>
      </w:r>
      <w:r>
        <w:rPr>
          <w:lang w:eastAsia="en-GB"/>
        </w:rPr>
        <w:t>grants</w:t>
      </w:r>
      <w:r w:rsidR="00D87393">
        <w:rPr>
          <w:lang w:eastAsia="en-GB"/>
        </w:rPr>
        <w:t xml:space="preserve"> for simplicity</w:t>
      </w:r>
      <w:r w:rsidR="006A26CB">
        <w:rPr>
          <w:lang w:eastAsia="en-GB"/>
        </w:rPr>
        <w:t xml:space="preserve"> and given their small scale. </w:t>
      </w:r>
      <w:r w:rsidR="00D87393">
        <w:rPr>
          <w:lang w:eastAsia="en-GB"/>
        </w:rPr>
        <w:t xml:space="preserve"> </w:t>
      </w:r>
    </w:p>
    <w:p w14:paraId="2377EAAE" w14:textId="03795A78" w:rsidR="00767D49" w:rsidRDefault="00D87393" w:rsidP="00767D49">
      <w:pPr>
        <w:pStyle w:val="NumBullet1"/>
        <w:rPr>
          <w:lang w:eastAsia="en-GB"/>
        </w:rPr>
      </w:pPr>
      <w:r>
        <w:rPr>
          <w:lang w:eastAsia="en-GB"/>
        </w:rPr>
        <w:t xml:space="preserve">However, </w:t>
      </w:r>
      <w:r w:rsidR="00063356">
        <w:rPr>
          <w:lang w:eastAsia="en-GB"/>
        </w:rPr>
        <w:t>the Government</w:t>
      </w:r>
      <w:r>
        <w:rPr>
          <w:lang w:eastAsia="en-GB"/>
        </w:rPr>
        <w:t xml:space="preserve"> should publish the existing distributions of the two grants</w:t>
      </w:r>
      <w:r w:rsidR="006A26CB">
        <w:rPr>
          <w:lang w:eastAsia="en-GB"/>
        </w:rPr>
        <w:t>,</w:t>
      </w:r>
      <w:r>
        <w:rPr>
          <w:lang w:eastAsia="en-GB"/>
        </w:rPr>
        <w:t xml:space="preserve"> worth £2m in total, so local authorities can see whether they will be better or worse off </w:t>
      </w:r>
      <w:r w:rsidR="001541E2">
        <w:rPr>
          <w:lang w:eastAsia="en-GB"/>
        </w:rPr>
        <w:t>from the</w:t>
      </w:r>
      <w:r>
        <w:rPr>
          <w:lang w:eastAsia="en-GB"/>
        </w:rPr>
        <w:t xml:space="preserve"> proposed methodology (using 2013-14 SFA). </w:t>
      </w:r>
      <w:r w:rsidR="006F5CA9">
        <w:rPr>
          <w:lang w:eastAsia="en-GB"/>
        </w:rPr>
        <w:t>T</w:t>
      </w:r>
      <w:r>
        <w:rPr>
          <w:lang w:eastAsia="en-GB"/>
        </w:rPr>
        <w:t xml:space="preserve">ransparency </w:t>
      </w:r>
      <w:r w:rsidR="006A26CB">
        <w:rPr>
          <w:lang w:eastAsia="en-GB"/>
        </w:rPr>
        <w:t xml:space="preserve">must </w:t>
      </w:r>
      <w:r>
        <w:rPr>
          <w:lang w:eastAsia="en-GB"/>
        </w:rPr>
        <w:t>be a key principle underpinning an</w:t>
      </w:r>
      <w:r w:rsidR="006A26CB">
        <w:rPr>
          <w:lang w:eastAsia="en-GB"/>
        </w:rPr>
        <w:t>y</w:t>
      </w:r>
      <w:r>
        <w:rPr>
          <w:lang w:eastAsia="en-GB"/>
        </w:rPr>
        <w:t xml:space="preserve"> </w:t>
      </w:r>
      <w:r w:rsidR="006A26CB">
        <w:rPr>
          <w:lang w:eastAsia="en-GB"/>
        </w:rPr>
        <w:t xml:space="preserve">allocation of </w:t>
      </w:r>
      <w:r>
        <w:rPr>
          <w:lang w:eastAsia="en-GB"/>
        </w:rPr>
        <w:t>public fund</w:t>
      </w:r>
      <w:r w:rsidR="00207999">
        <w:rPr>
          <w:lang w:eastAsia="en-GB"/>
        </w:rPr>
        <w:t>s</w:t>
      </w:r>
      <w:r>
        <w:rPr>
          <w:lang w:eastAsia="en-GB"/>
        </w:rPr>
        <w:t xml:space="preserve">, and we urge </w:t>
      </w:r>
      <w:r w:rsidR="00063356">
        <w:rPr>
          <w:lang w:eastAsia="en-GB"/>
        </w:rPr>
        <w:t>the Government</w:t>
      </w:r>
      <w:r>
        <w:rPr>
          <w:lang w:eastAsia="en-GB"/>
        </w:rPr>
        <w:t xml:space="preserve"> to </w:t>
      </w:r>
      <w:r w:rsidR="008D3C25">
        <w:rPr>
          <w:lang w:eastAsia="en-GB"/>
        </w:rPr>
        <w:t>publis</w:t>
      </w:r>
      <w:r>
        <w:rPr>
          <w:lang w:eastAsia="en-GB"/>
        </w:rPr>
        <w:t xml:space="preserve">h the previous grant distributions </w:t>
      </w:r>
      <w:r w:rsidR="008D3C25">
        <w:rPr>
          <w:lang w:eastAsia="en-GB"/>
        </w:rPr>
        <w:t xml:space="preserve">alongside the </w:t>
      </w:r>
      <w:r w:rsidR="006A26CB">
        <w:rPr>
          <w:lang w:eastAsia="en-GB"/>
        </w:rPr>
        <w:t xml:space="preserve">final </w:t>
      </w:r>
      <w:r w:rsidR="008D3C25">
        <w:rPr>
          <w:lang w:eastAsia="en-GB"/>
        </w:rPr>
        <w:t xml:space="preserve">settlement.  </w:t>
      </w:r>
    </w:p>
    <w:p w14:paraId="48F7E2DC" w14:textId="77777777" w:rsidR="008D3C25" w:rsidRPr="008D3C25" w:rsidRDefault="00767D49" w:rsidP="008E028A">
      <w:pPr>
        <w:pStyle w:val="NumBullet1"/>
        <w:shd w:val="clear" w:color="auto" w:fill="FFFFFF"/>
        <w:spacing w:before="360" w:after="360" w:line="240" w:lineRule="auto"/>
        <w:rPr>
          <w:rFonts w:ascii="Arial" w:eastAsia="Times New Roman" w:hAnsi="Arial"/>
          <w:b/>
          <w:bCs/>
          <w:color w:val="0B0C0C"/>
          <w:lang w:eastAsia="en-GB"/>
        </w:rPr>
      </w:pPr>
      <w:r w:rsidRPr="00767D49">
        <w:rPr>
          <w:lang w:eastAsia="en-GB"/>
        </w:rPr>
        <w:t xml:space="preserve">The proposal to </w:t>
      </w:r>
      <w:r w:rsidR="008D3C25">
        <w:rPr>
          <w:lang w:eastAsia="en-GB"/>
        </w:rPr>
        <w:t xml:space="preserve">continue to </w:t>
      </w:r>
      <w:r w:rsidRPr="00767D49">
        <w:rPr>
          <w:lang w:eastAsia="en-GB"/>
        </w:rPr>
        <w:t xml:space="preserve">eliminate negative RSG is welcome for those London boroughs who receive it, although its very existence </w:t>
      </w:r>
      <w:r w:rsidR="008D3C25">
        <w:rPr>
          <w:lang w:eastAsia="en-GB"/>
        </w:rPr>
        <w:t xml:space="preserve">continues to show why overall SFA funding distribution formula needs to be updated urgently. </w:t>
      </w:r>
    </w:p>
    <w:p w14:paraId="6D74D47C" w14:textId="1D405B36" w:rsidR="00767D49" w:rsidRPr="008D3C25" w:rsidRDefault="00767D49" w:rsidP="008D3C25">
      <w:pPr>
        <w:pStyle w:val="NumBullet1"/>
        <w:numPr>
          <w:ilvl w:val="0"/>
          <w:numId w:val="0"/>
        </w:numPr>
        <w:shd w:val="clear" w:color="auto" w:fill="FFFFFF"/>
        <w:spacing w:before="360" w:after="360" w:line="240" w:lineRule="auto"/>
        <w:rPr>
          <w:rFonts w:ascii="Arial" w:eastAsia="Times New Roman" w:hAnsi="Arial"/>
          <w:b/>
          <w:bCs/>
          <w:color w:val="0B0C0C"/>
          <w:lang w:eastAsia="en-GB"/>
        </w:rPr>
      </w:pPr>
      <w:r w:rsidRPr="008D3C25">
        <w:rPr>
          <w:rFonts w:ascii="Arial" w:eastAsia="Times New Roman" w:hAnsi="Arial"/>
          <w:b/>
          <w:bCs/>
          <w:color w:val="0B0C0C"/>
          <w:lang w:eastAsia="en-GB"/>
        </w:rPr>
        <w:t>Question 2: Do you agree with the proposed package of council tax referendum principles for 2022/23?</w:t>
      </w:r>
    </w:p>
    <w:p w14:paraId="735C93BB" w14:textId="6BDBAC0C" w:rsidR="000431EE" w:rsidRPr="000431EE" w:rsidRDefault="00767D49" w:rsidP="000431EE">
      <w:pPr>
        <w:pStyle w:val="NumBullet1"/>
      </w:pPr>
      <w:bookmarkStart w:id="7" w:name="_Hlk91253194"/>
      <w:r w:rsidRPr="00E81FD6">
        <w:t xml:space="preserve">As set out in </w:t>
      </w:r>
      <w:r>
        <w:t>paragraph</w:t>
      </w:r>
      <w:r w:rsidR="001541E2">
        <w:t xml:space="preserve"> </w:t>
      </w:r>
      <w:r w:rsidR="001D5331">
        <w:t>2</w:t>
      </w:r>
      <w:r w:rsidR="000431EE">
        <w:t>6</w:t>
      </w:r>
      <w:r w:rsidRPr="00E81FD6">
        <w:t xml:space="preserve">, London Councils continues to oppose hypothecation of council tax through the ASCP as a matter of principle. Council tax is the only locally determined tax and local authorities </w:t>
      </w:r>
      <w:r w:rsidR="000431EE">
        <w:t>should</w:t>
      </w:r>
      <w:r w:rsidRPr="00E81FD6">
        <w:t xml:space="preserve"> have full flexibility in how it is used as well as how it is set that strikes the appropriate balance between local needs and local resources. </w:t>
      </w:r>
      <w:bookmarkEnd w:id="7"/>
      <w:r w:rsidR="000431EE">
        <w:t>The A</w:t>
      </w:r>
      <w:r w:rsidR="000431EE" w:rsidRPr="000431EE">
        <w:t xml:space="preserve">dult Social Care Precept not only represents unnecessary central government control over local taxation, but it fails to deliver funding where it is needed most, while placing the greatest burden on those who can least afford it. We urge the Government to reconsider its plans to continue the precept beyond 2022-23, so it does not become a permanent hypothecation of council tax. </w:t>
      </w:r>
    </w:p>
    <w:p w14:paraId="36087EF4" w14:textId="419C504A" w:rsidR="00767D49" w:rsidRPr="000431EE" w:rsidRDefault="006A26CB" w:rsidP="00F80D22">
      <w:pPr>
        <w:pStyle w:val="NumBullet1"/>
        <w:shd w:val="clear" w:color="auto" w:fill="FFFFFF"/>
        <w:spacing w:before="360" w:after="360" w:line="240" w:lineRule="auto"/>
        <w:rPr>
          <w:rFonts w:ascii="Arial" w:eastAsia="Times New Roman" w:hAnsi="Arial"/>
          <w:b/>
          <w:bCs/>
          <w:color w:val="0B0C0C"/>
          <w:lang w:eastAsia="en-GB"/>
        </w:rPr>
      </w:pPr>
      <w:r w:rsidRPr="000431EE">
        <w:rPr>
          <w:rFonts w:ascii="Arial" w:eastAsia="Times New Roman" w:hAnsi="Arial"/>
          <w:b/>
          <w:bCs/>
          <w:color w:val="0B0C0C"/>
          <w:lang w:eastAsia="en-GB"/>
        </w:rPr>
        <w:t>Q</w:t>
      </w:r>
      <w:r w:rsidR="00767D49" w:rsidRPr="000431EE">
        <w:rPr>
          <w:rFonts w:ascii="Arial" w:eastAsia="Times New Roman" w:hAnsi="Arial"/>
          <w:b/>
          <w:bCs/>
          <w:color w:val="0B0C0C"/>
          <w:lang w:eastAsia="en-GB"/>
        </w:rPr>
        <w:t xml:space="preserve">uestion 3: Do you agree with </w:t>
      </w:r>
      <w:r w:rsidR="00063356" w:rsidRPr="000431EE">
        <w:rPr>
          <w:rFonts w:ascii="Arial" w:eastAsia="Times New Roman" w:hAnsi="Arial"/>
          <w:b/>
          <w:bCs/>
          <w:color w:val="0B0C0C"/>
          <w:lang w:eastAsia="en-GB"/>
        </w:rPr>
        <w:t>the Government</w:t>
      </w:r>
      <w:r w:rsidR="00767D49" w:rsidRPr="000431EE">
        <w:rPr>
          <w:rFonts w:ascii="Arial" w:eastAsia="Times New Roman" w:hAnsi="Arial"/>
          <w:b/>
          <w:bCs/>
          <w:color w:val="0B0C0C"/>
          <w:lang w:eastAsia="en-GB"/>
        </w:rPr>
        <w:t>’s proposals for the Social Care Grant in 2022/23?</w:t>
      </w:r>
    </w:p>
    <w:p w14:paraId="02D5CF3F" w14:textId="120F2E86" w:rsidR="0016365A" w:rsidRDefault="007F678E" w:rsidP="00481603">
      <w:pPr>
        <w:pStyle w:val="NumBullet1"/>
        <w:spacing w:after="0"/>
      </w:pPr>
      <w:r>
        <w:t>T</w:t>
      </w:r>
      <w:r w:rsidR="001D5331" w:rsidRPr="001E7918">
        <w:t xml:space="preserve">he 37% uplift in the SCG is </w:t>
      </w:r>
      <w:r w:rsidR="001D5331">
        <w:t>very</w:t>
      </w:r>
      <w:r w:rsidR="001D5331" w:rsidRPr="001E7918">
        <w:t xml:space="preserve"> welcome</w:t>
      </w:r>
      <w:r w:rsidR="0016365A">
        <w:t>.</w:t>
      </w:r>
      <w:r w:rsidR="001D5331" w:rsidRPr="001E7918">
        <w:t xml:space="preserve"> However, the increase across London </w:t>
      </w:r>
      <w:r w:rsidR="002F17E6">
        <w:t>- which amount</w:t>
      </w:r>
      <w:r w:rsidR="001D5331" w:rsidRPr="001E7918">
        <w:t xml:space="preserve"> to just over £100m</w:t>
      </w:r>
      <w:r w:rsidR="002F17E6">
        <w:t xml:space="preserve"> -</w:t>
      </w:r>
      <w:r w:rsidR="001D5331" w:rsidRPr="001E7918">
        <w:t xml:space="preserve"> will not keep pace with the growing funding gaps presenting in adult and children’s social care, which together had an annual shortfall </w:t>
      </w:r>
      <w:proofErr w:type="gramStart"/>
      <w:r w:rsidR="001D5331" w:rsidRPr="001E7918">
        <w:t>in excess of</w:t>
      </w:r>
      <w:proofErr w:type="gramEnd"/>
      <w:r w:rsidR="001D5331" w:rsidRPr="001E7918">
        <w:t xml:space="preserve"> £300m in London even before the pandemic. </w:t>
      </w:r>
    </w:p>
    <w:p w14:paraId="3DEBB695" w14:textId="77777777" w:rsidR="0016365A" w:rsidRDefault="0016365A" w:rsidP="0016365A">
      <w:pPr>
        <w:pStyle w:val="NumBullet1"/>
        <w:numPr>
          <w:ilvl w:val="0"/>
          <w:numId w:val="0"/>
        </w:numPr>
        <w:spacing w:after="0"/>
        <w:ind w:left="482"/>
      </w:pPr>
    </w:p>
    <w:p w14:paraId="7B91816B" w14:textId="1DA8942C" w:rsidR="00AA7801" w:rsidRDefault="001D5331" w:rsidP="00481603">
      <w:pPr>
        <w:pStyle w:val="NumBullet1"/>
        <w:spacing w:after="0"/>
      </w:pPr>
      <w:r w:rsidRPr="001E7918">
        <w:t xml:space="preserve">We continue to oppose the proposed methodology for distributing the SCG based solely on the adult social care Relative Needs Formula (RNF). If the intention is for this funding to alleviate pressure on both adult and children’s social care, its distribution should reflect relative levels of need in both services. The proposed approach disadvantages London </w:t>
      </w:r>
      <w:proofErr w:type="gramStart"/>
      <w:r w:rsidRPr="001E7918">
        <w:t>boroughs as a whole, whose</w:t>
      </w:r>
      <w:proofErr w:type="gramEnd"/>
      <w:r w:rsidRPr="001E7918">
        <w:t xml:space="preserve"> aggregate share of the adult social care RNF is 15.5%, while their aggregate share of the children’s social care RNF is 25.5%.</w:t>
      </w:r>
      <w:r w:rsidR="00AA7801">
        <w:t xml:space="preserve"> </w:t>
      </w:r>
      <w:r w:rsidR="007F678E">
        <w:t>If both formulae were used equally</w:t>
      </w:r>
      <w:r w:rsidR="00B60DEC">
        <w:t xml:space="preserve">, London boroughs would receive at least £200m more. </w:t>
      </w:r>
    </w:p>
    <w:p w14:paraId="71651B90" w14:textId="77777777" w:rsidR="00AA7801" w:rsidRDefault="00AA7801" w:rsidP="00AA7801">
      <w:pPr>
        <w:pStyle w:val="NumBullet1"/>
        <w:numPr>
          <w:ilvl w:val="0"/>
          <w:numId w:val="0"/>
        </w:numPr>
        <w:spacing w:after="0"/>
        <w:ind w:left="482"/>
      </w:pPr>
    </w:p>
    <w:p w14:paraId="46DD9BF8" w14:textId="7B999D21" w:rsidR="001D5331" w:rsidRPr="001E7918" w:rsidRDefault="0061129B" w:rsidP="00481603">
      <w:pPr>
        <w:pStyle w:val="NumBullet1"/>
        <w:spacing w:after="0"/>
      </w:pPr>
      <w:r>
        <w:rPr>
          <w:rFonts w:ascii="Arial" w:hAnsi="Arial"/>
          <w:color w:val="auto"/>
        </w:rPr>
        <w:t xml:space="preserve">Previously, the </w:t>
      </w:r>
      <w:r w:rsidR="00B60DEC">
        <w:rPr>
          <w:rFonts w:ascii="Arial" w:hAnsi="Arial"/>
          <w:color w:val="auto"/>
        </w:rPr>
        <w:t>G</w:t>
      </w:r>
      <w:r>
        <w:rPr>
          <w:rFonts w:ascii="Arial" w:hAnsi="Arial"/>
          <w:color w:val="auto"/>
        </w:rPr>
        <w:t xml:space="preserve">overnment set out the rationale for using only the ASC formula as it was more up to date than the CSC one. </w:t>
      </w:r>
      <w:r w:rsidR="00B60DEC">
        <w:rPr>
          <w:rFonts w:ascii="Arial" w:hAnsi="Arial"/>
          <w:color w:val="auto"/>
        </w:rPr>
        <w:t xml:space="preserve">We believe </w:t>
      </w:r>
      <w:r>
        <w:rPr>
          <w:rFonts w:ascii="Arial" w:hAnsi="Arial"/>
          <w:color w:val="auto"/>
        </w:rPr>
        <w:t xml:space="preserve">it </w:t>
      </w:r>
      <w:r w:rsidR="00B60DEC">
        <w:rPr>
          <w:rFonts w:ascii="Arial" w:hAnsi="Arial"/>
          <w:color w:val="auto"/>
        </w:rPr>
        <w:t xml:space="preserve">is </w:t>
      </w:r>
      <w:r w:rsidR="00AA7801" w:rsidRPr="00554F4C">
        <w:rPr>
          <w:rFonts w:ascii="Arial" w:hAnsi="Arial"/>
          <w:color w:val="auto"/>
        </w:rPr>
        <w:t xml:space="preserve">illogical to use a formula that is specifically designed for one service area for a funding allocation that is meant to fund two service areas. Even if the ASC formula was more </w:t>
      </w:r>
      <w:proofErr w:type="gramStart"/>
      <w:r w:rsidR="00AA7801" w:rsidRPr="00554F4C">
        <w:rPr>
          <w:rFonts w:ascii="Arial" w:hAnsi="Arial"/>
          <w:color w:val="auto"/>
        </w:rPr>
        <w:t>up-to-date</w:t>
      </w:r>
      <w:proofErr w:type="gramEnd"/>
      <w:r w:rsidR="00AA7801" w:rsidRPr="00554F4C">
        <w:rPr>
          <w:rFonts w:ascii="Arial" w:hAnsi="Arial"/>
          <w:color w:val="auto"/>
        </w:rPr>
        <w:t xml:space="preserve"> than the CSC formula, an out-of-date CSC formula still better reflects the need for children’s social care than an updated adult social care formula.</w:t>
      </w:r>
    </w:p>
    <w:p w14:paraId="7EFB16DA" w14:textId="7559C37A" w:rsidR="00767D49" w:rsidRDefault="00767D49" w:rsidP="00767D49">
      <w:pPr>
        <w:shd w:val="clear" w:color="auto" w:fill="FFFFFF"/>
        <w:spacing w:before="360" w:after="360" w:line="240" w:lineRule="auto"/>
        <w:rPr>
          <w:rFonts w:ascii="Arial" w:eastAsia="Times New Roman" w:hAnsi="Arial"/>
          <w:b/>
          <w:bCs/>
          <w:color w:val="0B0C0C"/>
          <w:lang w:eastAsia="en-GB"/>
        </w:rPr>
      </w:pPr>
      <w:r w:rsidRPr="00767D49">
        <w:rPr>
          <w:rFonts w:ascii="Arial" w:eastAsia="Times New Roman" w:hAnsi="Arial"/>
          <w:b/>
          <w:bCs/>
          <w:color w:val="0B0C0C"/>
          <w:lang w:eastAsia="en-GB"/>
        </w:rPr>
        <w:t xml:space="preserve">Question 4: Do you agree with </w:t>
      </w:r>
      <w:r w:rsidR="00063356">
        <w:rPr>
          <w:rFonts w:ascii="Arial" w:eastAsia="Times New Roman" w:hAnsi="Arial"/>
          <w:b/>
          <w:bCs/>
          <w:color w:val="0B0C0C"/>
          <w:lang w:eastAsia="en-GB"/>
        </w:rPr>
        <w:t>the Government</w:t>
      </w:r>
      <w:r w:rsidRPr="00767D49">
        <w:rPr>
          <w:rFonts w:ascii="Arial" w:eastAsia="Times New Roman" w:hAnsi="Arial"/>
          <w:b/>
          <w:bCs/>
          <w:color w:val="0B0C0C"/>
          <w:lang w:eastAsia="en-GB"/>
        </w:rPr>
        <w:t xml:space="preserve">’s proposals for </w:t>
      </w:r>
      <w:proofErr w:type="spellStart"/>
      <w:r w:rsidRPr="00767D49">
        <w:rPr>
          <w:rFonts w:ascii="Arial" w:eastAsia="Times New Roman" w:hAnsi="Arial"/>
          <w:b/>
          <w:bCs/>
          <w:color w:val="0B0C0C"/>
          <w:lang w:eastAsia="en-GB"/>
        </w:rPr>
        <w:t>iBCF</w:t>
      </w:r>
      <w:proofErr w:type="spellEnd"/>
      <w:r w:rsidRPr="00767D49">
        <w:rPr>
          <w:rFonts w:ascii="Arial" w:eastAsia="Times New Roman" w:hAnsi="Arial"/>
          <w:b/>
          <w:bCs/>
          <w:color w:val="0B0C0C"/>
          <w:lang w:eastAsia="en-GB"/>
        </w:rPr>
        <w:t xml:space="preserve"> in 2022/23?</w:t>
      </w:r>
    </w:p>
    <w:p w14:paraId="5E00EBE4" w14:textId="4B42C9E6" w:rsidR="00251569" w:rsidRPr="001E7918" w:rsidRDefault="00251569" w:rsidP="001E7918">
      <w:pPr>
        <w:pStyle w:val="NumBullet1"/>
        <w:spacing w:after="0"/>
      </w:pPr>
      <w:r w:rsidRPr="001E7918">
        <w:t xml:space="preserve">We welcome the continuation of the </w:t>
      </w:r>
      <w:proofErr w:type="spellStart"/>
      <w:r w:rsidRPr="001E7918">
        <w:t>iBCF</w:t>
      </w:r>
      <w:proofErr w:type="spellEnd"/>
      <w:r w:rsidRPr="001E7918">
        <w:t xml:space="preserve"> in 2022-23</w:t>
      </w:r>
      <w:r w:rsidR="0061129B">
        <w:t xml:space="preserve">, however the inflationary increase in the grant will not cover the scale of the pressures facing adult social care, particularly the ongoing impact of the pandemic on hospital discharges and long covid. </w:t>
      </w:r>
    </w:p>
    <w:p w14:paraId="01A89C97" w14:textId="0FAD22D3" w:rsidR="00767D49" w:rsidRDefault="00767D49" w:rsidP="00767D49">
      <w:pPr>
        <w:shd w:val="clear" w:color="auto" w:fill="FFFFFF"/>
        <w:spacing w:before="360" w:after="360" w:line="240" w:lineRule="auto"/>
        <w:rPr>
          <w:rFonts w:ascii="Arial" w:eastAsia="Times New Roman" w:hAnsi="Arial"/>
          <w:b/>
          <w:bCs/>
          <w:color w:val="0B0C0C"/>
          <w:lang w:eastAsia="en-GB"/>
        </w:rPr>
      </w:pPr>
      <w:r w:rsidRPr="00767D49">
        <w:rPr>
          <w:rFonts w:ascii="Arial" w:eastAsia="Times New Roman" w:hAnsi="Arial"/>
          <w:b/>
          <w:bCs/>
          <w:color w:val="0B0C0C"/>
          <w:lang w:eastAsia="en-GB"/>
        </w:rPr>
        <w:lastRenderedPageBreak/>
        <w:t xml:space="preserve">Question 5: Do you agree with </w:t>
      </w:r>
      <w:r w:rsidR="00063356">
        <w:rPr>
          <w:rFonts w:ascii="Arial" w:eastAsia="Times New Roman" w:hAnsi="Arial"/>
          <w:b/>
          <w:bCs/>
          <w:color w:val="0B0C0C"/>
          <w:lang w:eastAsia="en-GB"/>
        </w:rPr>
        <w:t>the Government</w:t>
      </w:r>
      <w:r w:rsidRPr="00767D49">
        <w:rPr>
          <w:rFonts w:ascii="Arial" w:eastAsia="Times New Roman" w:hAnsi="Arial"/>
          <w:b/>
          <w:bCs/>
          <w:color w:val="0B0C0C"/>
          <w:lang w:eastAsia="en-GB"/>
        </w:rPr>
        <w:t xml:space="preserve">’s proposals for </w:t>
      </w:r>
      <w:bookmarkStart w:id="8" w:name="_Hlk91254387"/>
      <w:r w:rsidRPr="00767D49">
        <w:rPr>
          <w:rFonts w:ascii="Arial" w:eastAsia="Times New Roman" w:hAnsi="Arial"/>
          <w:b/>
          <w:bCs/>
          <w:color w:val="0B0C0C"/>
          <w:lang w:eastAsia="en-GB"/>
        </w:rPr>
        <w:t>distributing the Market Sustainability and Fair Cost of Care Fund in 2022/23</w:t>
      </w:r>
      <w:bookmarkEnd w:id="8"/>
      <w:r w:rsidRPr="00767D49">
        <w:rPr>
          <w:rFonts w:ascii="Arial" w:eastAsia="Times New Roman" w:hAnsi="Arial"/>
          <w:b/>
          <w:bCs/>
          <w:color w:val="0B0C0C"/>
          <w:lang w:eastAsia="en-GB"/>
        </w:rPr>
        <w:t>?</w:t>
      </w:r>
    </w:p>
    <w:p w14:paraId="3B181F0B" w14:textId="6B432A2D" w:rsidR="00D65C37" w:rsidRDefault="00B60DEC" w:rsidP="00533A84">
      <w:pPr>
        <w:pStyle w:val="NumBullet1"/>
      </w:pPr>
      <w:r>
        <w:t>In the absence of robust data, d</w:t>
      </w:r>
      <w:r w:rsidR="00BB0062" w:rsidRPr="001E7918">
        <w:t>istributing the Market Sustainability and Fair Cost of Care Fund in 2022</w:t>
      </w:r>
      <w:r w:rsidR="001541E2">
        <w:t>-</w:t>
      </w:r>
      <w:r w:rsidR="00BB0062" w:rsidRPr="001E7918">
        <w:t>23</w:t>
      </w:r>
      <w:r w:rsidR="00BB0062">
        <w:t xml:space="preserve"> via the</w:t>
      </w:r>
      <w:r w:rsidR="00BB0062" w:rsidRPr="001E7918">
        <w:t xml:space="preserve"> existing ASC RNF</w:t>
      </w:r>
      <w:r w:rsidR="00BB0062">
        <w:t xml:space="preserve"> seems reasonable at this stage</w:t>
      </w:r>
      <w:r w:rsidR="00A27E00">
        <w:t>. Looking ahead</w:t>
      </w:r>
      <w:r>
        <w:t>,</w:t>
      </w:r>
      <w:r w:rsidR="00A27E00">
        <w:t xml:space="preserve"> we will work closely with </w:t>
      </w:r>
      <w:r w:rsidR="00063356">
        <w:t>the Government</w:t>
      </w:r>
      <w:r w:rsidR="00A27E00">
        <w:t xml:space="preserve"> to develop appropriate grant conditions, national </w:t>
      </w:r>
      <w:proofErr w:type="gramStart"/>
      <w:r w:rsidR="00A27E00">
        <w:t>guidance</w:t>
      </w:r>
      <w:proofErr w:type="gramEnd"/>
      <w:r w:rsidR="00A27E00">
        <w:t xml:space="preserve"> and distribution mechanisms for future funding allocations in 2023-24 and 2024-25</w:t>
      </w:r>
      <w:r>
        <w:t xml:space="preserve"> and urge the Government to undertake the necessary data collection it needs to establish a robust formula that reflects the costs of implementation</w:t>
      </w:r>
      <w:r w:rsidR="00A27E00">
        <w:t xml:space="preserve">. </w:t>
      </w:r>
    </w:p>
    <w:p w14:paraId="3C8BF5D7" w14:textId="0C1F4E26" w:rsidR="00767D49" w:rsidRDefault="00767D49" w:rsidP="00767D49">
      <w:pPr>
        <w:shd w:val="clear" w:color="auto" w:fill="FFFFFF"/>
        <w:spacing w:before="360" w:after="360" w:line="240" w:lineRule="auto"/>
        <w:rPr>
          <w:rFonts w:ascii="Arial" w:eastAsia="Times New Roman" w:hAnsi="Arial"/>
          <w:b/>
          <w:bCs/>
          <w:color w:val="0B0C0C"/>
          <w:lang w:eastAsia="en-GB"/>
        </w:rPr>
      </w:pPr>
      <w:r w:rsidRPr="00767D49">
        <w:rPr>
          <w:rFonts w:ascii="Arial" w:eastAsia="Times New Roman" w:hAnsi="Arial"/>
          <w:b/>
          <w:bCs/>
          <w:color w:val="0B0C0C"/>
          <w:lang w:eastAsia="en-GB"/>
        </w:rPr>
        <w:t xml:space="preserve">Question 6: Do you agree with </w:t>
      </w:r>
      <w:r w:rsidR="00063356">
        <w:rPr>
          <w:rFonts w:ascii="Arial" w:eastAsia="Times New Roman" w:hAnsi="Arial"/>
          <w:b/>
          <w:bCs/>
          <w:color w:val="0B0C0C"/>
          <w:lang w:eastAsia="en-GB"/>
        </w:rPr>
        <w:t>the Government</w:t>
      </w:r>
      <w:r w:rsidRPr="00767D49">
        <w:rPr>
          <w:rFonts w:ascii="Arial" w:eastAsia="Times New Roman" w:hAnsi="Arial"/>
          <w:b/>
          <w:bCs/>
          <w:color w:val="0B0C0C"/>
          <w:lang w:eastAsia="en-GB"/>
        </w:rPr>
        <w:t>’s proposals for a one-off 2022/23 Services Grant distributed using 2013/14 shares of the Settlement Funding Assessment?</w:t>
      </w:r>
    </w:p>
    <w:p w14:paraId="260726FD" w14:textId="62C24E77" w:rsidR="006832C0" w:rsidRPr="001E7918" w:rsidRDefault="006832C0" w:rsidP="001E7918">
      <w:pPr>
        <w:pStyle w:val="NumBullet1"/>
        <w:rPr>
          <w:rFonts w:ascii="Arial" w:eastAsia="Times New Roman" w:hAnsi="Arial"/>
          <w:color w:val="0B0C0C"/>
          <w:lang w:eastAsia="en-GB"/>
        </w:rPr>
      </w:pPr>
      <w:r w:rsidRPr="001E7918">
        <w:rPr>
          <w:rFonts w:ascii="Arial" w:eastAsia="Times New Roman" w:hAnsi="Arial"/>
          <w:color w:val="0B0C0C"/>
          <w:lang w:eastAsia="en-GB"/>
        </w:rPr>
        <w:t>London Councils welcomes the new one-off “Services Grant”</w:t>
      </w:r>
      <w:r w:rsidR="00B60DEC">
        <w:rPr>
          <w:rFonts w:ascii="Arial" w:eastAsia="Times New Roman" w:hAnsi="Arial"/>
          <w:color w:val="0B0C0C"/>
          <w:lang w:eastAsia="en-GB"/>
        </w:rPr>
        <w:t>,</w:t>
      </w:r>
      <w:r w:rsidRPr="001E7918">
        <w:rPr>
          <w:rFonts w:ascii="Arial" w:eastAsia="Times New Roman" w:hAnsi="Arial"/>
          <w:color w:val="0B0C0C"/>
          <w:lang w:eastAsia="en-GB"/>
        </w:rPr>
        <w:t xml:space="preserve"> which represents more than half of the allocation from the new £1.5bn of grants funding in the settlement. However, it is unclear why the 2013-14 SFA formula is being used as the basis for distribution rather than the 2022-23 formula, and </w:t>
      </w:r>
      <w:r w:rsidR="00063356">
        <w:rPr>
          <w:rFonts w:ascii="Arial" w:eastAsia="Times New Roman" w:hAnsi="Arial"/>
          <w:color w:val="0B0C0C"/>
          <w:lang w:eastAsia="en-GB"/>
        </w:rPr>
        <w:t>the Government</w:t>
      </w:r>
      <w:r w:rsidRPr="001E7918">
        <w:rPr>
          <w:rFonts w:ascii="Arial" w:eastAsia="Times New Roman" w:hAnsi="Arial"/>
          <w:color w:val="0B0C0C"/>
          <w:lang w:eastAsia="en-GB"/>
        </w:rPr>
        <w:t xml:space="preserve"> should clarify the rationale behind this.</w:t>
      </w:r>
    </w:p>
    <w:p w14:paraId="606320A8" w14:textId="5CF4BF6E" w:rsidR="00767D49" w:rsidRDefault="00767D49" w:rsidP="00767D49">
      <w:pPr>
        <w:shd w:val="clear" w:color="auto" w:fill="FFFFFF"/>
        <w:spacing w:before="360" w:after="360" w:line="240" w:lineRule="auto"/>
        <w:rPr>
          <w:rFonts w:ascii="Arial" w:eastAsia="Times New Roman" w:hAnsi="Arial"/>
          <w:b/>
          <w:bCs/>
          <w:color w:val="0B0C0C"/>
          <w:lang w:eastAsia="en-GB"/>
        </w:rPr>
      </w:pPr>
      <w:r w:rsidRPr="00767D49">
        <w:rPr>
          <w:rFonts w:ascii="Arial" w:eastAsia="Times New Roman" w:hAnsi="Arial"/>
          <w:b/>
          <w:bCs/>
          <w:color w:val="0B0C0C"/>
          <w:lang w:eastAsia="en-GB"/>
        </w:rPr>
        <w:t xml:space="preserve">Question 7: Do you agree with </w:t>
      </w:r>
      <w:r w:rsidR="00063356">
        <w:rPr>
          <w:rFonts w:ascii="Arial" w:eastAsia="Times New Roman" w:hAnsi="Arial"/>
          <w:b/>
          <w:bCs/>
          <w:color w:val="0B0C0C"/>
          <w:lang w:eastAsia="en-GB"/>
        </w:rPr>
        <w:t>the Government</w:t>
      </w:r>
      <w:r w:rsidRPr="00767D49">
        <w:rPr>
          <w:rFonts w:ascii="Arial" w:eastAsia="Times New Roman" w:hAnsi="Arial"/>
          <w:b/>
          <w:bCs/>
          <w:color w:val="0B0C0C"/>
          <w:lang w:eastAsia="en-GB"/>
        </w:rPr>
        <w:t>’s proposals for New Homes Bonus in 2022/23?</w:t>
      </w:r>
    </w:p>
    <w:p w14:paraId="756F9329" w14:textId="3603AB6A" w:rsidR="006D0E4D" w:rsidRDefault="006F37B2" w:rsidP="005D7407">
      <w:pPr>
        <w:pStyle w:val="NumBullet1"/>
        <w:rPr>
          <w:rFonts w:ascii="Arial" w:eastAsia="Times New Roman" w:hAnsi="Arial"/>
          <w:color w:val="0B0C0C"/>
          <w:lang w:eastAsia="en-GB"/>
        </w:rPr>
      </w:pPr>
      <w:r w:rsidRPr="006D0E4D">
        <w:rPr>
          <w:rFonts w:ascii="Arial" w:eastAsia="Times New Roman" w:hAnsi="Arial"/>
          <w:color w:val="0B0C0C"/>
          <w:lang w:eastAsia="en-GB"/>
        </w:rPr>
        <w:t xml:space="preserve">As </w:t>
      </w:r>
      <w:r w:rsidR="00053B33" w:rsidRPr="006D0E4D">
        <w:rPr>
          <w:rFonts w:ascii="Arial" w:eastAsia="Times New Roman" w:hAnsi="Arial"/>
          <w:color w:val="0B0C0C"/>
          <w:lang w:eastAsia="en-GB"/>
        </w:rPr>
        <w:t>set out in paragraphs 30-32</w:t>
      </w:r>
      <w:r w:rsidRPr="006D0E4D">
        <w:rPr>
          <w:rFonts w:ascii="Arial" w:eastAsia="Times New Roman" w:hAnsi="Arial"/>
          <w:color w:val="0B0C0C"/>
          <w:lang w:eastAsia="en-GB"/>
        </w:rPr>
        <w:t xml:space="preserve">, London Councils welcomes the proposed new round </w:t>
      </w:r>
      <w:r w:rsidR="00053B33" w:rsidRPr="006D0E4D">
        <w:rPr>
          <w:rFonts w:ascii="Arial" w:eastAsia="Times New Roman" w:hAnsi="Arial"/>
          <w:color w:val="0B0C0C"/>
          <w:lang w:eastAsia="en-GB"/>
        </w:rPr>
        <w:t xml:space="preserve">of </w:t>
      </w:r>
      <w:r w:rsidRPr="006D0E4D">
        <w:rPr>
          <w:rFonts w:ascii="Arial" w:eastAsia="Times New Roman" w:hAnsi="Arial"/>
          <w:color w:val="0B0C0C"/>
          <w:lang w:eastAsia="en-GB"/>
        </w:rPr>
        <w:t>NHB allocations</w:t>
      </w:r>
      <w:r w:rsidR="00053B33" w:rsidRPr="006D0E4D">
        <w:rPr>
          <w:rFonts w:ascii="Arial" w:eastAsia="Times New Roman" w:hAnsi="Arial"/>
          <w:color w:val="0B0C0C"/>
          <w:lang w:eastAsia="en-GB"/>
        </w:rPr>
        <w:t xml:space="preserve"> but a</w:t>
      </w:r>
      <w:r w:rsidRPr="006D0E4D">
        <w:rPr>
          <w:rFonts w:ascii="Arial" w:eastAsia="Times New Roman" w:hAnsi="Arial"/>
          <w:color w:val="0B0C0C"/>
          <w:lang w:eastAsia="en-GB"/>
        </w:rPr>
        <w:t xml:space="preserve">re disappointed </w:t>
      </w:r>
      <w:r w:rsidR="00053B33" w:rsidRPr="006D0E4D">
        <w:rPr>
          <w:rFonts w:ascii="Arial" w:eastAsia="Times New Roman" w:hAnsi="Arial"/>
          <w:color w:val="0B0C0C"/>
          <w:lang w:eastAsia="en-GB"/>
        </w:rPr>
        <w:t>in the continued long</w:t>
      </w:r>
      <w:r w:rsidR="006D0E4D">
        <w:rPr>
          <w:rFonts w:ascii="Arial" w:eastAsia="Times New Roman" w:hAnsi="Arial"/>
          <w:color w:val="0B0C0C"/>
          <w:lang w:eastAsia="en-GB"/>
        </w:rPr>
        <w:t>-</w:t>
      </w:r>
      <w:r w:rsidR="00053B33" w:rsidRPr="006D0E4D">
        <w:rPr>
          <w:rFonts w:ascii="Arial" w:eastAsia="Times New Roman" w:hAnsi="Arial"/>
          <w:color w:val="0B0C0C"/>
          <w:lang w:eastAsia="en-GB"/>
        </w:rPr>
        <w:t>term uncertainty about this funding stream</w:t>
      </w:r>
      <w:r w:rsidR="006D0E4D" w:rsidRPr="006D0E4D">
        <w:rPr>
          <w:rFonts w:ascii="Arial" w:eastAsia="Times New Roman" w:hAnsi="Arial"/>
          <w:color w:val="0B0C0C"/>
          <w:lang w:eastAsia="en-GB"/>
        </w:rPr>
        <w:t xml:space="preserve">. </w:t>
      </w:r>
      <w:r w:rsidR="006D0E4D" w:rsidRPr="001E7918">
        <w:rPr>
          <w:rFonts w:ascii="Arial" w:eastAsia="Times New Roman" w:hAnsi="Arial"/>
          <w:color w:val="0B0C0C"/>
          <w:lang w:eastAsia="en-GB"/>
        </w:rPr>
        <w:t>This is the third year the existing scheme has been rolled forward and a more permanent solution is required to provide longer term certainty</w:t>
      </w:r>
      <w:r w:rsidR="006D0E4D">
        <w:rPr>
          <w:rFonts w:ascii="Arial" w:eastAsia="Times New Roman" w:hAnsi="Arial"/>
          <w:color w:val="0B0C0C"/>
          <w:lang w:eastAsia="en-GB"/>
        </w:rPr>
        <w:t xml:space="preserve">. </w:t>
      </w:r>
      <w:r w:rsidR="006D0E4D" w:rsidRPr="006D0E4D">
        <w:rPr>
          <w:rFonts w:ascii="Arial" w:eastAsia="Times New Roman" w:hAnsi="Arial"/>
          <w:color w:val="0B0C0C"/>
          <w:lang w:eastAsia="en-GB"/>
        </w:rPr>
        <w:t xml:space="preserve">Having consulted in the spring, it is unclear why the outcome of the consultation has not been published or why confirmation over the future of the NHB was not provided until the PLGFS, leaving authorities with no certainty to plan for this significant funding stream. </w:t>
      </w:r>
    </w:p>
    <w:p w14:paraId="6C788D4A" w14:textId="203CDB5B" w:rsidR="006832C0" w:rsidRPr="006D0E4D" w:rsidRDefault="006F37B2" w:rsidP="009E45FF">
      <w:pPr>
        <w:pStyle w:val="NumBullet1"/>
        <w:rPr>
          <w:rFonts w:ascii="Arial" w:eastAsia="Times New Roman" w:hAnsi="Arial"/>
          <w:color w:val="0B0C0C"/>
          <w:lang w:eastAsia="en-GB"/>
        </w:rPr>
      </w:pPr>
      <w:r w:rsidRPr="006D0E4D">
        <w:rPr>
          <w:rFonts w:ascii="Arial" w:eastAsia="Times New Roman" w:hAnsi="Arial"/>
          <w:color w:val="0B0C0C"/>
          <w:lang w:eastAsia="en-GB"/>
        </w:rPr>
        <w:t>The scale of the reduction in London boroughs’ 2022-23 allocation to just 13.5% of the England total (when historically it has been around 20%) suggests that housebuilding in the capital has slowed considerably and is further evidence of the disproportionate impact of the pandemic on London’s economy. Any reforms to the bonus, or indeed a successor scheme, must ensure it truly incentivises house building in areas of the country facing the greatest housing pressures.</w:t>
      </w:r>
    </w:p>
    <w:p w14:paraId="55E8B362" w14:textId="3460D220" w:rsidR="00767D49" w:rsidRDefault="00767D49" w:rsidP="00767D49">
      <w:pPr>
        <w:shd w:val="clear" w:color="auto" w:fill="FFFFFF"/>
        <w:spacing w:before="360" w:after="360" w:line="240" w:lineRule="auto"/>
        <w:rPr>
          <w:rFonts w:ascii="Arial" w:eastAsia="Times New Roman" w:hAnsi="Arial"/>
          <w:b/>
          <w:bCs/>
          <w:color w:val="0B0C0C"/>
          <w:lang w:eastAsia="en-GB"/>
        </w:rPr>
      </w:pPr>
      <w:r w:rsidRPr="00767D49">
        <w:rPr>
          <w:rFonts w:ascii="Arial" w:eastAsia="Times New Roman" w:hAnsi="Arial"/>
          <w:b/>
          <w:bCs/>
          <w:color w:val="0B0C0C"/>
          <w:lang w:eastAsia="en-GB"/>
        </w:rPr>
        <w:t xml:space="preserve">Question 8: Do you agree with </w:t>
      </w:r>
      <w:r w:rsidR="00063356">
        <w:rPr>
          <w:rFonts w:ascii="Arial" w:eastAsia="Times New Roman" w:hAnsi="Arial"/>
          <w:b/>
          <w:bCs/>
          <w:color w:val="0B0C0C"/>
          <w:lang w:eastAsia="en-GB"/>
        </w:rPr>
        <w:t>the Government</w:t>
      </w:r>
      <w:r w:rsidRPr="00767D49">
        <w:rPr>
          <w:rFonts w:ascii="Arial" w:eastAsia="Times New Roman" w:hAnsi="Arial"/>
          <w:b/>
          <w:bCs/>
          <w:color w:val="0B0C0C"/>
          <w:lang w:eastAsia="en-GB"/>
        </w:rPr>
        <w:t>’s proposals for Rural Services Delivery Grant in 2022/23?</w:t>
      </w:r>
    </w:p>
    <w:p w14:paraId="70B4ECAE" w14:textId="0123D0F8" w:rsidR="006832C0" w:rsidRPr="006F37B2" w:rsidRDefault="006F37B2" w:rsidP="005A2664">
      <w:pPr>
        <w:pStyle w:val="NumBullet1"/>
        <w:rPr>
          <w:b/>
          <w:bCs/>
          <w:lang w:eastAsia="en-GB"/>
        </w:rPr>
      </w:pPr>
      <w:r w:rsidRPr="001E7918">
        <w:rPr>
          <w:lang w:eastAsia="en-GB"/>
        </w:rPr>
        <w:t xml:space="preserve">London Councils continues to question why the additional funding allocated to meet unique challenges in rural areas </w:t>
      </w:r>
      <w:r w:rsidRPr="005A2664">
        <w:t>through</w:t>
      </w:r>
      <w:r w:rsidRPr="001E7918">
        <w:rPr>
          <w:lang w:eastAsia="en-GB"/>
        </w:rPr>
        <w:t xml:space="preserve"> Rural Services Delivery Grant (RSDG) is not mirrored by a comparable grant funding stream to address unique challenges in urban areas. While there are likely to be higher costs for delivering a few services in rural areas, there is more evidence of higher delivery costs in urban areas. This has not been equally recognised through bespoke additional grant funding. If </w:t>
      </w:r>
      <w:r w:rsidR="00063356">
        <w:rPr>
          <w:lang w:eastAsia="en-GB"/>
        </w:rPr>
        <w:t>the Government</w:t>
      </w:r>
      <w:r w:rsidRPr="001E7918">
        <w:rPr>
          <w:lang w:eastAsia="en-GB"/>
        </w:rPr>
        <w:t xml:space="preserve"> is minded to further recognise some of the financial pressure on rural authorities, London Councils believes that it is reasonable to expect further consideration to be given to the unique pressures faced by urban areas, particularly the impact of population underestimation, daytime </w:t>
      </w:r>
      <w:proofErr w:type="gramStart"/>
      <w:r w:rsidRPr="001E7918">
        <w:rPr>
          <w:lang w:eastAsia="en-GB"/>
        </w:rPr>
        <w:t>visitors</w:t>
      </w:r>
      <w:proofErr w:type="gramEnd"/>
      <w:r w:rsidRPr="001E7918">
        <w:rPr>
          <w:lang w:eastAsia="en-GB"/>
        </w:rPr>
        <w:t xml:space="preserve"> and high levels of population churn.</w:t>
      </w:r>
    </w:p>
    <w:p w14:paraId="5B369516" w14:textId="3429E424" w:rsidR="00767D49" w:rsidRDefault="00767D49" w:rsidP="00767D49">
      <w:pPr>
        <w:shd w:val="clear" w:color="auto" w:fill="FFFFFF"/>
        <w:spacing w:before="360" w:after="360" w:line="240" w:lineRule="auto"/>
        <w:rPr>
          <w:rFonts w:ascii="Arial" w:eastAsia="Times New Roman" w:hAnsi="Arial"/>
          <w:b/>
          <w:bCs/>
          <w:color w:val="0B0C0C"/>
          <w:lang w:eastAsia="en-GB"/>
        </w:rPr>
      </w:pPr>
      <w:r w:rsidRPr="00767D49">
        <w:rPr>
          <w:rFonts w:ascii="Arial" w:eastAsia="Times New Roman" w:hAnsi="Arial"/>
          <w:b/>
          <w:bCs/>
          <w:color w:val="0B0C0C"/>
          <w:lang w:eastAsia="en-GB"/>
        </w:rPr>
        <w:t xml:space="preserve">Question 9: Do you agree with </w:t>
      </w:r>
      <w:r w:rsidR="00063356">
        <w:rPr>
          <w:rFonts w:ascii="Arial" w:eastAsia="Times New Roman" w:hAnsi="Arial"/>
          <w:b/>
          <w:bCs/>
          <w:color w:val="0B0C0C"/>
          <w:lang w:eastAsia="en-GB"/>
        </w:rPr>
        <w:t>the Government</w:t>
      </w:r>
      <w:r w:rsidRPr="00767D49">
        <w:rPr>
          <w:rFonts w:ascii="Arial" w:eastAsia="Times New Roman" w:hAnsi="Arial"/>
          <w:b/>
          <w:bCs/>
          <w:color w:val="0B0C0C"/>
          <w:lang w:eastAsia="en-GB"/>
        </w:rPr>
        <w:t>’s proposal for the Lower Tier Services Grant, with a new minimum funding floor in 2022/23 so that no authority sees an annual reduction in Core Spending Power?</w:t>
      </w:r>
    </w:p>
    <w:p w14:paraId="5B4704B5" w14:textId="77777777" w:rsidR="005A2664" w:rsidRDefault="006832C0" w:rsidP="005A2664">
      <w:pPr>
        <w:pStyle w:val="NumBullet1"/>
        <w:rPr>
          <w:lang w:eastAsia="en-GB"/>
        </w:rPr>
      </w:pPr>
      <w:r w:rsidRPr="001E7918">
        <w:rPr>
          <w:lang w:eastAsia="en-GB"/>
        </w:rPr>
        <w:t xml:space="preserve">We welcome the continuation of the un-ringfenced Lower Tier Services Grant and the decision to update the minimum funding floor from 2021/22 to ensure no authority sees an annual reduction in Core Spending Power in 2022-23.  </w:t>
      </w:r>
    </w:p>
    <w:p w14:paraId="580248B4" w14:textId="15F7B77D" w:rsidR="00767D49" w:rsidRPr="00767D49" w:rsidRDefault="00767D49" w:rsidP="00767D49">
      <w:pPr>
        <w:shd w:val="clear" w:color="auto" w:fill="FFFFFF"/>
        <w:spacing w:before="360" w:after="360" w:line="240" w:lineRule="auto"/>
        <w:rPr>
          <w:rFonts w:ascii="Arial" w:eastAsia="Times New Roman" w:hAnsi="Arial"/>
          <w:b/>
          <w:bCs/>
          <w:color w:val="0B0C0C"/>
          <w:lang w:eastAsia="en-GB"/>
        </w:rPr>
      </w:pPr>
      <w:r w:rsidRPr="00767D49">
        <w:rPr>
          <w:rFonts w:ascii="Arial" w:eastAsia="Times New Roman" w:hAnsi="Arial"/>
          <w:b/>
          <w:bCs/>
          <w:color w:val="0B0C0C"/>
          <w:lang w:eastAsia="en-GB"/>
        </w:rPr>
        <w:lastRenderedPageBreak/>
        <w:t>Question 10: Do you have any comments on the impact of the proposals for the 2022/23 settlement outlined in this consultation document on persons who share a protected characteristic, and on the draft policy impact statement published alongside the consultation document? Please provide evidence to support your comments.</w:t>
      </w:r>
    </w:p>
    <w:p w14:paraId="6E5655BF" w14:textId="321278C4" w:rsidR="00767D49" w:rsidRPr="001E7918" w:rsidRDefault="006832C0" w:rsidP="001E7918">
      <w:pPr>
        <w:pStyle w:val="NumBullet1"/>
        <w:rPr>
          <w:rFonts w:ascii="Arial" w:eastAsia="Times New Roman" w:hAnsi="Arial"/>
          <w:color w:val="0B0C0C"/>
          <w:lang w:eastAsia="en-GB"/>
        </w:rPr>
      </w:pPr>
      <w:r w:rsidRPr="001E7918">
        <w:rPr>
          <w:rFonts w:ascii="Arial" w:eastAsia="Times New Roman" w:hAnsi="Arial"/>
          <w:color w:val="0B0C0C"/>
          <w:lang w:eastAsia="en-GB"/>
        </w:rPr>
        <w:t xml:space="preserve">We have no comments </w:t>
      </w:r>
      <w:proofErr w:type="gramStart"/>
      <w:r w:rsidRPr="001E7918">
        <w:rPr>
          <w:rFonts w:ascii="Arial" w:eastAsia="Times New Roman" w:hAnsi="Arial"/>
          <w:color w:val="0B0C0C"/>
          <w:lang w:eastAsia="en-GB"/>
        </w:rPr>
        <w:t>at this time</w:t>
      </w:r>
      <w:proofErr w:type="gramEnd"/>
      <w:r w:rsidRPr="001E7918">
        <w:rPr>
          <w:rFonts w:ascii="Arial" w:eastAsia="Times New Roman" w:hAnsi="Arial"/>
          <w:color w:val="0B0C0C"/>
          <w:lang w:eastAsia="en-GB"/>
        </w:rPr>
        <w:t xml:space="preserve">. </w:t>
      </w:r>
    </w:p>
    <w:sectPr w:rsidR="00767D49" w:rsidRPr="001E7918" w:rsidSect="003A10CA">
      <w:headerReference w:type="even" r:id="rId12"/>
      <w:headerReference w:type="default" r:id="rId13"/>
      <w:footerReference w:type="even" r:id="rId14"/>
      <w:footerReference w:type="default" r:id="rId15"/>
      <w:headerReference w:type="first" r:id="rId16"/>
      <w:footerReference w:type="first" r:id="rId17"/>
      <w:pgSz w:w="11906" w:h="16838" w:code="9"/>
      <w:pgMar w:top="992" w:right="1021" w:bottom="1276" w:left="79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4FC3" w14:textId="77777777" w:rsidR="00EA73A6" w:rsidRDefault="00EA73A6" w:rsidP="00BA3ADD">
      <w:pPr>
        <w:spacing w:line="240" w:lineRule="auto"/>
      </w:pPr>
      <w:r>
        <w:separator/>
      </w:r>
    </w:p>
  </w:endnote>
  <w:endnote w:type="continuationSeparator" w:id="0">
    <w:p w14:paraId="2841823E" w14:textId="77777777" w:rsidR="00EA73A6" w:rsidRDefault="00EA73A6"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B54D" w14:textId="77777777" w:rsidR="008C18DC" w:rsidRDefault="008C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4F5B7D" w14:paraId="55842D75" w14:textId="77777777" w:rsidTr="006062EB">
      <w:trPr>
        <w:cantSplit/>
        <w:trHeight w:hRule="exact" w:val="907"/>
      </w:trPr>
      <w:tc>
        <w:tcPr>
          <w:tcW w:w="7943" w:type="dxa"/>
          <w:vAlign w:val="bottom"/>
        </w:tcPr>
        <w:p w14:paraId="719F9165" w14:textId="4860A64E" w:rsidR="004F5B7D" w:rsidRPr="00B91EA0" w:rsidRDefault="004F5B7D"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5</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5</w:t>
          </w:r>
          <w:r>
            <w:rPr>
              <w:b/>
              <w:noProof/>
              <w:color w:val="522380" w:themeColor="accent1"/>
              <w:sz w:val="22"/>
            </w:rPr>
            <w:fldChar w:fldCharType="end"/>
          </w:r>
        </w:p>
      </w:tc>
      <w:tc>
        <w:tcPr>
          <w:tcW w:w="2375" w:type="dxa"/>
          <w:vAlign w:val="bottom"/>
        </w:tcPr>
        <w:p w14:paraId="1199D4C4" w14:textId="77777777" w:rsidR="004F5B7D" w:rsidRPr="00B91EA0" w:rsidRDefault="004F5B7D" w:rsidP="006062EB">
          <w:pPr>
            <w:pStyle w:val="Footer"/>
            <w:jc w:val="right"/>
            <w:rPr>
              <w:b/>
              <w:color w:val="522380" w:themeColor="accent1"/>
              <w:sz w:val="22"/>
            </w:rPr>
          </w:pPr>
          <w:r w:rsidRPr="000C67D9">
            <w:rPr>
              <w:b/>
              <w:noProof/>
              <w:color w:val="522380" w:themeColor="accent1"/>
              <w:sz w:val="22"/>
              <w:lang w:eastAsia="en-GB"/>
            </w:rPr>
            <w:drawing>
              <wp:inline distT="0" distB="0" distL="0" distR="0" wp14:anchorId="2D1CA254" wp14:editId="3E8C3826">
                <wp:extent cx="790537" cy="37771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77" cy="378742"/>
                        </a:xfrm>
                        <a:prstGeom prst="rect">
                          <a:avLst/>
                        </a:prstGeom>
                        <a:noFill/>
                        <a:ln>
                          <a:noFill/>
                        </a:ln>
                      </pic:spPr>
                    </pic:pic>
                  </a:graphicData>
                </a:graphic>
              </wp:inline>
            </w:drawing>
          </w:r>
        </w:p>
      </w:tc>
    </w:tr>
  </w:tbl>
  <w:p w14:paraId="4AD0BB91" w14:textId="77777777" w:rsidR="004F5B7D" w:rsidRDefault="004F5B7D">
    <w:pPr>
      <w:pStyle w:val="Footer"/>
    </w:pPr>
  </w:p>
  <w:p w14:paraId="1CB8C241" w14:textId="77777777" w:rsidR="004F5B7D" w:rsidRDefault="004F5B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4F5B7D" w14:paraId="5B93929E" w14:textId="77777777" w:rsidTr="00C00ABA">
      <w:trPr>
        <w:cantSplit/>
        <w:trHeight w:hRule="exact" w:val="907"/>
      </w:trPr>
      <w:tc>
        <w:tcPr>
          <w:tcW w:w="7943" w:type="dxa"/>
          <w:vAlign w:val="bottom"/>
        </w:tcPr>
        <w:p w14:paraId="63356247" w14:textId="6BD9216C" w:rsidR="004F5B7D" w:rsidRPr="00B91EA0" w:rsidRDefault="004F5B7D" w:rsidP="00C00ABA">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5</w:t>
          </w:r>
          <w:r>
            <w:rPr>
              <w:b/>
              <w:noProof/>
              <w:color w:val="522380" w:themeColor="accent1"/>
              <w:sz w:val="22"/>
            </w:rPr>
            <w:fldChar w:fldCharType="end"/>
          </w:r>
        </w:p>
      </w:tc>
      <w:tc>
        <w:tcPr>
          <w:tcW w:w="2375" w:type="dxa"/>
          <w:vAlign w:val="bottom"/>
        </w:tcPr>
        <w:p w14:paraId="12081829" w14:textId="77777777" w:rsidR="004F5B7D" w:rsidRPr="00B91EA0" w:rsidRDefault="004F5B7D" w:rsidP="00C00ABA">
          <w:pPr>
            <w:pStyle w:val="Footer"/>
            <w:jc w:val="right"/>
            <w:rPr>
              <w:b/>
              <w:color w:val="522380" w:themeColor="accent1"/>
              <w:sz w:val="22"/>
            </w:rPr>
          </w:pPr>
          <w:r>
            <w:rPr>
              <w:b/>
              <w:noProof/>
              <w:color w:val="522380" w:themeColor="accent1"/>
              <w:sz w:val="22"/>
              <w:lang w:eastAsia="en-GB"/>
            </w:rPr>
            <w:drawing>
              <wp:inline distT="0" distB="0" distL="0" distR="0" wp14:anchorId="2452D629" wp14:editId="18EE99E5">
                <wp:extent cx="790537" cy="37771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77" cy="378742"/>
                        </a:xfrm>
                        <a:prstGeom prst="rect">
                          <a:avLst/>
                        </a:prstGeom>
                        <a:noFill/>
                        <a:ln>
                          <a:noFill/>
                        </a:ln>
                      </pic:spPr>
                    </pic:pic>
                  </a:graphicData>
                </a:graphic>
              </wp:inline>
            </w:drawing>
          </w:r>
        </w:p>
      </w:tc>
    </w:tr>
  </w:tbl>
  <w:p w14:paraId="476C9A4E" w14:textId="77777777" w:rsidR="004F5B7D" w:rsidRDefault="004F5B7D">
    <w:pPr>
      <w:pStyle w:val="Footer"/>
    </w:pPr>
  </w:p>
  <w:p w14:paraId="7325A3D2" w14:textId="77777777" w:rsidR="004F5B7D" w:rsidRDefault="004F5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F442" w14:textId="77777777" w:rsidR="00EA73A6" w:rsidRPr="002C64EC" w:rsidRDefault="00EA73A6" w:rsidP="00BA3ADD">
      <w:pPr>
        <w:spacing w:line="240" w:lineRule="auto"/>
        <w:rPr>
          <w:color w:val="E1DCEB" w:themeColor="accent2"/>
        </w:rPr>
      </w:pPr>
      <w:r w:rsidRPr="002C64EC">
        <w:rPr>
          <w:color w:val="E1DCEB" w:themeColor="accent2"/>
        </w:rPr>
        <w:separator/>
      </w:r>
    </w:p>
  </w:footnote>
  <w:footnote w:type="continuationSeparator" w:id="0">
    <w:p w14:paraId="27FB1D20" w14:textId="77777777" w:rsidR="00EA73A6" w:rsidRPr="002C64EC" w:rsidRDefault="00EA73A6" w:rsidP="00BA3ADD">
      <w:pPr>
        <w:spacing w:line="240" w:lineRule="auto"/>
        <w:rPr>
          <w:color w:val="E1DCEB" w:themeColor="accent2"/>
        </w:rPr>
      </w:pPr>
      <w:r w:rsidRPr="002C64EC">
        <w:rPr>
          <w:color w:val="E1DCEB" w:themeColor="accent2"/>
        </w:rPr>
        <w:continuationSeparator/>
      </w:r>
    </w:p>
  </w:footnote>
  <w:footnote w:type="continuationNotice" w:id="1">
    <w:p w14:paraId="765F8D87" w14:textId="77777777" w:rsidR="00EA73A6" w:rsidRDefault="00EA73A6">
      <w:pPr>
        <w:spacing w:line="240" w:lineRule="auto"/>
      </w:pPr>
    </w:p>
  </w:footnote>
  <w:footnote w:id="2">
    <w:p w14:paraId="4EC2EE5D" w14:textId="45838C24" w:rsidR="00020F7B" w:rsidRDefault="00020F7B">
      <w:pPr>
        <w:pStyle w:val="FootnoteText"/>
      </w:pPr>
      <w:r>
        <w:rPr>
          <w:rStyle w:val="FootnoteReference"/>
        </w:rPr>
        <w:footnoteRef/>
      </w:r>
      <w:r>
        <w:t xml:space="preserve"> </w:t>
      </w:r>
      <w:hyperlink r:id="rId1" w:history="1">
        <w:r w:rsidRPr="0006333C">
          <w:rPr>
            <w:rStyle w:val="Hyperlink"/>
          </w:rPr>
          <w:t>https://www.bbc.co.uk/news/business-59682521</w:t>
        </w:r>
      </w:hyperlink>
    </w:p>
    <w:p w14:paraId="7ED02421" w14:textId="77777777" w:rsidR="00020F7B" w:rsidRDefault="00020F7B">
      <w:pPr>
        <w:pStyle w:val="FootnoteText"/>
      </w:pPr>
    </w:p>
  </w:footnote>
  <w:footnote w:id="3">
    <w:p w14:paraId="586BEAC5" w14:textId="77777777" w:rsidR="004F5B7D" w:rsidRDefault="004F5B7D" w:rsidP="00C431CA">
      <w:pPr>
        <w:pStyle w:val="FootnoteText"/>
      </w:pPr>
      <w:r>
        <w:rPr>
          <w:rStyle w:val="FootnoteReference"/>
        </w:rPr>
        <w:footnoteRef/>
      </w:r>
      <w:r>
        <w:t xml:space="preserve"> </w:t>
      </w:r>
      <w:r w:rsidRPr="00B63D4C">
        <w:rPr>
          <w:sz w:val="16"/>
          <w:szCs w:val="18"/>
        </w:rPr>
        <w:t xml:space="preserve">We fully support the paper by SIGOMA and Core Cities to the FFR technical working group on this issue in September 2018: </w:t>
      </w:r>
      <w:hyperlink r:id="rId2" w:history="1">
        <w:r w:rsidRPr="00B63D4C">
          <w:rPr>
            <w:rStyle w:val="Hyperlink"/>
            <w:sz w:val="16"/>
            <w:szCs w:val="18"/>
          </w:rPr>
          <w:t>https://www.local.gov.uk/sites/default/files/documents/Consideration%20of%20population%20concentration%20by%20SIGOMA%20%26%20Core%20Cities%20%28NR%20TW....pdf</w:t>
        </w:r>
      </w:hyperlink>
      <w:r w:rsidRPr="00B63D4C">
        <w:rPr>
          <w:sz w:val="16"/>
          <w:szCs w:val="18"/>
        </w:rPr>
        <w:t xml:space="preserve"> </w:t>
      </w:r>
    </w:p>
  </w:footnote>
  <w:footnote w:id="4">
    <w:p w14:paraId="3B8DD8AF" w14:textId="303EEFCF" w:rsidR="006837D3" w:rsidRDefault="006837D3">
      <w:pPr>
        <w:pStyle w:val="FootnoteText"/>
      </w:pPr>
      <w:r>
        <w:rPr>
          <w:rStyle w:val="FootnoteReference"/>
        </w:rPr>
        <w:footnoteRef/>
      </w:r>
      <w:r>
        <w:t xml:space="preserve"> SNPP estimate for 2023 compared with the 2013 population figures used in the 2013-14 settlement</w:t>
      </w:r>
    </w:p>
  </w:footnote>
  <w:footnote w:id="5">
    <w:p w14:paraId="47095F2F" w14:textId="430B417E" w:rsidR="000030DD" w:rsidRDefault="000030DD">
      <w:pPr>
        <w:pStyle w:val="FootnoteText"/>
      </w:pPr>
      <w:r>
        <w:rPr>
          <w:rStyle w:val="FootnoteReference"/>
        </w:rPr>
        <w:footnoteRef/>
      </w:r>
      <w:r>
        <w:t xml:space="preserve"> </w:t>
      </w:r>
      <w:hyperlink r:id="rId3" w:history="1">
        <w:r w:rsidRPr="009E692E">
          <w:rPr>
            <w:rStyle w:val="Hyperlink"/>
          </w:rPr>
          <w:t>https://researchbriefings.files.parliament.uk/documents/SN07096/SN07096.pdf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DF19" w14:textId="77777777" w:rsidR="008C18DC" w:rsidRDefault="008C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4650" w14:textId="2E5AEB66" w:rsidR="008C18DC" w:rsidRDefault="008C1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34"/>
      <w:gridCol w:w="2057"/>
    </w:tblGrid>
    <w:tr w:rsidR="004F5B7D" w14:paraId="720A94ED" w14:textId="77777777" w:rsidTr="003268B7">
      <w:trPr>
        <w:cantSplit/>
        <w:trHeight w:val="624"/>
      </w:trPr>
      <w:tc>
        <w:tcPr>
          <w:tcW w:w="5000" w:type="pct"/>
          <w:gridSpan w:val="2"/>
          <w:shd w:val="clear" w:color="auto" w:fill="522380" w:themeFill="accent1"/>
          <w:vAlign w:val="bottom"/>
        </w:tcPr>
        <w:p w14:paraId="7782DAA3" w14:textId="30D20CC7" w:rsidR="004F5B7D" w:rsidRPr="004F1C42" w:rsidRDefault="004F5B7D" w:rsidP="00C00ABA">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F948E3">
            <w:rPr>
              <w:noProof/>
              <w:color w:val="FFFFFF" w:themeColor="background1"/>
              <w:sz w:val="22"/>
            </w:rPr>
            <w:t>Thursday 13 January 2022</w:t>
          </w:r>
          <w:r>
            <w:rPr>
              <w:color w:val="FFFFFF" w:themeColor="background1"/>
              <w:sz w:val="22"/>
            </w:rPr>
            <w:fldChar w:fldCharType="end"/>
          </w:r>
        </w:p>
      </w:tc>
    </w:tr>
    <w:tr w:rsidR="004F5B7D" w14:paraId="66AC5E10" w14:textId="77777777" w:rsidTr="003268B7">
      <w:trPr>
        <w:cantSplit/>
        <w:trHeight w:hRule="exact" w:val="312"/>
      </w:trPr>
      <w:tc>
        <w:tcPr>
          <w:tcW w:w="3981" w:type="pct"/>
          <w:vAlign w:val="bottom"/>
        </w:tcPr>
        <w:p w14:paraId="1B002FBA" w14:textId="77777777" w:rsidR="004F5B7D" w:rsidRPr="005373FE" w:rsidRDefault="004F5B7D" w:rsidP="00C00ABA">
          <w:pPr>
            <w:pStyle w:val="Header"/>
            <w:rPr>
              <w:b/>
              <w:color w:val="EC098D" w:themeColor="accent3"/>
              <w:sz w:val="24"/>
            </w:rPr>
          </w:pPr>
        </w:p>
      </w:tc>
      <w:tc>
        <w:tcPr>
          <w:tcW w:w="1019" w:type="pct"/>
          <w:vAlign w:val="bottom"/>
        </w:tcPr>
        <w:p w14:paraId="7133AE23" w14:textId="77777777" w:rsidR="004F5B7D" w:rsidRPr="005373FE" w:rsidRDefault="004F5B7D" w:rsidP="00C00ABA">
          <w:pPr>
            <w:pStyle w:val="Header"/>
            <w:jc w:val="right"/>
            <w:rPr>
              <w:b/>
              <w:color w:val="522380" w:themeColor="accent1"/>
              <w:sz w:val="24"/>
            </w:rPr>
          </w:pPr>
          <w:r w:rsidRPr="005373FE">
            <w:rPr>
              <w:b/>
              <w:color w:val="522380" w:themeColor="accent1"/>
              <w:sz w:val="24"/>
            </w:rPr>
            <w:t>London Councils</w:t>
          </w:r>
        </w:p>
      </w:tc>
    </w:tr>
  </w:tbl>
  <w:p w14:paraId="4E20EC34" w14:textId="43A8A988" w:rsidR="004F5B7D" w:rsidRDefault="004F5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20D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27045"/>
    <w:multiLevelType w:val="multilevel"/>
    <w:tmpl w:val="B92418F6"/>
    <w:lvl w:ilvl="0">
      <w:start w:val="1"/>
      <w:numFmt w:val="bullet"/>
      <w:lvlText w:val=""/>
      <w:lvlJc w:val="left"/>
      <w:pPr>
        <w:tabs>
          <w:tab w:val="num" w:pos="482"/>
        </w:tabs>
        <w:ind w:left="482" w:hanging="340"/>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9D7025"/>
    <w:multiLevelType w:val="multilevel"/>
    <w:tmpl w:val="FEF2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220A4"/>
    <w:multiLevelType w:val="multilevel"/>
    <w:tmpl w:val="4986EA2A"/>
    <w:lvl w:ilvl="0">
      <w:start w:val="1"/>
      <w:numFmt w:val="bullet"/>
      <w:lvlText w:val=""/>
      <w:lvlJc w:val="left"/>
      <w:pPr>
        <w:tabs>
          <w:tab w:val="num" w:pos="1060"/>
        </w:tabs>
        <w:ind w:left="1060" w:hanging="34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258"/>
        </w:tabs>
        <w:ind w:left="1258" w:hanging="340"/>
      </w:pPr>
      <w:rPr>
        <w:rFonts w:hint="default"/>
      </w:rPr>
    </w:lvl>
    <w:lvl w:ilvl="2">
      <w:start w:val="1"/>
      <w:numFmt w:val="lowerRoman"/>
      <w:lvlText w:val="%3."/>
      <w:lvlJc w:val="left"/>
      <w:pPr>
        <w:tabs>
          <w:tab w:val="num" w:pos="1599"/>
        </w:tabs>
        <w:ind w:left="1599" w:hanging="341"/>
      </w:pPr>
      <w:rPr>
        <w:rFonts w:hint="default"/>
      </w:rPr>
    </w:lvl>
    <w:lvl w:ilvl="3">
      <w:start w:val="1"/>
      <w:numFmt w:val="decimal"/>
      <w:lvlText w:val="%1.%2.%3.%4."/>
      <w:lvlJc w:val="left"/>
      <w:pPr>
        <w:tabs>
          <w:tab w:val="num" w:pos="578"/>
        </w:tabs>
        <w:ind w:left="2306" w:hanging="648"/>
      </w:pPr>
      <w:rPr>
        <w:rFonts w:hint="default"/>
      </w:rPr>
    </w:lvl>
    <w:lvl w:ilvl="4">
      <w:start w:val="1"/>
      <w:numFmt w:val="decimal"/>
      <w:lvlText w:val="%1.%2.%3.%4.%5."/>
      <w:lvlJc w:val="left"/>
      <w:pPr>
        <w:tabs>
          <w:tab w:val="num" w:pos="578"/>
        </w:tabs>
        <w:ind w:left="2810" w:hanging="792"/>
      </w:pPr>
      <w:rPr>
        <w:rFonts w:hint="default"/>
      </w:rPr>
    </w:lvl>
    <w:lvl w:ilvl="5">
      <w:start w:val="1"/>
      <w:numFmt w:val="decimal"/>
      <w:lvlText w:val="%1.%2.%3.%4.%5.%6."/>
      <w:lvlJc w:val="left"/>
      <w:pPr>
        <w:tabs>
          <w:tab w:val="num" w:pos="578"/>
        </w:tabs>
        <w:ind w:left="3314" w:hanging="936"/>
      </w:pPr>
      <w:rPr>
        <w:rFonts w:hint="default"/>
      </w:rPr>
    </w:lvl>
    <w:lvl w:ilvl="6">
      <w:start w:val="1"/>
      <w:numFmt w:val="decimal"/>
      <w:lvlText w:val="%1.%2.%3.%4.%5.%6.%7."/>
      <w:lvlJc w:val="left"/>
      <w:pPr>
        <w:tabs>
          <w:tab w:val="num" w:pos="578"/>
        </w:tabs>
        <w:ind w:left="3818" w:hanging="1080"/>
      </w:pPr>
      <w:rPr>
        <w:rFonts w:hint="default"/>
      </w:rPr>
    </w:lvl>
    <w:lvl w:ilvl="7">
      <w:start w:val="1"/>
      <w:numFmt w:val="decimal"/>
      <w:lvlText w:val="%1.%2.%3.%4.%5.%6.%7.%8."/>
      <w:lvlJc w:val="left"/>
      <w:pPr>
        <w:tabs>
          <w:tab w:val="num" w:pos="578"/>
        </w:tabs>
        <w:ind w:left="4322" w:hanging="1224"/>
      </w:pPr>
      <w:rPr>
        <w:rFonts w:hint="default"/>
      </w:rPr>
    </w:lvl>
    <w:lvl w:ilvl="8">
      <w:start w:val="1"/>
      <w:numFmt w:val="decimal"/>
      <w:lvlText w:val="%1.%2.%3.%4.%5.%6.%7.%8.%9."/>
      <w:lvlJc w:val="left"/>
      <w:pPr>
        <w:tabs>
          <w:tab w:val="num" w:pos="578"/>
        </w:tabs>
        <w:ind w:left="4898" w:hanging="1440"/>
      </w:pPr>
      <w:rPr>
        <w:rFonts w:hint="default"/>
      </w:rPr>
    </w:lvl>
  </w:abstractNum>
  <w:abstractNum w:abstractNumId="5" w15:restartNumberingAfterBreak="0">
    <w:nsid w:val="4A0744BE"/>
    <w:multiLevelType w:val="multilevel"/>
    <w:tmpl w:val="8C645774"/>
    <w:lvl w:ilvl="0">
      <w:start w:val="1"/>
      <w:numFmt w:val="bullet"/>
      <w:pStyle w:val="Bullet1"/>
      <w:lvlText w:val="•"/>
      <w:lvlJc w:val="left"/>
      <w:pPr>
        <w:tabs>
          <w:tab w:val="num" w:pos="1060"/>
        </w:tabs>
        <w:ind w:left="1060" w:hanging="340"/>
      </w:pPr>
      <w:rPr>
        <w:rFonts w:ascii="Arial" w:hAnsi="Arial" w:hint="default"/>
        <w:color w:val="EC098D" w:themeColor="accent3"/>
      </w:rPr>
    </w:lvl>
    <w:lvl w:ilvl="1">
      <w:start w:val="1"/>
      <w:numFmt w:val="bullet"/>
      <w:pStyle w:val="Bullet2"/>
      <w:lvlText w:val="–"/>
      <w:lvlJc w:val="left"/>
      <w:pPr>
        <w:tabs>
          <w:tab w:val="num" w:pos="1400"/>
        </w:tabs>
        <w:ind w:left="1400" w:hanging="340"/>
      </w:pPr>
      <w:rPr>
        <w:rFonts w:ascii="(none)" w:hAnsi="(none)" w:hint="default"/>
        <w:color w:val="EC098D" w:themeColor="accent3"/>
      </w:rPr>
    </w:lvl>
    <w:lvl w:ilvl="2">
      <w:start w:val="1"/>
      <w:numFmt w:val="bullet"/>
      <w:pStyle w:val="Bullet3"/>
      <w:lvlText w:val="–"/>
      <w:lvlJc w:val="left"/>
      <w:pPr>
        <w:tabs>
          <w:tab w:val="num" w:pos="1741"/>
        </w:tabs>
        <w:ind w:left="1741" w:hanging="341"/>
      </w:pPr>
      <w:rPr>
        <w:rFonts w:ascii="(none)" w:hAnsi="(none)" w:hint="default"/>
        <w:color w:val="EC098D" w:themeColor="accent3"/>
      </w:rPr>
    </w:lvl>
    <w:lvl w:ilvl="3">
      <w:start w:val="1"/>
      <w:numFmt w:val="bullet"/>
      <w:lvlText w:val=""/>
      <w:lvlJc w:val="left"/>
      <w:pPr>
        <w:tabs>
          <w:tab w:val="num" w:pos="720"/>
        </w:tabs>
        <w:ind w:left="2308" w:hanging="397"/>
      </w:pPr>
      <w:rPr>
        <w:rFonts w:ascii="Symbol" w:hAnsi="Symbol" w:cs="Times New Roman" w:hint="default"/>
      </w:rPr>
    </w:lvl>
    <w:lvl w:ilvl="4">
      <w:start w:val="1"/>
      <w:numFmt w:val="bullet"/>
      <w:lvlText w:val="o"/>
      <w:lvlJc w:val="left"/>
      <w:pPr>
        <w:tabs>
          <w:tab w:val="num" w:pos="720"/>
        </w:tabs>
        <w:ind w:left="2705" w:hanging="397"/>
      </w:pPr>
      <w:rPr>
        <w:rFonts w:ascii="Courier New" w:hAnsi="Courier New" w:cs="Courier New" w:hint="default"/>
      </w:rPr>
    </w:lvl>
    <w:lvl w:ilvl="5">
      <w:start w:val="1"/>
      <w:numFmt w:val="bullet"/>
      <w:lvlText w:val=""/>
      <w:lvlJc w:val="left"/>
      <w:pPr>
        <w:tabs>
          <w:tab w:val="num" w:pos="720"/>
        </w:tabs>
        <w:ind w:left="3102" w:hanging="397"/>
      </w:pPr>
      <w:rPr>
        <w:rFonts w:ascii="Wingdings" w:hAnsi="Wingdings" w:hint="default"/>
      </w:rPr>
    </w:lvl>
    <w:lvl w:ilvl="6">
      <w:start w:val="1"/>
      <w:numFmt w:val="bullet"/>
      <w:lvlText w:val=""/>
      <w:lvlJc w:val="left"/>
      <w:pPr>
        <w:tabs>
          <w:tab w:val="num" w:pos="720"/>
        </w:tabs>
        <w:ind w:left="3499" w:hanging="397"/>
      </w:pPr>
      <w:rPr>
        <w:rFonts w:ascii="Symbol" w:hAnsi="Symbol" w:hint="default"/>
      </w:rPr>
    </w:lvl>
    <w:lvl w:ilvl="7">
      <w:start w:val="1"/>
      <w:numFmt w:val="bullet"/>
      <w:lvlText w:val="o"/>
      <w:lvlJc w:val="left"/>
      <w:pPr>
        <w:tabs>
          <w:tab w:val="num" w:pos="720"/>
        </w:tabs>
        <w:ind w:left="3896" w:hanging="397"/>
      </w:pPr>
      <w:rPr>
        <w:rFonts w:ascii="Courier New" w:hAnsi="Courier New" w:cs="Courier New" w:hint="default"/>
      </w:rPr>
    </w:lvl>
    <w:lvl w:ilvl="8">
      <w:start w:val="1"/>
      <w:numFmt w:val="bullet"/>
      <w:lvlText w:val=""/>
      <w:lvlJc w:val="left"/>
      <w:pPr>
        <w:tabs>
          <w:tab w:val="num" w:pos="720"/>
        </w:tabs>
        <w:ind w:left="4293" w:hanging="397"/>
      </w:pPr>
      <w:rPr>
        <w:rFonts w:ascii="Wingdings" w:hAnsi="Wingdings" w:hint="default"/>
      </w:rPr>
    </w:lvl>
  </w:abstractNum>
  <w:abstractNum w:abstractNumId="6" w15:restartNumberingAfterBreak="0">
    <w:nsid w:val="518C27ED"/>
    <w:multiLevelType w:val="multilevel"/>
    <w:tmpl w:val="09E85ABE"/>
    <w:lvl w:ilvl="0">
      <w:start w:val="1"/>
      <w:numFmt w:val="decimal"/>
      <w:pStyle w:val="NumBullet1"/>
      <w:lvlText w:val="%1."/>
      <w:lvlJc w:val="left"/>
      <w:pPr>
        <w:tabs>
          <w:tab w:val="num" w:pos="482"/>
        </w:tabs>
        <w:ind w:left="482" w:hanging="340"/>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8" w15:restartNumberingAfterBreak="0">
    <w:nsid w:val="640B3CC7"/>
    <w:multiLevelType w:val="hybridMultilevel"/>
    <w:tmpl w:val="DD18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107B0"/>
    <w:multiLevelType w:val="hybridMultilevel"/>
    <w:tmpl w:val="2C64807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0"/>
  </w:num>
  <w:num w:numId="6">
    <w:abstractNumId w:val="6"/>
  </w:num>
  <w:num w:numId="7">
    <w:abstractNumId w:val="4"/>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B2"/>
    <w:rsid w:val="00001E4D"/>
    <w:rsid w:val="00002F68"/>
    <w:rsid w:val="000030DD"/>
    <w:rsid w:val="000047AA"/>
    <w:rsid w:val="000062C8"/>
    <w:rsid w:val="0000763B"/>
    <w:rsid w:val="00007D97"/>
    <w:rsid w:val="00010059"/>
    <w:rsid w:val="000106DE"/>
    <w:rsid w:val="00011AD3"/>
    <w:rsid w:val="00012A01"/>
    <w:rsid w:val="00013563"/>
    <w:rsid w:val="0001382E"/>
    <w:rsid w:val="00013F59"/>
    <w:rsid w:val="0001466A"/>
    <w:rsid w:val="00015B30"/>
    <w:rsid w:val="0001679A"/>
    <w:rsid w:val="0001797A"/>
    <w:rsid w:val="00017A49"/>
    <w:rsid w:val="00020F7B"/>
    <w:rsid w:val="000216C5"/>
    <w:rsid w:val="0002522A"/>
    <w:rsid w:val="000259CB"/>
    <w:rsid w:val="00025FE5"/>
    <w:rsid w:val="00026B8F"/>
    <w:rsid w:val="00027213"/>
    <w:rsid w:val="00030667"/>
    <w:rsid w:val="000307D3"/>
    <w:rsid w:val="00031B97"/>
    <w:rsid w:val="0003229A"/>
    <w:rsid w:val="000339ED"/>
    <w:rsid w:val="00034E03"/>
    <w:rsid w:val="00035592"/>
    <w:rsid w:val="00036947"/>
    <w:rsid w:val="000375B8"/>
    <w:rsid w:val="00037B81"/>
    <w:rsid w:val="000400BB"/>
    <w:rsid w:val="0004067C"/>
    <w:rsid w:val="00040F9E"/>
    <w:rsid w:val="0004144B"/>
    <w:rsid w:val="0004188F"/>
    <w:rsid w:val="0004229B"/>
    <w:rsid w:val="00042C7E"/>
    <w:rsid w:val="000431EE"/>
    <w:rsid w:val="000432B4"/>
    <w:rsid w:val="0004331D"/>
    <w:rsid w:val="000436A0"/>
    <w:rsid w:val="000446FE"/>
    <w:rsid w:val="00044735"/>
    <w:rsid w:val="00045A24"/>
    <w:rsid w:val="00046557"/>
    <w:rsid w:val="00046750"/>
    <w:rsid w:val="00053329"/>
    <w:rsid w:val="00053B33"/>
    <w:rsid w:val="0005647B"/>
    <w:rsid w:val="00056C25"/>
    <w:rsid w:val="00057D59"/>
    <w:rsid w:val="000601CC"/>
    <w:rsid w:val="00060BFA"/>
    <w:rsid w:val="00063216"/>
    <w:rsid w:val="00063356"/>
    <w:rsid w:val="00063695"/>
    <w:rsid w:val="000639E0"/>
    <w:rsid w:val="00064101"/>
    <w:rsid w:val="00065871"/>
    <w:rsid w:val="00065B58"/>
    <w:rsid w:val="00065E35"/>
    <w:rsid w:val="000668AC"/>
    <w:rsid w:val="00066D8B"/>
    <w:rsid w:val="0007139E"/>
    <w:rsid w:val="00071CEC"/>
    <w:rsid w:val="00071E52"/>
    <w:rsid w:val="000721D1"/>
    <w:rsid w:val="0007383C"/>
    <w:rsid w:val="00073E02"/>
    <w:rsid w:val="00073E93"/>
    <w:rsid w:val="0007427F"/>
    <w:rsid w:val="000746EB"/>
    <w:rsid w:val="00074DA1"/>
    <w:rsid w:val="0007582F"/>
    <w:rsid w:val="00075B43"/>
    <w:rsid w:val="00076059"/>
    <w:rsid w:val="000775FF"/>
    <w:rsid w:val="00077F02"/>
    <w:rsid w:val="00081F47"/>
    <w:rsid w:val="00083CEE"/>
    <w:rsid w:val="00086302"/>
    <w:rsid w:val="00090202"/>
    <w:rsid w:val="00090871"/>
    <w:rsid w:val="00090D11"/>
    <w:rsid w:val="00091279"/>
    <w:rsid w:val="0009135C"/>
    <w:rsid w:val="00091925"/>
    <w:rsid w:val="00091CC7"/>
    <w:rsid w:val="000941BF"/>
    <w:rsid w:val="00094B39"/>
    <w:rsid w:val="00096315"/>
    <w:rsid w:val="000969A3"/>
    <w:rsid w:val="00096CAE"/>
    <w:rsid w:val="000A0AF6"/>
    <w:rsid w:val="000A16CD"/>
    <w:rsid w:val="000A2BE3"/>
    <w:rsid w:val="000A3663"/>
    <w:rsid w:val="000A36F5"/>
    <w:rsid w:val="000A3B21"/>
    <w:rsid w:val="000A44BF"/>
    <w:rsid w:val="000A52D0"/>
    <w:rsid w:val="000A53AB"/>
    <w:rsid w:val="000A680F"/>
    <w:rsid w:val="000A6A3F"/>
    <w:rsid w:val="000A766D"/>
    <w:rsid w:val="000A7B04"/>
    <w:rsid w:val="000A7CEB"/>
    <w:rsid w:val="000B3DFB"/>
    <w:rsid w:val="000B4746"/>
    <w:rsid w:val="000B619A"/>
    <w:rsid w:val="000B6410"/>
    <w:rsid w:val="000B6434"/>
    <w:rsid w:val="000B6B94"/>
    <w:rsid w:val="000B73C7"/>
    <w:rsid w:val="000B7647"/>
    <w:rsid w:val="000C0102"/>
    <w:rsid w:val="000C0A83"/>
    <w:rsid w:val="000C1282"/>
    <w:rsid w:val="000C1784"/>
    <w:rsid w:val="000C2625"/>
    <w:rsid w:val="000C59AB"/>
    <w:rsid w:val="000C67D9"/>
    <w:rsid w:val="000C71C6"/>
    <w:rsid w:val="000D1A1D"/>
    <w:rsid w:val="000D27B4"/>
    <w:rsid w:val="000D3BCB"/>
    <w:rsid w:val="000D4280"/>
    <w:rsid w:val="000D4451"/>
    <w:rsid w:val="000D5C83"/>
    <w:rsid w:val="000D62E3"/>
    <w:rsid w:val="000E19A4"/>
    <w:rsid w:val="000E34E1"/>
    <w:rsid w:val="000E3BDE"/>
    <w:rsid w:val="000E4D92"/>
    <w:rsid w:val="000E66AB"/>
    <w:rsid w:val="000F0806"/>
    <w:rsid w:val="000F0B51"/>
    <w:rsid w:val="000F1AD2"/>
    <w:rsid w:val="000F2B25"/>
    <w:rsid w:val="000F32F3"/>
    <w:rsid w:val="000F338C"/>
    <w:rsid w:val="000F392A"/>
    <w:rsid w:val="000F4920"/>
    <w:rsid w:val="000F5F6F"/>
    <w:rsid w:val="000F5F82"/>
    <w:rsid w:val="000F7D23"/>
    <w:rsid w:val="000F7F65"/>
    <w:rsid w:val="00100232"/>
    <w:rsid w:val="00105741"/>
    <w:rsid w:val="00110827"/>
    <w:rsid w:val="00110A74"/>
    <w:rsid w:val="00110E38"/>
    <w:rsid w:val="00111910"/>
    <w:rsid w:val="00112377"/>
    <w:rsid w:val="00112685"/>
    <w:rsid w:val="00115CE4"/>
    <w:rsid w:val="00116986"/>
    <w:rsid w:val="00117998"/>
    <w:rsid w:val="0012126C"/>
    <w:rsid w:val="00122C7E"/>
    <w:rsid w:val="00122D69"/>
    <w:rsid w:val="00123084"/>
    <w:rsid w:val="00126C66"/>
    <w:rsid w:val="00130351"/>
    <w:rsid w:val="0013036D"/>
    <w:rsid w:val="00131A26"/>
    <w:rsid w:val="00132935"/>
    <w:rsid w:val="00133E40"/>
    <w:rsid w:val="00134DCC"/>
    <w:rsid w:val="0013598A"/>
    <w:rsid w:val="00135D1C"/>
    <w:rsid w:val="001365CD"/>
    <w:rsid w:val="00137AB8"/>
    <w:rsid w:val="0014146A"/>
    <w:rsid w:val="00143A9E"/>
    <w:rsid w:val="00144483"/>
    <w:rsid w:val="0014593E"/>
    <w:rsid w:val="00145B9A"/>
    <w:rsid w:val="0014678D"/>
    <w:rsid w:val="00146AF3"/>
    <w:rsid w:val="0014727B"/>
    <w:rsid w:val="00147823"/>
    <w:rsid w:val="00147AE8"/>
    <w:rsid w:val="001510DB"/>
    <w:rsid w:val="00151CA8"/>
    <w:rsid w:val="00152DE3"/>
    <w:rsid w:val="001533AD"/>
    <w:rsid w:val="001541E2"/>
    <w:rsid w:val="00154329"/>
    <w:rsid w:val="001545BB"/>
    <w:rsid w:val="00154ED0"/>
    <w:rsid w:val="00155C9E"/>
    <w:rsid w:val="00156422"/>
    <w:rsid w:val="001566B4"/>
    <w:rsid w:val="00157977"/>
    <w:rsid w:val="001604B6"/>
    <w:rsid w:val="0016210E"/>
    <w:rsid w:val="0016365A"/>
    <w:rsid w:val="001643A3"/>
    <w:rsid w:val="00166413"/>
    <w:rsid w:val="001665CF"/>
    <w:rsid w:val="001716B9"/>
    <w:rsid w:val="001722A5"/>
    <w:rsid w:val="00173FE7"/>
    <w:rsid w:val="00174191"/>
    <w:rsid w:val="0017426D"/>
    <w:rsid w:val="00174F4C"/>
    <w:rsid w:val="00175D9F"/>
    <w:rsid w:val="00175F65"/>
    <w:rsid w:val="0018211C"/>
    <w:rsid w:val="00184FC6"/>
    <w:rsid w:val="0018544E"/>
    <w:rsid w:val="00186337"/>
    <w:rsid w:val="001864D0"/>
    <w:rsid w:val="00186741"/>
    <w:rsid w:val="00186A80"/>
    <w:rsid w:val="00186F36"/>
    <w:rsid w:val="00187416"/>
    <w:rsid w:val="00187BB1"/>
    <w:rsid w:val="00190C7B"/>
    <w:rsid w:val="001927AE"/>
    <w:rsid w:val="00195631"/>
    <w:rsid w:val="001962B7"/>
    <w:rsid w:val="00196B98"/>
    <w:rsid w:val="001A088C"/>
    <w:rsid w:val="001A259D"/>
    <w:rsid w:val="001A28C2"/>
    <w:rsid w:val="001A4E28"/>
    <w:rsid w:val="001A51F3"/>
    <w:rsid w:val="001A5341"/>
    <w:rsid w:val="001A540B"/>
    <w:rsid w:val="001A6534"/>
    <w:rsid w:val="001B37CB"/>
    <w:rsid w:val="001B5C2E"/>
    <w:rsid w:val="001B744D"/>
    <w:rsid w:val="001B7513"/>
    <w:rsid w:val="001C088F"/>
    <w:rsid w:val="001C0B7C"/>
    <w:rsid w:val="001C0F9A"/>
    <w:rsid w:val="001C2A68"/>
    <w:rsid w:val="001C402C"/>
    <w:rsid w:val="001C4302"/>
    <w:rsid w:val="001D01A5"/>
    <w:rsid w:val="001D0CF2"/>
    <w:rsid w:val="001D0E7A"/>
    <w:rsid w:val="001D1CCC"/>
    <w:rsid w:val="001D45C3"/>
    <w:rsid w:val="001D4A58"/>
    <w:rsid w:val="001D5331"/>
    <w:rsid w:val="001E02FD"/>
    <w:rsid w:val="001E0AD0"/>
    <w:rsid w:val="001E1797"/>
    <w:rsid w:val="001E1B47"/>
    <w:rsid w:val="001E22CB"/>
    <w:rsid w:val="001E25D8"/>
    <w:rsid w:val="001E29E2"/>
    <w:rsid w:val="001E4B7C"/>
    <w:rsid w:val="001E51CE"/>
    <w:rsid w:val="001E6952"/>
    <w:rsid w:val="001E6D9F"/>
    <w:rsid w:val="001E7918"/>
    <w:rsid w:val="001F001D"/>
    <w:rsid w:val="001F0231"/>
    <w:rsid w:val="001F11EE"/>
    <w:rsid w:val="001F141E"/>
    <w:rsid w:val="001F220C"/>
    <w:rsid w:val="001F2571"/>
    <w:rsid w:val="001F38AE"/>
    <w:rsid w:val="001F46BC"/>
    <w:rsid w:val="001F56B1"/>
    <w:rsid w:val="001F5A79"/>
    <w:rsid w:val="001F5E3A"/>
    <w:rsid w:val="001F662D"/>
    <w:rsid w:val="001F6C72"/>
    <w:rsid w:val="001F6FC4"/>
    <w:rsid w:val="00200917"/>
    <w:rsid w:val="00200EFE"/>
    <w:rsid w:val="0020177A"/>
    <w:rsid w:val="00201949"/>
    <w:rsid w:val="00204E5A"/>
    <w:rsid w:val="00204E9E"/>
    <w:rsid w:val="00207999"/>
    <w:rsid w:val="002101D5"/>
    <w:rsid w:val="002102DF"/>
    <w:rsid w:val="0021158E"/>
    <w:rsid w:val="00212AD4"/>
    <w:rsid w:val="00213938"/>
    <w:rsid w:val="00213DBE"/>
    <w:rsid w:val="0021493E"/>
    <w:rsid w:val="00214BAA"/>
    <w:rsid w:val="00216674"/>
    <w:rsid w:val="00216836"/>
    <w:rsid w:val="002171CD"/>
    <w:rsid w:val="002215E0"/>
    <w:rsid w:val="0022545A"/>
    <w:rsid w:val="00225D30"/>
    <w:rsid w:val="00225EC2"/>
    <w:rsid w:val="0022635E"/>
    <w:rsid w:val="00227F45"/>
    <w:rsid w:val="002303D6"/>
    <w:rsid w:val="002315BE"/>
    <w:rsid w:val="00231876"/>
    <w:rsid w:val="0023213A"/>
    <w:rsid w:val="00233C21"/>
    <w:rsid w:val="00234016"/>
    <w:rsid w:val="00235319"/>
    <w:rsid w:val="002370BE"/>
    <w:rsid w:val="00240030"/>
    <w:rsid w:val="0024164D"/>
    <w:rsid w:val="00242522"/>
    <w:rsid w:val="0024586A"/>
    <w:rsid w:val="00246075"/>
    <w:rsid w:val="002465FE"/>
    <w:rsid w:val="00246C29"/>
    <w:rsid w:val="00246DE8"/>
    <w:rsid w:val="00247D59"/>
    <w:rsid w:val="00250372"/>
    <w:rsid w:val="002505AE"/>
    <w:rsid w:val="00250C2E"/>
    <w:rsid w:val="0025117B"/>
    <w:rsid w:val="002512D1"/>
    <w:rsid w:val="00251569"/>
    <w:rsid w:val="002527B7"/>
    <w:rsid w:val="00252BAD"/>
    <w:rsid w:val="00253ABA"/>
    <w:rsid w:val="00254812"/>
    <w:rsid w:val="0025556A"/>
    <w:rsid w:val="00257BC8"/>
    <w:rsid w:val="00257C1F"/>
    <w:rsid w:val="00257D64"/>
    <w:rsid w:val="0026050E"/>
    <w:rsid w:val="00260B8A"/>
    <w:rsid w:val="00260D50"/>
    <w:rsid w:val="00262334"/>
    <w:rsid w:val="00262FD4"/>
    <w:rsid w:val="002668E9"/>
    <w:rsid w:val="00267C86"/>
    <w:rsid w:val="002709AD"/>
    <w:rsid w:val="00270B1B"/>
    <w:rsid w:val="0027112D"/>
    <w:rsid w:val="00271513"/>
    <w:rsid w:val="00273F1A"/>
    <w:rsid w:val="00273FA1"/>
    <w:rsid w:val="0027498A"/>
    <w:rsid w:val="00274C4E"/>
    <w:rsid w:val="0027674F"/>
    <w:rsid w:val="00276CD1"/>
    <w:rsid w:val="0027703B"/>
    <w:rsid w:val="00277139"/>
    <w:rsid w:val="0027754F"/>
    <w:rsid w:val="00277A40"/>
    <w:rsid w:val="0028004E"/>
    <w:rsid w:val="002815E5"/>
    <w:rsid w:val="002839CE"/>
    <w:rsid w:val="00283D82"/>
    <w:rsid w:val="002841B7"/>
    <w:rsid w:val="00284A4D"/>
    <w:rsid w:val="00284D52"/>
    <w:rsid w:val="00285440"/>
    <w:rsid w:val="002866A6"/>
    <w:rsid w:val="00290A28"/>
    <w:rsid w:val="00290B04"/>
    <w:rsid w:val="00291D38"/>
    <w:rsid w:val="00292829"/>
    <w:rsid w:val="002935EE"/>
    <w:rsid w:val="00297037"/>
    <w:rsid w:val="0029728B"/>
    <w:rsid w:val="00297451"/>
    <w:rsid w:val="002A0B36"/>
    <w:rsid w:val="002A3188"/>
    <w:rsid w:val="002A3CAB"/>
    <w:rsid w:val="002A47D9"/>
    <w:rsid w:val="002A635C"/>
    <w:rsid w:val="002A7E05"/>
    <w:rsid w:val="002B081E"/>
    <w:rsid w:val="002B0F7C"/>
    <w:rsid w:val="002B2442"/>
    <w:rsid w:val="002B28DA"/>
    <w:rsid w:val="002B2CDF"/>
    <w:rsid w:val="002B2DE2"/>
    <w:rsid w:val="002B3C7D"/>
    <w:rsid w:val="002B68A0"/>
    <w:rsid w:val="002B73FA"/>
    <w:rsid w:val="002B77B4"/>
    <w:rsid w:val="002C021C"/>
    <w:rsid w:val="002C0CE3"/>
    <w:rsid w:val="002C1597"/>
    <w:rsid w:val="002C19FD"/>
    <w:rsid w:val="002C32EC"/>
    <w:rsid w:val="002C3410"/>
    <w:rsid w:val="002C4102"/>
    <w:rsid w:val="002C64EC"/>
    <w:rsid w:val="002C7029"/>
    <w:rsid w:val="002D176D"/>
    <w:rsid w:val="002D1E75"/>
    <w:rsid w:val="002D33B5"/>
    <w:rsid w:val="002D3D5B"/>
    <w:rsid w:val="002D46EA"/>
    <w:rsid w:val="002D6781"/>
    <w:rsid w:val="002D728C"/>
    <w:rsid w:val="002D7E07"/>
    <w:rsid w:val="002E1713"/>
    <w:rsid w:val="002E1838"/>
    <w:rsid w:val="002E24D6"/>
    <w:rsid w:val="002E2903"/>
    <w:rsid w:val="002E2C8C"/>
    <w:rsid w:val="002E49BA"/>
    <w:rsid w:val="002E4AEB"/>
    <w:rsid w:val="002E573A"/>
    <w:rsid w:val="002E6130"/>
    <w:rsid w:val="002E723A"/>
    <w:rsid w:val="002E7DAB"/>
    <w:rsid w:val="002F0557"/>
    <w:rsid w:val="002F061B"/>
    <w:rsid w:val="002F0E5A"/>
    <w:rsid w:val="002F0F29"/>
    <w:rsid w:val="002F138D"/>
    <w:rsid w:val="002F17E6"/>
    <w:rsid w:val="002F2B88"/>
    <w:rsid w:val="002F2C24"/>
    <w:rsid w:val="002F2D31"/>
    <w:rsid w:val="002F3CC9"/>
    <w:rsid w:val="002F3F8F"/>
    <w:rsid w:val="002F4445"/>
    <w:rsid w:val="002F4725"/>
    <w:rsid w:val="002F6096"/>
    <w:rsid w:val="002F6818"/>
    <w:rsid w:val="002F7203"/>
    <w:rsid w:val="002F7895"/>
    <w:rsid w:val="002F7ABB"/>
    <w:rsid w:val="0030062C"/>
    <w:rsid w:val="00301D4B"/>
    <w:rsid w:val="003030ED"/>
    <w:rsid w:val="0030319A"/>
    <w:rsid w:val="00304D77"/>
    <w:rsid w:val="003057B8"/>
    <w:rsid w:val="00305CD9"/>
    <w:rsid w:val="00306304"/>
    <w:rsid w:val="003076BC"/>
    <w:rsid w:val="00310E7E"/>
    <w:rsid w:val="00310EDB"/>
    <w:rsid w:val="00311B51"/>
    <w:rsid w:val="003120B0"/>
    <w:rsid w:val="003123AB"/>
    <w:rsid w:val="0031242D"/>
    <w:rsid w:val="00312D0B"/>
    <w:rsid w:val="00313561"/>
    <w:rsid w:val="003144C6"/>
    <w:rsid w:val="003148BB"/>
    <w:rsid w:val="00315520"/>
    <w:rsid w:val="00315B3D"/>
    <w:rsid w:val="003202F1"/>
    <w:rsid w:val="00320F00"/>
    <w:rsid w:val="00323070"/>
    <w:rsid w:val="00324605"/>
    <w:rsid w:val="003268B7"/>
    <w:rsid w:val="00326FF5"/>
    <w:rsid w:val="00327CB8"/>
    <w:rsid w:val="003316DE"/>
    <w:rsid w:val="00331F69"/>
    <w:rsid w:val="0033220B"/>
    <w:rsid w:val="00332241"/>
    <w:rsid w:val="00332BCF"/>
    <w:rsid w:val="0033474E"/>
    <w:rsid w:val="00334E96"/>
    <w:rsid w:val="00336806"/>
    <w:rsid w:val="00337D96"/>
    <w:rsid w:val="0034003C"/>
    <w:rsid w:val="00340224"/>
    <w:rsid w:val="0034377B"/>
    <w:rsid w:val="00344C6A"/>
    <w:rsid w:val="003452FA"/>
    <w:rsid w:val="00345944"/>
    <w:rsid w:val="003461AA"/>
    <w:rsid w:val="003473F7"/>
    <w:rsid w:val="00347565"/>
    <w:rsid w:val="00347B7E"/>
    <w:rsid w:val="00350480"/>
    <w:rsid w:val="003505F0"/>
    <w:rsid w:val="00350766"/>
    <w:rsid w:val="003510AD"/>
    <w:rsid w:val="00352086"/>
    <w:rsid w:val="00352C8E"/>
    <w:rsid w:val="00353DC5"/>
    <w:rsid w:val="0035486E"/>
    <w:rsid w:val="00355805"/>
    <w:rsid w:val="00356783"/>
    <w:rsid w:val="003568EE"/>
    <w:rsid w:val="00356FD1"/>
    <w:rsid w:val="0035796A"/>
    <w:rsid w:val="003607ED"/>
    <w:rsid w:val="00361E83"/>
    <w:rsid w:val="00362E36"/>
    <w:rsid w:val="00366037"/>
    <w:rsid w:val="003666D5"/>
    <w:rsid w:val="00366A58"/>
    <w:rsid w:val="00367C47"/>
    <w:rsid w:val="00367F1D"/>
    <w:rsid w:val="0037082F"/>
    <w:rsid w:val="003709B2"/>
    <w:rsid w:val="00370F11"/>
    <w:rsid w:val="00371554"/>
    <w:rsid w:val="00371D07"/>
    <w:rsid w:val="00373720"/>
    <w:rsid w:val="003747C5"/>
    <w:rsid w:val="00375F88"/>
    <w:rsid w:val="00376073"/>
    <w:rsid w:val="00377A40"/>
    <w:rsid w:val="00380BF9"/>
    <w:rsid w:val="00381113"/>
    <w:rsid w:val="003816CF"/>
    <w:rsid w:val="003821AE"/>
    <w:rsid w:val="003827D3"/>
    <w:rsid w:val="0038362B"/>
    <w:rsid w:val="00383FFD"/>
    <w:rsid w:val="003859DE"/>
    <w:rsid w:val="00385F43"/>
    <w:rsid w:val="003876CA"/>
    <w:rsid w:val="00390490"/>
    <w:rsid w:val="003909C4"/>
    <w:rsid w:val="003915FF"/>
    <w:rsid w:val="00391944"/>
    <w:rsid w:val="00394D20"/>
    <w:rsid w:val="0039786C"/>
    <w:rsid w:val="00397E5B"/>
    <w:rsid w:val="00397F9C"/>
    <w:rsid w:val="003A060A"/>
    <w:rsid w:val="003A09D2"/>
    <w:rsid w:val="003A10CA"/>
    <w:rsid w:val="003A211A"/>
    <w:rsid w:val="003A22FD"/>
    <w:rsid w:val="003A2B02"/>
    <w:rsid w:val="003A312E"/>
    <w:rsid w:val="003A3C62"/>
    <w:rsid w:val="003A43C2"/>
    <w:rsid w:val="003A4646"/>
    <w:rsid w:val="003A47F0"/>
    <w:rsid w:val="003A60CD"/>
    <w:rsid w:val="003A733C"/>
    <w:rsid w:val="003B01E8"/>
    <w:rsid w:val="003B0C41"/>
    <w:rsid w:val="003B1AA4"/>
    <w:rsid w:val="003B1DC0"/>
    <w:rsid w:val="003B2014"/>
    <w:rsid w:val="003B21FA"/>
    <w:rsid w:val="003B22EF"/>
    <w:rsid w:val="003B26A4"/>
    <w:rsid w:val="003B30A0"/>
    <w:rsid w:val="003B3EBB"/>
    <w:rsid w:val="003B51E4"/>
    <w:rsid w:val="003B64C4"/>
    <w:rsid w:val="003B68F2"/>
    <w:rsid w:val="003B69E3"/>
    <w:rsid w:val="003B6BA3"/>
    <w:rsid w:val="003C0AE8"/>
    <w:rsid w:val="003C18B2"/>
    <w:rsid w:val="003C1D87"/>
    <w:rsid w:val="003C1EE2"/>
    <w:rsid w:val="003C3260"/>
    <w:rsid w:val="003C58D0"/>
    <w:rsid w:val="003C656B"/>
    <w:rsid w:val="003C7FBF"/>
    <w:rsid w:val="003D039C"/>
    <w:rsid w:val="003D0669"/>
    <w:rsid w:val="003D21EB"/>
    <w:rsid w:val="003D22DB"/>
    <w:rsid w:val="003D29E5"/>
    <w:rsid w:val="003D2ECE"/>
    <w:rsid w:val="003D38A2"/>
    <w:rsid w:val="003D482C"/>
    <w:rsid w:val="003D517C"/>
    <w:rsid w:val="003D59BA"/>
    <w:rsid w:val="003D60BE"/>
    <w:rsid w:val="003D7188"/>
    <w:rsid w:val="003D7E6B"/>
    <w:rsid w:val="003E0D98"/>
    <w:rsid w:val="003E1B44"/>
    <w:rsid w:val="003E345D"/>
    <w:rsid w:val="003E38C1"/>
    <w:rsid w:val="003E3F90"/>
    <w:rsid w:val="003E423C"/>
    <w:rsid w:val="003E5993"/>
    <w:rsid w:val="003E6972"/>
    <w:rsid w:val="003E7154"/>
    <w:rsid w:val="003E723A"/>
    <w:rsid w:val="003E7883"/>
    <w:rsid w:val="003F1555"/>
    <w:rsid w:val="003F1F39"/>
    <w:rsid w:val="003F3348"/>
    <w:rsid w:val="003F6489"/>
    <w:rsid w:val="003F7EE7"/>
    <w:rsid w:val="004018C5"/>
    <w:rsid w:val="00402119"/>
    <w:rsid w:val="004040C8"/>
    <w:rsid w:val="00404270"/>
    <w:rsid w:val="00405B84"/>
    <w:rsid w:val="00405D4F"/>
    <w:rsid w:val="0041072E"/>
    <w:rsid w:val="00411046"/>
    <w:rsid w:val="0041152E"/>
    <w:rsid w:val="00414A33"/>
    <w:rsid w:val="00414E24"/>
    <w:rsid w:val="00415F4F"/>
    <w:rsid w:val="004167FC"/>
    <w:rsid w:val="004169B4"/>
    <w:rsid w:val="00416D11"/>
    <w:rsid w:val="00420067"/>
    <w:rsid w:val="00420EE1"/>
    <w:rsid w:val="004222CF"/>
    <w:rsid w:val="00422C17"/>
    <w:rsid w:val="00422E95"/>
    <w:rsid w:val="0042487B"/>
    <w:rsid w:val="004276CC"/>
    <w:rsid w:val="004279B1"/>
    <w:rsid w:val="00430B03"/>
    <w:rsid w:val="004328AD"/>
    <w:rsid w:val="004329AC"/>
    <w:rsid w:val="00433360"/>
    <w:rsid w:val="00435926"/>
    <w:rsid w:val="00436650"/>
    <w:rsid w:val="004372B6"/>
    <w:rsid w:val="00437531"/>
    <w:rsid w:val="004405C3"/>
    <w:rsid w:val="004408C2"/>
    <w:rsid w:val="00440E67"/>
    <w:rsid w:val="00440F03"/>
    <w:rsid w:val="004426ED"/>
    <w:rsid w:val="00442992"/>
    <w:rsid w:val="0044339B"/>
    <w:rsid w:val="0044453C"/>
    <w:rsid w:val="00444B86"/>
    <w:rsid w:val="0044547A"/>
    <w:rsid w:val="0044572A"/>
    <w:rsid w:val="00445BB9"/>
    <w:rsid w:val="00446091"/>
    <w:rsid w:val="00446B36"/>
    <w:rsid w:val="00447A42"/>
    <w:rsid w:val="00447ED3"/>
    <w:rsid w:val="00451BC6"/>
    <w:rsid w:val="00454185"/>
    <w:rsid w:val="00454DB3"/>
    <w:rsid w:val="00456794"/>
    <w:rsid w:val="00461745"/>
    <w:rsid w:val="0046270F"/>
    <w:rsid w:val="00463030"/>
    <w:rsid w:val="00463180"/>
    <w:rsid w:val="004632DB"/>
    <w:rsid w:val="00463EC1"/>
    <w:rsid w:val="004648B4"/>
    <w:rsid w:val="00470538"/>
    <w:rsid w:val="00470734"/>
    <w:rsid w:val="00472FC7"/>
    <w:rsid w:val="00473030"/>
    <w:rsid w:val="004738F5"/>
    <w:rsid w:val="00473B9D"/>
    <w:rsid w:val="00473E1A"/>
    <w:rsid w:val="00474B9D"/>
    <w:rsid w:val="00474FDE"/>
    <w:rsid w:val="004751B8"/>
    <w:rsid w:val="0047543F"/>
    <w:rsid w:val="00476B1F"/>
    <w:rsid w:val="00476CBB"/>
    <w:rsid w:val="00476D3A"/>
    <w:rsid w:val="0047739B"/>
    <w:rsid w:val="00477FCB"/>
    <w:rsid w:val="004811A5"/>
    <w:rsid w:val="00481913"/>
    <w:rsid w:val="00482E1A"/>
    <w:rsid w:val="004832C2"/>
    <w:rsid w:val="00483402"/>
    <w:rsid w:val="0048351F"/>
    <w:rsid w:val="0048470E"/>
    <w:rsid w:val="00484829"/>
    <w:rsid w:val="004854B3"/>
    <w:rsid w:val="00485B13"/>
    <w:rsid w:val="0048679B"/>
    <w:rsid w:val="004878C0"/>
    <w:rsid w:val="004913E2"/>
    <w:rsid w:val="004930C8"/>
    <w:rsid w:val="00494483"/>
    <w:rsid w:val="00494774"/>
    <w:rsid w:val="00494844"/>
    <w:rsid w:val="00494A2D"/>
    <w:rsid w:val="00494EC6"/>
    <w:rsid w:val="004958D2"/>
    <w:rsid w:val="00497D43"/>
    <w:rsid w:val="004A0178"/>
    <w:rsid w:val="004A0651"/>
    <w:rsid w:val="004A0CEB"/>
    <w:rsid w:val="004A2468"/>
    <w:rsid w:val="004A3505"/>
    <w:rsid w:val="004A4060"/>
    <w:rsid w:val="004A411C"/>
    <w:rsid w:val="004A6253"/>
    <w:rsid w:val="004A7163"/>
    <w:rsid w:val="004B0288"/>
    <w:rsid w:val="004B06DA"/>
    <w:rsid w:val="004B1A8A"/>
    <w:rsid w:val="004B23BE"/>
    <w:rsid w:val="004B2DBB"/>
    <w:rsid w:val="004B35BC"/>
    <w:rsid w:val="004B46D7"/>
    <w:rsid w:val="004B4CD2"/>
    <w:rsid w:val="004B5519"/>
    <w:rsid w:val="004B5CE4"/>
    <w:rsid w:val="004B5D8D"/>
    <w:rsid w:val="004C298B"/>
    <w:rsid w:val="004C2B1F"/>
    <w:rsid w:val="004C3123"/>
    <w:rsid w:val="004C4243"/>
    <w:rsid w:val="004C441A"/>
    <w:rsid w:val="004C4664"/>
    <w:rsid w:val="004C4875"/>
    <w:rsid w:val="004C49C9"/>
    <w:rsid w:val="004C49DF"/>
    <w:rsid w:val="004C5546"/>
    <w:rsid w:val="004C74CC"/>
    <w:rsid w:val="004C797E"/>
    <w:rsid w:val="004C7A7F"/>
    <w:rsid w:val="004D12A5"/>
    <w:rsid w:val="004D3C75"/>
    <w:rsid w:val="004D49DE"/>
    <w:rsid w:val="004D4FA2"/>
    <w:rsid w:val="004D505A"/>
    <w:rsid w:val="004D62E5"/>
    <w:rsid w:val="004D6D45"/>
    <w:rsid w:val="004D754B"/>
    <w:rsid w:val="004E0444"/>
    <w:rsid w:val="004E218B"/>
    <w:rsid w:val="004E2AED"/>
    <w:rsid w:val="004E42EA"/>
    <w:rsid w:val="004E4550"/>
    <w:rsid w:val="004E607D"/>
    <w:rsid w:val="004E64BC"/>
    <w:rsid w:val="004E6625"/>
    <w:rsid w:val="004E75F6"/>
    <w:rsid w:val="004E79BF"/>
    <w:rsid w:val="004F1C42"/>
    <w:rsid w:val="004F2C04"/>
    <w:rsid w:val="004F2DB8"/>
    <w:rsid w:val="004F39E5"/>
    <w:rsid w:val="004F487D"/>
    <w:rsid w:val="004F4E33"/>
    <w:rsid w:val="004F4E59"/>
    <w:rsid w:val="004F514A"/>
    <w:rsid w:val="004F5B7D"/>
    <w:rsid w:val="004F7319"/>
    <w:rsid w:val="00500A38"/>
    <w:rsid w:val="00502035"/>
    <w:rsid w:val="00502DAF"/>
    <w:rsid w:val="005049F5"/>
    <w:rsid w:val="00504F62"/>
    <w:rsid w:val="0050610E"/>
    <w:rsid w:val="00507ED6"/>
    <w:rsid w:val="00510077"/>
    <w:rsid w:val="005108F0"/>
    <w:rsid w:val="00514B1B"/>
    <w:rsid w:val="00515C14"/>
    <w:rsid w:val="00517593"/>
    <w:rsid w:val="00523135"/>
    <w:rsid w:val="00524809"/>
    <w:rsid w:val="00525A8D"/>
    <w:rsid w:val="00526D74"/>
    <w:rsid w:val="0053091B"/>
    <w:rsid w:val="00530DD1"/>
    <w:rsid w:val="005311D7"/>
    <w:rsid w:val="00531264"/>
    <w:rsid w:val="005326E1"/>
    <w:rsid w:val="00532AA7"/>
    <w:rsid w:val="00532F2A"/>
    <w:rsid w:val="00533AF8"/>
    <w:rsid w:val="00533D2B"/>
    <w:rsid w:val="005340F9"/>
    <w:rsid w:val="00535F58"/>
    <w:rsid w:val="00536ADF"/>
    <w:rsid w:val="005373FE"/>
    <w:rsid w:val="00537EC1"/>
    <w:rsid w:val="00540948"/>
    <w:rsid w:val="00541165"/>
    <w:rsid w:val="005418AC"/>
    <w:rsid w:val="00541A4D"/>
    <w:rsid w:val="0054210E"/>
    <w:rsid w:val="005427F5"/>
    <w:rsid w:val="00544B2D"/>
    <w:rsid w:val="00544B47"/>
    <w:rsid w:val="00545066"/>
    <w:rsid w:val="00545671"/>
    <w:rsid w:val="0054581B"/>
    <w:rsid w:val="00545D9E"/>
    <w:rsid w:val="00545FDB"/>
    <w:rsid w:val="0054688B"/>
    <w:rsid w:val="00546B27"/>
    <w:rsid w:val="0055043D"/>
    <w:rsid w:val="005506C1"/>
    <w:rsid w:val="00550D33"/>
    <w:rsid w:val="005521D6"/>
    <w:rsid w:val="00553F91"/>
    <w:rsid w:val="00554B6B"/>
    <w:rsid w:val="00554F4C"/>
    <w:rsid w:val="005552EE"/>
    <w:rsid w:val="0055612A"/>
    <w:rsid w:val="005567DA"/>
    <w:rsid w:val="00557190"/>
    <w:rsid w:val="00557E12"/>
    <w:rsid w:val="00560ADE"/>
    <w:rsid w:val="00560B74"/>
    <w:rsid w:val="005613EE"/>
    <w:rsid w:val="00564544"/>
    <w:rsid w:val="005653D7"/>
    <w:rsid w:val="0056555F"/>
    <w:rsid w:val="00565C8B"/>
    <w:rsid w:val="00566077"/>
    <w:rsid w:val="00566468"/>
    <w:rsid w:val="00567E86"/>
    <w:rsid w:val="005708E6"/>
    <w:rsid w:val="00571FBE"/>
    <w:rsid w:val="00572A55"/>
    <w:rsid w:val="00575414"/>
    <w:rsid w:val="00575ECE"/>
    <w:rsid w:val="005761F5"/>
    <w:rsid w:val="005768F0"/>
    <w:rsid w:val="0057737E"/>
    <w:rsid w:val="00577609"/>
    <w:rsid w:val="00580DCD"/>
    <w:rsid w:val="00581F6D"/>
    <w:rsid w:val="0058565F"/>
    <w:rsid w:val="00585975"/>
    <w:rsid w:val="00586CE5"/>
    <w:rsid w:val="00587F56"/>
    <w:rsid w:val="00591D3F"/>
    <w:rsid w:val="00594089"/>
    <w:rsid w:val="005941DC"/>
    <w:rsid w:val="0059508F"/>
    <w:rsid w:val="0059677B"/>
    <w:rsid w:val="005A07AA"/>
    <w:rsid w:val="005A1482"/>
    <w:rsid w:val="005A1E3B"/>
    <w:rsid w:val="005A2664"/>
    <w:rsid w:val="005A30BA"/>
    <w:rsid w:val="005A3BDE"/>
    <w:rsid w:val="005A43C1"/>
    <w:rsid w:val="005A4F3B"/>
    <w:rsid w:val="005A5B1F"/>
    <w:rsid w:val="005A616C"/>
    <w:rsid w:val="005A624D"/>
    <w:rsid w:val="005A672D"/>
    <w:rsid w:val="005A6BF3"/>
    <w:rsid w:val="005A721C"/>
    <w:rsid w:val="005A7751"/>
    <w:rsid w:val="005A7BA6"/>
    <w:rsid w:val="005B056C"/>
    <w:rsid w:val="005B1EF9"/>
    <w:rsid w:val="005B21BD"/>
    <w:rsid w:val="005B2D91"/>
    <w:rsid w:val="005B7742"/>
    <w:rsid w:val="005C0DFA"/>
    <w:rsid w:val="005C15B8"/>
    <w:rsid w:val="005C293F"/>
    <w:rsid w:val="005C2C9D"/>
    <w:rsid w:val="005C39EB"/>
    <w:rsid w:val="005C4102"/>
    <w:rsid w:val="005C4347"/>
    <w:rsid w:val="005C462E"/>
    <w:rsid w:val="005C4690"/>
    <w:rsid w:val="005C4A59"/>
    <w:rsid w:val="005C53B7"/>
    <w:rsid w:val="005C5BAF"/>
    <w:rsid w:val="005C6304"/>
    <w:rsid w:val="005C6E97"/>
    <w:rsid w:val="005D255A"/>
    <w:rsid w:val="005D2E55"/>
    <w:rsid w:val="005D39C8"/>
    <w:rsid w:val="005D56E0"/>
    <w:rsid w:val="005E0C0A"/>
    <w:rsid w:val="005E1D80"/>
    <w:rsid w:val="005E318E"/>
    <w:rsid w:val="005E4160"/>
    <w:rsid w:val="005E429A"/>
    <w:rsid w:val="005E4759"/>
    <w:rsid w:val="005E521B"/>
    <w:rsid w:val="005E69A3"/>
    <w:rsid w:val="005E6B18"/>
    <w:rsid w:val="005F173A"/>
    <w:rsid w:val="005F3652"/>
    <w:rsid w:val="005F36A3"/>
    <w:rsid w:val="005F5B5B"/>
    <w:rsid w:val="005F674B"/>
    <w:rsid w:val="005F7C3A"/>
    <w:rsid w:val="00601981"/>
    <w:rsid w:val="006021D4"/>
    <w:rsid w:val="00602350"/>
    <w:rsid w:val="00603ABC"/>
    <w:rsid w:val="00603BCF"/>
    <w:rsid w:val="0060405A"/>
    <w:rsid w:val="0060426D"/>
    <w:rsid w:val="006054AA"/>
    <w:rsid w:val="0060609D"/>
    <w:rsid w:val="006060C2"/>
    <w:rsid w:val="006062EB"/>
    <w:rsid w:val="00607CA3"/>
    <w:rsid w:val="00610FB7"/>
    <w:rsid w:val="0061129B"/>
    <w:rsid w:val="006119B0"/>
    <w:rsid w:val="00612C8A"/>
    <w:rsid w:val="006131D7"/>
    <w:rsid w:val="00614752"/>
    <w:rsid w:val="00614E72"/>
    <w:rsid w:val="00615978"/>
    <w:rsid w:val="00621049"/>
    <w:rsid w:val="00621120"/>
    <w:rsid w:val="006217D9"/>
    <w:rsid w:val="00621CA9"/>
    <w:rsid w:val="00623158"/>
    <w:rsid w:val="006231A7"/>
    <w:rsid w:val="006247E2"/>
    <w:rsid w:val="006251A4"/>
    <w:rsid w:val="00625A1B"/>
    <w:rsid w:val="006272EC"/>
    <w:rsid w:val="0063294B"/>
    <w:rsid w:val="00632A8D"/>
    <w:rsid w:val="0063368C"/>
    <w:rsid w:val="006342E5"/>
    <w:rsid w:val="00635001"/>
    <w:rsid w:val="00635230"/>
    <w:rsid w:val="00635355"/>
    <w:rsid w:val="00635697"/>
    <w:rsid w:val="00637B6B"/>
    <w:rsid w:val="00640C58"/>
    <w:rsid w:val="00640ED0"/>
    <w:rsid w:val="00641681"/>
    <w:rsid w:val="006423C1"/>
    <w:rsid w:val="00643096"/>
    <w:rsid w:val="006434E3"/>
    <w:rsid w:val="00644CAE"/>
    <w:rsid w:val="00645E1D"/>
    <w:rsid w:val="0064629F"/>
    <w:rsid w:val="006478B9"/>
    <w:rsid w:val="00650A8A"/>
    <w:rsid w:val="00650D3F"/>
    <w:rsid w:val="006511BB"/>
    <w:rsid w:val="006512B8"/>
    <w:rsid w:val="00651C58"/>
    <w:rsid w:val="00651D55"/>
    <w:rsid w:val="00652513"/>
    <w:rsid w:val="00652555"/>
    <w:rsid w:val="00652F31"/>
    <w:rsid w:val="006538E8"/>
    <w:rsid w:val="006557D6"/>
    <w:rsid w:val="00656F4A"/>
    <w:rsid w:val="00657E25"/>
    <w:rsid w:val="0066008B"/>
    <w:rsid w:val="006604F9"/>
    <w:rsid w:val="0066185A"/>
    <w:rsid w:val="00661BD2"/>
    <w:rsid w:val="00663265"/>
    <w:rsid w:val="00663802"/>
    <w:rsid w:val="00665601"/>
    <w:rsid w:val="006660C0"/>
    <w:rsid w:val="0066690C"/>
    <w:rsid w:val="006670DC"/>
    <w:rsid w:val="0066734F"/>
    <w:rsid w:val="00667618"/>
    <w:rsid w:val="00667AF0"/>
    <w:rsid w:val="00667B82"/>
    <w:rsid w:val="00667C8D"/>
    <w:rsid w:val="00670DC3"/>
    <w:rsid w:val="006728D0"/>
    <w:rsid w:val="00672989"/>
    <w:rsid w:val="00672DC9"/>
    <w:rsid w:val="00673813"/>
    <w:rsid w:val="00675E4D"/>
    <w:rsid w:val="006760A0"/>
    <w:rsid w:val="006769B3"/>
    <w:rsid w:val="006825FF"/>
    <w:rsid w:val="00682B39"/>
    <w:rsid w:val="00683149"/>
    <w:rsid w:val="006832C0"/>
    <w:rsid w:val="006837D3"/>
    <w:rsid w:val="00686653"/>
    <w:rsid w:val="0068680F"/>
    <w:rsid w:val="00686B34"/>
    <w:rsid w:val="00686F69"/>
    <w:rsid w:val="006871C6"/>
    <w:rsid w:val="006906A6"/>
    <w:rsid w:val="006912B5"/>
    <w:rsid w:val="006940D4"/>
    <w:rsid w:val="00695326"/>
    <w:rsid w:val="00696321"/>
    <w:rsid w:val="00697DBB"/>
    <w:rsid w:val="006A0513"/>
    <w:rsid w:val="006A19FC"/>
    <w:rsid w:val="006A26CB"/>
    <w:rsid w:val="006A282E"/>
    <w:rsid w:val="006A36D2"/>
    <w:rsid w:val="006A6585"/>
    <w:rsid w:val="006A671A"/>
    <w:rsid w:val="006A76DE"/>
    <w:rsid w:val="006B0242"/>
    <w:rsid w:val="006B0EB9"/>
    <w:rsid w:val="006B3112"/>
    <w:rsid w:val="006B57F1"/>
    <w:rsid w:val="006B6E33"/>
    <w:rsid w:val="006B7362"/>
    <w:rsid w:val="006B7D11"/>
    <w:rsid w:val="006C1C8A"/>
    <w:rsid w:val="006C2737"/>
    <w:rsid w:val="006C3FAD"/>
    <w:rsid w:val="006C43CB"/>
    <w:rsid w:val="006C5067"/>
    <w:rsid w:val="006C5874"/>
    <w:rsid w:val="006C5C76"/>
    <w:rsid w:val="006C6EA3"/>
    <w:rsid w:val="006C6EB1"/>
    <w:rsid w:val="006C7053"/>
    <w:rsid w:val="006C74F0"/>
    <w:rsid w:val="006D0551"/>
    <w:rsid w:val="006D0E4D"/>
    <w:rsid w:val="006D1AEB"/>
    <w:rsid w:val="006D20B5"/>
    <w:rsid w:val="006D3515"/>
    <w:rsid w:val="006D3FD2"/>
    <w:rsid w:val="006D658F"/>
    <w:rsid w:val="006D7296"/>
    <w:rsid w:val="006D76B0"/>
    <w:rsid w:val="006D7DC9"/>
    <w:rsid w:val="006D7E07"/>
    <w:rsid w:val="006D7F2B"/>
    <w:rsid w:val="006E05B4"/>
    <w:rsid w:val="006E0E1C"/>
    <w:rsid w:val="006E2686"/>
    <w:rsid w:val="006E348F"/>
    <w:rsid w:val="006E3505"/>
    <w:rsid w:val="006E4505"/>
    <w:rsid w:val="006E4ABA"/>
    <w:rsid w:val="006E4B03"/>
    <w:rsid w:val="006E6627"/>
    <w:rsid w:val="006E7AC8"/>
    <w:rsid w:val="006F0939"/>
    <w:rsid w:val="006F37B2"/>
    <w:rsid w:val="006F4D61"/>
    <w:rsid w:val="006F50BB"/>
    <w:rsid w:val="006F5CA9"/>
    <w:rsid w:val="006F651E"/>
    <w:rsid w:val="006F7131"/>
    <w:rsid w:val="007000AD"/>
    <w:rsid w:val="007063E2"/>
    <w:rsid w:val="00706C89"/>
    <w:rsid w:val="00706C8D"/>
    <w:rsid w:val="00706E8B"/>
    <w:rsid w:val="00706F3F"/>
    <w:rsid w:val="007074D8"/>
    <w:rsid w:val="00707531"/>
    <w:rsid w:val="0071197F"/>
    <w:rsid w:val="0071217C"/>
    <w:rsid w:val="007142AB"/>
    <w:rsid w:val="00714761"/>
    <w:rsid w:val="00714957"/>
    <w:rsid w:val="007179EA"/>
    <w:rsid w:val="00720AC7"/>
    <w:rsid w:val="0072226C"/>
    <w:rsid w:val="0072252A"/>
    <w:rsid w:val="0072406B"/>
    <w:rsid w:val="007245DD"/>
    <w:rsid w:val="0072527F"/>
    <w:rsid w:val="00725764"/>
    <w:rsid w:val="00725C8E"/>
    <w:rsid w:val="00726802"/>
    <w:rsid w:val="00726AC3"/>
    <w:rsid w:val="00731123"/>
    <w:rsid w:val="00731C61"/>
    <w:rsid w:val="00731F4B"/>
    <w:rsid w:val="00732213"/>
    <w:rsid w:val="007325E5"/>
    <w:rsid w:val="007345BB"/>
    <w:rsid w:val="00736B73"/>
    <w:rsid w:val="0073750B"/>
    <w:rsid w:val="00737683"/>
    <w:rsid w:val="0074165D"/>
    <w:rsid w:val="00742739"/>
    <w:rsid w:val="00742AA4"/>
    <w:rsid w:val="0074373F"/>
    <w:rsid w:val="00743D27"/>
    <w:rsid w:val="0074433C"/>
    <w:rsid w:val="00744B98"/>
    <w:rsid w:val="00744D36"/>
    <w:rsid w:val="00745716"/>
    <w:rsid w:val="00746273"/>
    <w:rsid w:val="0074651B"/>
    <w:rsid w:val="00746E58"/>
    <w:rsid w:val="00747E98"/>
    <w:rsid w:val="00750D3E"/>
    <w:rsid w:val="00750E9C"/>
    <w:rsid w:val="00751912"/>
    <w:rsid w:val="0075498A"/>
    <w:rsid w:val="00755B65"/>
    <w:rsid w:val="00756766"/>
    <w:rsid w:val="00756F93"/>
    <w:rsid w:val="0075772A"/>
    <w:rsid w:val="007605BA"/>
    <w:rsid w:val="00760B46"/>
    <w:rsid w:val="00761288"/>
    <w:rsid w:val="00761DA0"/>
    <w:rsid w:val="00761DB9"/>
    <w:rsid w:val="00762080"/>
    <w:rsid w:val="007629B5"/>
    <w:rsid w:val="007637AD"/>
    <w:rsid w:val="00763C5C"/>
    <w:rsid w:val="007662EE"/>
    <w:rsid w:val="007668B8"/>
    <w:rsid w:val="00767D49"/>
    <w:rsid w:val="00767E20"/>
    <w:rsid w:val="00767E70"/>
    <w:rsid w:val="0077075A"/>
    <w:rsid w:val="00771F1C"/>
    <w:rsid w:val="00772A1E"/>
    <w:rsid w:val="0077434F"/>
    <w:rsid w:val="00774AD6"/>
    <w:rsid w:val="00774F88"/>
    <w:rsid w:val="007756C1"/>
    <w:rsid w:val="00775D54"/>
    <w:rsid w:val="00776A34"/>
    <w:rsid w:val="00777A18"/>
    <w:rsid w:val="00780544"/>
    <w:rsid w:val="00781DC7"/>
    <w:rsid w:val="00782A38"/>
    <w:rsid w:val="007836F5"/>
    <w:rsid w:val="007837C1"/>
    <w:rsid w:val="00783E27"/>
    <w:rsid w:val="00783E70"/>
    <w:rsid w:val="00785A1B"/>
    <w:rsid w:val="00786187"/>
    <w:rsid w:val="0078652F"/>
    <w:rsid w:val="007873D8"/>
    <w:rsid w:val="00790748"/>
    <w:rsid w:val="0079140A"/>
    <w:rsid w:val="00791481"/>
    <w:rsid w:val="00792885"/>
    <w:rsid w:val="00794CAE"/>
    <w:rsid w:val="00794F59"/>
    <w:rsid w:val="00795947"/>
    <w:rsid w:val="00795E03"/>
    <w:rsid w:val="007964DB"/>
    <w:rsid w:val="007965DD"/>
    <w:rsid w:val="00796CA9"/>
    <w:rsid w:val="007972B5"/>
    <w:rsid w:val="00797AC1"/>
    <w:rsid w:val="00797E69"/>
    <w:rsid w:val="007A0D7F"/>
    <w:rsid w:val="007A0EC6"/>
    <w:rsid w:val="007A16E5"/>
    <w:rsid w:val="007A232D"/>
    <w:rsid w:val="007A3930"/>
    <w:rsid w:val="007A3A60"/>
    <w:rsid w:val="007A3C5F"/>
    <w:rsid w:val="007A6DC4"/>
    <w:rsid w:val="007A738D"/>
    <w:rsid w:val="007B1AE2"/>
    <w:rsid w:val="007B1E3D"/>
    <w:rsid w:val="007B4546"/>
    <w:rsid w:val="007B4923"/>
    <w:rsid w:val="007B61F4"/>
    <w:rsid w:val="007B7096"/>
    <w:rsid w:val="007C1C83"/>
    <w:rsid w:val="007C2E73"/>
    <w:rsid w:val="007C32F0"/>
    <w:rsid w:val="007C3872"/>
    <w:rsid w:val="007C4C75"/>
    <w:rsid w:val="007C6540"/>
    <w:rsid w:val="007C6F40"/>
    <w:rsid w:val="007C775F"/>
    <w:rsid w:val="007D0060"/>
    <w:rsid w:val="007D13E8"/>
    <w:rsid w:val="007D14B2"/>
    <w:rsid w:val="007D162A"/>
    <w:rsid w:val="007D34AE"/>
    <w:rsid w:val="007D35DE"/>
    <w:rsid w:val="007D38AB"/>
    <w:rsid w:val="007D5D32"/>
    <w:rsid w:val="007D7C66"/>
    <w:rsid w:val="007E0B55"/>
    <w:rsid w:val="007E0FBF"/>
    <w:rsid w:val="007E1ED5"/>
    <w:rsid w:val="007E3442"/>
    <w:rsid w:val="007E3EE5"/>
    <w:rsid w:val="007E6906"/>
    <w:rsid w:val="007E6DAD"/>
    <w:rsid w:val="007E7D1B"/>
    <w:rsid w:val="007F2CBD"/>
    <w:rsid w:val="007F46D4"/>
    <w:rsid w:val="007F4991"/>
    <w:rsid w:val="007F5E02"/>
    <w:rsid w:val="007F678E"/>
    <w:rsid w:val="00800662"/>
    <w:rsid w:val="00800B5F"/>
    <w:rsid w:val="00801514"/>
    <w:rsid w:val="00802F3F"/>
    <w:rsid w:val="00803242"/>
    <w:rsid w:val="008049A7"/>
    <w:rsid w:val="00804B5E"/>
    <w:rsid w:val="00804F63"/>
    <w:rsid w:val="0080524D"/>
    <w:rsid w:val="00805BD5"/>
    <w:rsid w:val="008064E2"/>
    <w:rsid w:val="008069F5"/>
    <w:rsid w:val="00806C0F"/>
    <w:rsid w:val="0080780A"/>
    <w:rsid w:val="00807878"/>
    <w:rsid w:val="00810A8F"/>
    <w:rsid w:val="008146DA"/>
    <w:rsid w:val="00814FA0"/>
    <w:rsid w:val="008202B4"/>
    <w:rsid w:val="0082054E"/>
    <w:rsid w:val="00824BEF"/>
    <w:rsid w:val="00824E6E"/>
    <w:rsid w:val="00825B4D"/>
    <w:rsid w:val="00827E22"/>
    <w:rsid w:val="008304EA"/>
    <w:rsid w:val="008311FF"/>
    <w:rsid w:val="008317E6"/>
    <w:rsid w:val="0083244F"/>
    <w:rsid w:val="00834A23"/>
    <w:rsid w:val="00840259"/>
    <w:rsid w:val="00840D81"/>
    <w:rsid w:val="00841A9F"/>
    <w:rsid w:val="00843427"/>
    <w:rsid w:val="00844B78"/>
    <w:rsid w:val="00845553"/>
    <w:rsid w:val="008503EC"/>
    <w:rsid w:val="0085059A"/>
    <w:rsid w:val="00851A49"/>
    <w:rsid w:val="00853F24"/>
    <w:rsid w:val="00854A65"/>
    <w:rsid w:val="0085557E"/>
    <w:rsid w:val="008557EF"/>
    <w:rsid w:val="00855813"/>
    <w:rsid w:val="0085589A"/>
    <w:rsid w:val="00856750"/>
    <w:rsid w:val="00856A55"/>
    <w:rsid w:val="0085712E"/>
    <w:rsid w:val="0085766A"/>
    <w:rsid w:val="00857D7C"/>
    <w:rsid w:val="008613CC"/>
    <w:rsid w:val="00861FF4"/>
    <w:rsid w:val="0086407F"/>
    <w:rsid w:val="00864386"/>
    <w:rsid w:val="00864441"/>
    <w:rsid w:val="0086553B"/>
    <w:rsid w:val="008658E5"/>
    <w:rsid w:val="00865CBB"/>
    <w:rsid w:val="0087100B"/>
    <w:rsid w:val="00871955"/>
    <w:rsid w:val="00872F88"/>
    <w:rsid w:val="00873023"/>
    <w:rsid w:val="00873AB7"/>
    <w:rsid w:val="00875AA6"/>
    <w:rsid w:val="00876BE3"/>
    <w:rsid w:val="008775D1"/>
    <w:rsid w:val="0088033C"/>
    <w:rsid w:val="0088069B"/>
    <w:rsid w:val="00881C28"/>
    <w:rsid w:val="0088203E"/>
    <w:rsid w:val="00882229"/>
    <w:rsid w:val="00883834"/>
    <w:rsid w:val="008840E6"/>
    <w:rsid w:val="008844C3"/>
    <w:rsid w:val="008846F2"/>
    <w:rsid w:val="0088588D"/>
    <w:rsid w:val="00887695"/>
    <w:rsid w:val="00887F35"/>
    <w:rsid w:val="008902CC"/>
    <w:rsid w:val="008906E3"/>
    <w:rsid w:val="008919F3"/>
    <w:rsid w:val="00891AC2"/>
    <w:rsid w:val="008922F0"/>
    <w:rsid w:val="00892576"/>
    <w:rsid w:val="00893BFC"/>
    <w:rsid w:val="00893EEB"/>
    <w:rsid w:val="008941BF"/>
    <w:rsid w:val="008945A6"/>
    <w:rsid w:val="0089497F"/>
    <w:rsid w:val="00894C7A"/>
    <w:rsid w:val="00897209"/>
    <w:rsid w:val="00897E7D"/>
    <w:rsid w:val="008A1404"/>
    <w:rsid w:val="008A301D"/>
    <w:rsid w:val="008A344B"/>
    <w:rsid w:val="008A401A"/>
    <w:rsid w:val="008A5E05"/>
    <w:rsid w:val="008A7622"/>
    <w:rsid w:val="008A7EAA"/>
    <w:rsid w:val="008B0234"/>
    <w:rsid w:val="008B163C"/>
    <w:rsid w:val="008B23C5"/>
    <w:rsid w:val="008B267E"/>
    <w:rsid w:val="008B335D"/>
    <w:rsid w:val="008B45E4"/>
    <w:rsid w:val="008B54C5"/>
    <w:rsid w:val="008B584B"/>
    <w:rsid w:val="008B6732"/>
    <w:rsid w:val="008B75E0"/>
    <w:rsid w:val="008B7E4C"/>
    <w:rsid w:val="008C099A"/>
    <w:rsid w:val="008C0DD2"/>
    <w:rsid w:val="008C18DC"/>
    <w:rsid w:val="008C19D4"/>
    <w:rsid w:val="008C37E1"/>
    <w:rsid w:val="008C3DF3"/>
    <w:rsid w:val="008C58E1"/>
    <w:rsid w:val="008C6448"/>
    <w:rsid w:val="008C6FE6"/>
    <w:rsid w:val="008C71A9"/>
    <w:rsid w:val="008D0725"/>
    <w:rsid w:val="008D2AAA"/>
    <w:rsid w:val="008D3A27"/>
    <w:rsid w:val="008D3C25"/>
    <w:rsid w:val="008D3C38"/>
    <w:rsid w:val="008D3CC1"/>
    <w:rsid w:val="008D49D5"/>
    <w:rsid w:val="008D59E3"/>
    <w:rsid w:val="008D5DAA"/>
    <w:rsid w:val="008D7140"/>
    <w:rsid w:val="008D7877"/>
    <w:rsid w:val="008E1525"/>
    <w:rsid w:val="008E1EBD"/>
    <w:rsid w:val="008E2169"/>
    <w:rsid w:val="008E2E60"/>
    <w:rsid w:val="008E543B"/>
    <w:rsid w:val="008E5E5A"/>
    <w:rsid w:val="008E7BB4"/>
    <w:rsid w:val="008F1206"/>
    <w:rsid w:val="008F1716"/>
    <w:rsid w:val="008F2291"/>
    <w:rsid w:val="008F3B2F"/>
    <w:rsid w:val="008F48D0"/>
    <w:rsid w:val="008F7F8B"/>
    <w:rsid w:val="009005DD"/>
    <w:rsid w:val="00901D35"/>
    <w:rsid w:val="00902BF0"/>
    <w:rsid w:val="00902F2A"/>
    <w:rsid w:val="00904D8D"/>
    <w:rsid w:val="00904E4A"/>
    <w:rsid w:val="00905149"/>
    <w:rsid w:val="00907772"/>
    <w:rsid w:val="00910F6D"/>
    <w:rsid w:val="0091108B"/>
    <w:rsid w:val="009113FA"/>
    <w:rsid w:val="009137B0"/>
    <w:rsid w:val="00914073"/>
    <w:rsid w:val="00915656"/>
    <w:rsid w:val="0091568A"/>
    <w:rsid w:val="00915AD2"/>
    <w:rsid w:val="0091659B"/>
    <w:rsid w:val="0091684F"/>
    <w:rsid w:val="00917213"/>
    <w:rsid w:val="00917318"/>
    <w:rsid w:val="00917FDB"/>
    <w:rsid w:val="0092073C"/>
    <w:rsid w:val="009209DD"/>
    <w:rsid w:val="00920CA6"/>
    <w:rsid w:val="00920EF1"/>
    <w:rsid w:val="00920FAA"/>
    <w:rsid w:val="0092127C"/>
    <w:rsid w:val="00922F3F"/>
    <w:rsid w:val="009246F4"/>
    <w:rsid w:val="0092473D"/>
    <w:rsid w:val="00924A3C"/>
    <w:rsid w:val="00924B55"/>
    <w:rsid w:val="00925C34"/>
    <w:rsid w:val="009261A4"/>
    <w:rsid w:val="00927E27"/>
    <w:rsid w:val="0093137D"/>
    <w:rsid w:val="009327F2"/>
    <w:rsid w:val="00932E92"/>
    <w:rsid w:val="00935888"/>
    <w:rsid w:val="00935D7B"/>
    <w:rsid w:val="00936F86"/>
    <w:rsid w:val="009403D0"/>
    <w:rsid w:val="00941114"/>
    <w:rsid w:val="009420E7"/>
    <w:rsid w:val="00943344"/>
    <w:rsid w:val="00943EF3"/>
    <w:rsid w:val="009441E8"/>
    <w:rsid w:val="009449E7"/>
    <w:rsid w:val="00944DB3"/>
    <w:rsid w:val="0094532A"/>
    <w:rsid w:val="00945FB6"/>
    <w:rsid w:val="0094663B"/>
    <w:rsid w:val="00946714"/>
    <w:rsid w:val="00946DE5"/>
    <w:rsid w:val="009472C8"/>
    <w:rsid w:val="00947C5D"/>
    <w:rsid w:val="00950698"/>
    <w:rsid w:val="00950C7D"/>
    <w:rsid w:val="00951A54"/>
    <w:rsid w:val="0095265D"/>
    <w:rsid w:val="009526C6"/>
    <w:rsid w:val="00955251"/>
    <w:rsid w:val="00955339"/>
    <w:rsid w:val="0095646A"/>
    <w:rsid w:val="009565A1"/>
    <w:rsid w:val="00956BFF"/>
    <w:rsid w:val="00956E19"/>
    <w:rsid w:val="009572E8"/>
    <w:rsid w:val="00957420"/>
    <w:rsid w:val="00960792"/>
    <w:rsid w:val="00962CA4"/>
    <w:rsid w:val="009632D5"/>
    <w:rsid w:val="00966021"/>
    <w:rsid w:val="00967AFC"/>
    <w:rsid w:val="00971775"/>
    <w:rsid w:val="00972875"/>
    <w:rsid w:val="00975A92"/>
    <w:rsid w:val="00980006"/>
    <w:rsid w:val="0098021C"/>
    <w:rsid w:val="009821DF"/>
    <w:rsid w:val="00982299"/>
    <w:rsid w:val="00982AFA"/>
    <w:rsid w:val="00982F18"/>
    <w:rsid w:val="00983A7B"/>
    <w:rsid w:val="00983B11"/>
    <w:rsid w:val="009843FC"/>
    <w:rsid w:val="009863D2"/>
    <w:rsid w:val="00992C1B"/>
    <w:rsid w:val="00993A6E"/>
    <w:rsid w:val="00993CE9"/>
    <w:rsid w:val="009955F5"/>
    <w:rsid w:val="00995745"/>
    <w:rsid w:val="00995748"/>
    <w:rsid w:val="00997D7C"/>
    <w:rsid w:val="009A0E9E"/>
    <w:rsid w:val="009A123A"/>
    <w:rsid w:val="009A1EA4"/>
    <w:rsid w:val="009A2B57"/>
    <w:rsid w:val="009A2CC1"/>
    <w:rsid w:val="009A32B3"/>
    <w:rsid w:val="009A4595"/>
    <w:rsid w:val="009A4B37"/>
    <w:rsid w:val="009A6EE6"/>
    <w:rsid w:val="009B03B1"/>
    <w:rsid w:val="009B0F20"/>
    <w:rsid w:val="009B12CB"/>
    <w:rsid w:val="009B2609"/>
    <w:rsid w:val="009B2BDE"/>
    <w:rsid w:val="009B54DA"/>
    <w:rsid w:val="009B6848"/>
    <w:rsid w:val="009B76D6"/>
    <w:rsid w:val="009C01B4"/>
    <w:rsid w:val="009C0952"/>
    <w:rsid w:val="009C0E82"/>
    <w:rsid w:val="009C18F1"/>
    <w:rsid w:val="009C46B2"/>
    <w:rsid w:val="009C4E5D"/>
    <w:rsid w:val="009C5A6E"/>
    <w:rsid w:val="009C6154"/>
    <w:rsid w:val="009C73D2"/>
    <w:rsid w:val="009C7A40"/>
    <w:rsid w:val="009C7BC5"/>
    <w:rsid w:val="009D08CC"/>
    <w:rsid w:val="009D093F"/>
    <w:rsid w:val="009D11F9"/>
    <w:rsid w:val="009D29BD"/>
    <w:rsid w:val="009D4681"/>
    <w:rsid w:val="009D59A9"/>
    <w:rsid w:val="009D5B5C"/>
    <w:rsid w:val="009D7DCC"/>
    <w:rsid w:val="009E12C6"/>
    <w:rsid w:val="009E4931"/>
    <w:rsid w:val="009E4DEF"/>
    <w:rsid w:val="009E60E3"/>
    <w:rsid w:val="009E7B7B"/>
    <w:rsid w:val="009F0F3D"/>
    <w:rsid w:val="009F1003"/>
    <w:rsid w:val="009F1FB3"/>
    <w:rsid w:val="009F41CA"/>
    <w:rsid w:val="009F48FB"/>
    <w:rsid w:val="009F517C"/>
    <w:rsid w:val="009F6A84"/>
    <w:rsid w:val="009F7CC5"/>
    <w:rsid w:val="00A01C2A"/>
    <w:rsid w:val="00A025BC"/>
    <w:rsid w:val="00A03785"/>
    <w:rsid w:val="00A057E4"/>
    <w:rsid w:val="00A07B83"/>
    <w:rsid w:val="00A1039A"/>
    <w:rsid w:val="00A10CA2"/>
    <w:rsid w:val="00A11B1B"/>
    <w:rsid w:val="00A11EDF"/>
    <w:rsid w:val="00A14299"/>
    <w:rsid w:val="00A14DF6"/>
    <w:rsid w:val="00A15249"/>
    <w:rsid w:val="00A1545E"/>
    <w:rsid w:val="00A159AA"/>
    <w:rsid w:val="00A207B0"/>
    <w:rsid w:val="00A20EBA"/>
    <w:rsid w:val="00A21B62"/>
    <w:rsid w:val="00A21C3A"/>
    <w:rsid w:val="00A22324"/>
    <w:rsid w:val="00A226BC"/>
    <w:rsid w:val="00A228A7"/>
    <w:rsid w:val="00A233E9"/>
    <w:rsid w:val="00A23607"/>
    <w:rsid w:val="00A27B88"/>
    <w:rsid w:val="00A27E00"/>
    <w:rsid w:val="00A30DF0"/>
    <w:rsid w:val="00A326DF"/>
    <w:rsid w:val="00A345C6"/>
    <w:rsid w:val="00A34E47"/>
    <w:rsid w:val="00A35295"/>
    <w:rsid w:val="00A356EF"/>
    <w:rsid w:val="00A36190"/>
    <w:rsid w:val="00A3675B"/>
    <w:rsid w:val="00A405F0"/>
    <w:rsid w:val="00A4187B"/>
    <w:rsid w:val="00A42CEC"/>
    <w:rsid w:val="00A42E64"/>
    <w:rsid w:val="00A43147"/>
    <w:rsid w:val="00A436C3"/>
    <w:rsid w:val="00A46692"/>
    <w:rsid w:val="00A468F9"/>
    <w:rsid w:val="00A46D6E"/>
    <w:rsid w:val="00A46E6B"/>
    <w:rsid w:val="00A47399"/>
    <w:rsid w:val="00A52215"/>
    <w:rsid w:val="00A52E4B"/>
    <w:rsid w:val="00A53CB7"/>
    <w:rsid w:val="00A55D29"/>
    <w:rsid w:val="00A60DCD"/>
    <w:rsid w:val="00A63976"/>
    <w:rsid w:val="00A64131"/>
    <w:rsid w:val="00A64674"/>
    <w:rsid w:val="00A64C94"/>
    <w:rsid w:val="00A65A8E"/>
    <w:rsid w:val="00A66499"/>
    <w:rsid w:val="00A66569"/>
    <w:rsid w:val="00A675DD"/>
    <w:rsid w:val="00A7038B"/>
    <w:rsid w:val="00A7067A"/>
    <w:rsid w:val="00A72AF1"/>
    <w:rsid w:val="00A73C1B"/>
    <w:rsid w:val="00A759A0"/>
    <w:rsid w:val="00A764FC"/>
    <w:rsid w:val="00A76CC8"/>
    <w:rsid w:val="00A773AC"/>
    <w:rsid w:val="00A7777D"/>
    <w:rsid w:val="00A8058F"/>
    <w:rsid w:val="00A81901"/>
    <w:rsid w:val="00A81BF3"/>
    <w:rsid w:val="00A82364"/>
    <w:rsid w:val="00A83776"/>
    <w:rsid w:val="00A840F0"/>
    <w:rsid w:val="00A84439"/>
    <w:rsid w:val="00A8485F"/>
    <w:rsid w:val="00A854CD"/>
    <w:rsid w:val="00A85900"/>
    <w:rsid w:val="00A85CF6"/>
    <w:rsid w:val="00A85EDF"/>
    <w:rsid w:val="00A862BA"/>
    <w:rsid w:val="00A86648"/>
    <w:rsid w:val="00A86A24"/>
    <w:rsid w:val="00A92B2E"/>
    <w:rsid w:val="00A92C1F"/>
    <w:rsid w:val="00A92F6B"/>
    <w:rsid w:val="00A93CE2"/>
    <w:rsid w:val="00A93DA8"/>
    <w:rsid w:val="00A93F5A"/>
    <w:rsid w:val="00A953D7"/>
    <w:rsid w:val="00A96BD5"/>
    <w:rsid w:val="00A9713D"/>
    <w:rsid w:val="00A9778A"/>
    <w:rsid w:val="00A978C4"/>
    <w:rsid w:val="00AA0313"/>
    <w:rsid w:val="00AA045A"/>
    <w:rsid w:val="00AA1802"/>
    <w:rsid w:val="00AA19EB"/>
    <w:rsid w:val="00AA1BB7"/>
    <w:rsid w:val="00AA21BF"/>
    <w:rsid w:val="00AA4748"/>
    <w:rsid w:val="00AA4C74"/>
    <w:rsid w:val="00AA6256"/>
    <w:rsid w:val="00AA63EE"/>
    <w:rsid w:val="00AA7801"/>
    <w:rsid w:val="00AB0CED"/>
    <w:rsid w:val="00AB6053"/>
    <w:rsid w:val="00AB6612"/>
    <w:rsid w:val="00AC0067"/>
    <w:rsid w:val="00AC0B6E"/>
    <w:rsid w:val="00AC0FA9"/>
    <w:rsid w:val="00AC10AF"/>
    <w:rsid w:val="00AC15F3"/>
    <w:rsid w:val="00AC1C8F"/>
    <w:rsid w:val="00AC2FDB"/>
    <w:rsid w:val="00AC3081"/>
    <w:rsid w:val="00AC3B97"/>
    <w:rsid w:val="00AC3DBE"/>
    <w:rsid w:val="00AC4090"/>
    <w:rsid w:val="00AC54D6"/>
    <w:rsid w:val="00AC677D"/>
    <w:rsid w:val="00AD142D"/>
    <w:rsid w:val="00AD1714"/>
    <w:rsid w:val="00AD1F03"/>
    <w:rsid w:val="00AD3AE9"/>
    <w:rsid w:val="00AD5116"/>
    <w:rsid w:val="00AD5FBE"/>
    <w:rsid w:val="00AD7D9D"/>
    <w:rsid w:val="00AE24C4"/>
    <w:rsid w:val="00AE2FEC"/>
    <w:rsid w:val="00AE34AA"/>
    <w:rsid w:val="00AE4335"/>
    <w:rsid w:val="00AE4FD7"/>
    <w:rsid w:val="00AE5EE3"/>
    <w:rsid w:val="00AE636D"/>
    <w:rsid w:val="00AE7153"/>
    <w:rsid w:val="00AE7FFE"/>
    <w:rsid w:val="00AF2603"/>
    <w:rsid w:val="00AF2E81"/>
    <w:rsid w:val="00AF3257"/>
    <w:rsid w:val="00AF326A"/>
    <w:rsid w:val="00AF32F0"/>
    <w:rsid w:val="00AF3740"/>
    <w:rsid w:val="00AF4D7F"/>
    <w:rsid w:val="00AF7307"/>
    <w:rsid w:val="00AF741F"/>
    <w:rsid w:val="00AF7A6D"/>
    <w:rsid w:val="00B001F4"/>
    <w:rsid w:val="00B0270D"/>
    <w:rsid w:val="00B07302"/>
    <w:rsid w:val="00B0737D"/>
    <w:rsid w:val="00B107C4"/>
    <w:rsid w:val="00B11198"/>
    <w:rsid w:val="00B119AB"/>
    <w:rsid w:val="00B12725"/>
    <w:rsid w:val="00B1280D"/>
    <w:rsid w:val="00B14AC8"/>
    <w:rsid w:val="00B156BE"/>
    <w:rsid w:val="00B20D29"/>
    <w:rsid w:val="00B226A3"/>
    <w:rsid w:val="00B22CB0"/>
    <w:rsid w:val="00B24090"/>
    <w:rsid w:val="00B24F89"/>
    <w:rsid w:val="00B26618"/>
    <w:rsid w:val="00B26E6A"/>
    <w:rsid w:val="00B2720D"/>
    <w:rsid w:val="00B30B98"/>
    <w:rsid w:val="00B30F14"/>
    <w:rsid w:val="00B3289C"/>
    <w:rsid w:val="00B32B00"/>
    <w:rsid w:val="00B331D0"/>
    <w:rsid w:val="00B33825"/>
    <w:rsid w:val="00B34A97"/>
    <w:rsid w:val="00B34F65"/>
    <w:rsid w:val="00B3588C"/>
    <w:rsid w:val="00B35BCE"/>
    <w:rsid w:val="00B368AC"/>
    <w:rsid w:val="00B40BCB"/>
    <w:rsid w:val="00B42751"/>
    <w:rsid w:val="00B428E0"/>
    <w:rsid w:val="00B4392D"/>
    <w:rsid w:val="00B44511"/>
    <w:rsid w:val="00B465C5"/>
    <w:rsid w:val="00B46A99"/>
    <w:rsid w:val="00B50002"/>
    <w:rsid w:val="00B500CA"/>
    <w:rsid w:val="00B503F9"/>
    <w:rsid w:val="00B50B3B"/>
    <w:rsid w:val="00B50DFB"/>
    <w:rsid w:val="00B52171"/>
    <w:rsid w:val="00B5234F"/>
    <w:rsid w:val="00B52813"/>
    <w:rsid w:val="00B52E49"/>
    <w:rsid w:val="00B5492F"/>
    <w:rsid w:val="00B54E50"/>
    <w:rsid w:val="00B558DB"/>
    <w:rsid w:val="00B55CB3"/>
    <w:rsid w:val="00B56631"/>
    <w:rsid w:val="00B5698F"/>
    <w:rsid w:val="00B579BA"/>
    <w:rsid w:val="00B60DEC"/>
    <w:rsid w:val="00B62844"/>
    <w:rsid w:val="00B62C93"/>
    <w:rsid w:val="00B63D4C"/>
    <w:rsid w:val="00B65A1D"/>
    <w:rsid w:val="00B66C62"/>
    <w:rsid w:val="00B66F78"/>
    <w:rsid w:val="00B6709C"/>
    <w:rsid w:val="00B67646"/>
    <w:rsid w:val="00B7003A"/>
    <w:rsid w:val="00B729E0"/>
    <w:rsid w:val="00B7303C"/>
    <w:rsid w:val="00B7310D"/>
    <w:rsid w:val="00B7412D"/>
    <w:rsid w:val="00B80971"/>
    <w:rsid w:val="00B8155F"/>
    <w:rsid w:val="00B8254A"/>
    <w:rsid w:val="00B832AA"/>
    <w:rsid w:val="00B8380C"/>
    <w:rsid w:val="00B83EA4"/>
    <w:rsid w:val="00B84B8B"/>
    <w:rsid w:val="00B84FAD"/>
    <w:rsid w:val="00B84FD3"/>
    <w:rsid w:val="00B85255"/>
    <w:rsid w:val="00B86C98"/>
    <w:rsid w:val="00B87077"/>
    <w:rsid w:val="00B8744A"/>
    <w:rsid w:val="00B90D41"/>
    <w:rsid w:val="00B9127A"/>
    <w:rsid w:val="00B91EA0"/>
    <w:rsid w:val="00B9328E"/>
    <w:rsid w:val="00B93643"/>
    <w:rsid w:val="00B9381D"/>
    <w:rsid w:val="00B93C9F"/>
    <w:rsid w:val="00B93D9C"/>
    <w:rsid w:val="00BA0637"/>
    <w:rsid w:val="00BA111E"/>
    <w:rsid w:val="00BA1B64"/>
    <w:rsid w:val="00BA1BBB"/>
    <w:rsid w:val="00BA275A"/>
    <w:rsid w:val="00BA2835"/>
    <w:rsid w:val="00BA37DC"/>
    <w:rsid w:val="00BA39DB"/>
    <w:rsid w:val="00BA3ADD"/>
    <w:rsid w:val="00BA50DB"/>
    <w:rsid w:val="00BA58C1"/>
    <w:rsid w:val="00BA601C"/>
    <w:rsid w:val="00BA651F"/>
    <w:rsid w:val="00BA6A49"/>
    <w:rsid w:val="00BA6CCC"/>
    <w:rsid w:val="00BA7A8A"/>
    <w:rsid w:val="00BB0062"/>
    <w:rsid w:val="00BB073D"/>
    <w:rsid w:val="00BB0ABD"/>
    <w:rsid w:val="00BB21AA"/>
    <w:rsid w:val="00BB272D"/>
    <w:rsid w:val="00BB322E"/>
    <w:rsid w:val="00BB5260"/>
    <w:rsid w:val="00BC215A"/>
    <w:rsid w:val="00BC262A"/>
    <w:rsid w:val="00BC3426"/>
    <w:rsid w:val="00BC3E2E"/>
    <w:rsid w:val="00BC44CE"/>
    <w:rsid w:val="00BC605B"/>
    <w:rsid w:val="00BC6415"/>
    <w:rsid w:val="00BD1D9E"/>
    <w:rsid w:val="00BD1DAB"/>
    <w:rsid w:val="00BD2AF9"/>
    <w:rsid w:val="00BD2D4E"/>
    <w:rsid w:val="00BD3489"/>
    <w:rsid w:val="00BD43A3"/>
    <w:rsid w:val="00BD57A9"/>
    <w:rsid w:val="00BD7C95"/>
    <w:rsid w:val="00BE1FD0"/>
    <w:rsid w:val="00BE2410"/>
    <w:rsid w:val="00BE332F"/>
    <w:rsid w:val="00BE333E"/>
    <w:rsid w:val="00BE3354"/>
    <w:rsid w:val="00BE5DC3"/>
    <w:rsid w:val="00BF01BE"/>
    <w:rsid w:val="00BF01DB"/>
    <w:rsid w:val="00BF0FD8"/>
    <w:rsid w:val="00BF2D2E"/>
    <w:rsid w:val="00BF481C"/>
    <w:rsid w:val="00BF582F"/>
    <w:rsid w:val="00BF6DC9"/>
    <w:rsid w:val="00BF6E28"/>
    <w:rsid w:val="00BF727F"/>
    <w:rsid w:val="00C00078"/>
    <w:rsid w:val="00C00ABA"/>
    <w:rsid w:val="00C00C4C"/>
    <w:rsid w:val="00C00D13"/>
    <w:rsid w:val="00C01EBE"/>
    <w:rsid w:val="00C039AB"/>
    <w:rsid w:val="00C03BC9"/>
    <w:rsid w:val="00C043A5"/>
    <w:rsid w:val="00C048B7"/>
    <w:rsid w:val="00C057FD"/>
    <w:rsid w:val="00C06193"/>
    <w:rsid w:val="00C06332"/>
    <w:rsid w:val="00C06749"/>
    <w:rsid w:val="00C06EA9"/>
    <w:rsid w:val="00C06EDC"/>
    <w:rsid w:val="00C12EE9"/>
    <w:rsid w:val="00C13F09"/>
    <w:rsid w:val="00C1404E"/>
    <w:rsid w:val="00C15648"/>
    <w:rsid w:val="00C17728"/>
    <w:rsid w:val="00C17B5E"/>
    <w:rsid w:val="00C21382"/>
    <w:rsid w:val="00C21570"/>
    <w:rsid w:val="00C218CB"/>
    <w:rsid w:val="00C22656"/>
    <w:rsid w:val="00C232DD"/>
    <w:rsid w:val="00C245FE"/>
    <w:rsid w:val="00C2630C"/>
    <w:rsid w:val="00C2644E"/>
    <w:rsid w:val="00C30136"/>
    <w:rsid w:val="00C304D5"/>
    <w:rsid w:val="00C3119B"/>
    <w:rsid w:val="00C313E3"/>
    <w:rsid w:val="00C33C18"/>
    <w:rsid w:val="00C33E8C"/>
    <w:rsid w:val="00C342AB"/>
    <w:rsid w:val="00C34DA7"/>
    <w:rsid w:val="00C364C2"/>
    <w:rsid w:val="00C36C83"/>
    <w:rsid w:val="00C36F58"/>
    <w:rsid w:val="00C40926"/>
    <w:rsid w:val="00C421D2"/>
    <w:rsid w:val="00C4253B"/>
    <w:rsid w:val="00C426D9"/>
    <w:rsid w:val="00C431CA"/>
    <w:rsid w:val="00C435F4"/>
    <w:rsid w:val="00C44EEA"/>
    <w:rsid w:val="00C47CDF"/>
    <w:rsid w:val="00C509BE"/>
    <w:rsid w:val="00C51950"/>
    <w:rsid w:val="00C52167"/>
    <w:rsid w:val="00C5224E"/>
    <w:rsid w:val="00C52B0E"/>
    <w:rsid w:val="00C537D6"/>
    <w:rsid w:val="00C5491C"/>
    <w:rsid w:val="00C5548B"/>
    <w:rsid w:val="00C557EC"/>
    <w:rsid w:val="00C55D4F"/>
    <w:rsid w:val="00C5686B"/>
    <w:rsid w:val="00C6018A"/>
    <w:rsid w:val="00C6221A"/>
    <w:rsid w:val="00C622C3"/>
    <w:rsid w:val="00C641D8"/>
    <w:rsid w:val="00C651BF"/>
    <w:rsid w:val="00C66404"/>
    <w:rsid w:val="00C66625"/>
    <w:rsid w:val="00C67BEF"/>
    <w:rsid w:val="00C70302"/>
    <w:rsid w:val="00C71099"/>
    <w:rsid w:val="00C71B86"/>
    <w:rsid w:val="00C73F78"/>
    <w:rsid w:val="00C74C51"/>
    <w:rsid w:val="00C76CA2"/>
    <w:rsid w:val="00C80126"/>
    <w:rsid w:val="00C841B3"/>
    <w:rsid w:val="00C85816"/>
    <w:rsid w:val="00C866A4"/>
    <w:rsid w:val="00C86C4E"/>
    <w:rsid w:val="00C9067D"/>
    <w:rsid w:val="00C94467"/>
    <w:rsid w:val="00C9484B"/>
    <w:rsid w:val="00C94E0B"/>
    <w:rsid w:val="00C96375"/>
    <w:rsid w:val="00C9717A"/>
    <w:rsid w:val="00C97D03"/>
    <w:rsid w:val="00CA0453"/>
    <w:rsid w:val="00CA0D6E"/>
    <w:rsid w:val="00CA1723"/>
    <w:rsid w:val="00CA49E8"/>
    <w:rsid w:val="00CA689B"/>
    <w:rsid w:val="00CB088E"/>
    <w:rsid w:val="00CB1029"/>
    <w:rsid w:val="00CB389B"/>
    <w:rsid w:val="00CB3AB0"/>
    <w:rsid w:val="00CB4195"/>
    <w:rsid w:val="00CB4ACF"/>
    <w:rsid w:val="00CB54D1"/>
    <w:rsid w:val="00CB5513"/>
    <w:rsid w:val="00CB6252"/>
    <w:rsid w:val="00CB6AA8"/>
    <w:rsid w:val="00CB73E5"/>
    <w:rsid w:val="00CB74F3"/>
    <w:rsid w:val="00CC00F8"/>
    <w:rsid w:val="00CC4843"/>
    <w:rsid w:val="00CC4B83"/>
    <w:rsid w:val="00CC5106"/>
    <w:rsid w:val="00CC7CAF"/>
    <w:rsid w:val="00CC7D68"/>
    <w:rsid w:val="00CD0522"/>
    <w:rsid w:val="00CD08D3"/>
    <w:rsid w:val="00CD0AAA"/>
    <w:rsid w:val="00CD0E6D"/>
    <w:rsid w:val="00CD1457"/>
    <w:rsid w:val="00CD1E38"/>
    <w:rsid w:val="00CD1F01"/>
    <w:rsid w:val="00CD2E78"/>
    <w:rsid w:val="00CD3381"/>
    <w:rsid w:val="00CD33B2"/>
    <w:rsid w:val="00CD4E57"/>
    <w:rsid w:val="00CD4F2E"/>
    <w:rsid w:val="00CD5C4C"/>
    <w:rsid w:val="00CD648F"/>
    <w:rsid w:val="00CD64B9"/>
    <w:rsid w:val="00CD65F9"/>
    <w:rsid w:val="00CE059A"/>
    <w:rsid w:val="00CE1487"/>
    <w:rsid w:val="00CE1DAA"/>
    <w:rsid w:val="00CE2E10"/>
    <w:rsid w:val="00CE66F4"/>
    <w:rsid w:val="00CE67F0"/>
    <w:rsid w:val="00CE6ECD"/>
    <w:rsid w:val="00CE7E7A"/>
    <w:rsid w:val="00CF15D1"/>
    <w:rsid w:val="00CF318C"/>
    <w:rsid w:val="00CF3C13"/>
    <w:rsid w:val="00CF5832"/>
    <w:rsid w:val="00D012DF"/>
    <w:rsid w:val="00D02F4D"/>
    <w:rsid w:val="00D052AD"/>
    <w:rsid w:val="00D06089"/>
    <w:rsid w:val="00D06B54"/>
    <w:rsid w:val="00D073D3"/>
    <w:rsid w:val="00D10045"/>
    <w:rsid w:val="00D10046"/>
    <w:rsid w:val="00D113DB"/>
    <w:rsid w:val="00D12ECB"/>
    <w:rsid w:val="00D13BE1"/>
    <w:rsid w:val="00D13F69"/>
    <w:rsid w:val="00D1448D"/>
    <w:rsid w:val="00D16275"/>
    <w:rsid w:val="00D16F0E"/>
    <w:rsid w:val="00D17E5B"/>
    <w:rsid w:val="00D20CB0"/>
    <w:rsid w:val="00D20DBB"/>
    <w:rsid w:val="00D215A8"/>
    <w:rsid w:val="00D22920"/>
    <w:rsid w:val="00D229AC"/>
    <w:rsid w:val="00D232AA"/>
    <w:rsid w:val="00D236AC"/>
    <w:rsid w:val="00D240F0"/>
    <w:rsid w:val="00D26ADE"/>
    <w:rsid w:val="00D3168C"/>
    <w:rsid w:val="00D3279D"/>
    <w:rsid w:val="00D32B5D"/>
    <w:rsid w:val="00D32BDC"/>
    <w:rsid w:val="00D33701"/>
    <w:rsid w:val="00D33D13"/>
    <w:rsid w:val="00D343D8"/>
    <w:rsid w:val="00D34959"/>
    <w:rsid w:val="00D35A0C"/>
    <w:rsid w:val="00D35D47"/>
    <w:rsid w:val="00D36C30"/>
    <w:rsid w:val="00D377B2"/>
    <w:rsid w:val="00D40352"/>
    <w:rsid w:val="00D40981"/>
    <w:rsid w:val="00D41CEF"/>
    <w:rsid w:val="00D42348"/>
    <w:rsid w:val="00D45835"/>
    <w:rsid w:val="00D47316"/>
    <w:rsid w:val="00D47487"/>
    <w:rsid w:val="00D50428"/>
    <w:rsid w:val="00D5213D"/>
    <w:rsid w:val="00D52B6F"/>
    <w:rsid w:val="00D52D78"/>
    <w:rsid w:val="00D542AE"/>
    <w:rsid w:val="00D54944"/>
    <w:rsid w:val="00D56BDF"/>
    <w:rsid w:val="00D60FAB"/>
    <w:rsid w:val="00D615D9"/>
    <w:rsid w:val="00D62688"/>
    <w:rsid w:val="00D64324"/>
    <w:rsid w:val="00D6467C"/>
    <w:rsid w:val="00D6482A"/>
    <w:rsid w:val="00D64841"/>
    <w:rsid w:val="00D64C39"/>
    <w:rsid w:val="00D6516B"/>
    <w:rsid w:val="00D65795"/>
    <w:rsid w:val="00D65C37"/>
    <w:rsid w:val="00D65F94"/>
    <w:rsid w:val="00D67AC8"/>
    <w:rsid w:val="00D67D55"/>
    <w:rsid w:val="00D73862"/>
    <w:rsid w:val="00D73A35"/>
    <w:rsid w:val="00D77D81"/>
    <w:rsid w:val="00D802EB"/>
    <w:rsid w:val="00D809DE"/>
    <w:rsid w:val="00D82104"/>
    <w:rsid w:val="00D828D0"/>
    <w:rsid w:val="00D82A0E"/>
    <w:rsid w:val="00D833CA"/>
    <w:rsid w:val="00D84037"/>
    <w:rsid w:val="00D843A5"/>
    <w:rsid w:val="00D86660"/>
    <w:rsid w:val="00D87393"/>
    <w:rsid w:val="00D875B5"/>
    <w:rsid w:val="00D87FB0"/>
    <w:rsid w:val="00D90685"/>
    <w:rsid w:val="00D90E9F"/>
    <w:rsid w:val="00D90F77"/>
    <w:rsid w:val="00D91A34"/>
    <w:rsid w:val="00D92B02"/>
    <w:rsid w:val="00D93A6E"/>
    <w:rsid w:val="00D966D3"/>
    <w:rsid w:val="00D96C0A"/>
    <w:rsid w:val="00D97066"/>
    <w:rsid w:val="00D9767C"/>
    <w:rsid w:val="00D97B27"/>
    <w:rsid w:val="00DA0745"/>
    <w:rsid w:val="00DA0B03"/>
    <w:rsid w:val="00DA1032"/>
    <w:rsid w:val="00DA119E"/>
    <w:rsid w:val="00DA201F"/>
    <w:rsid w:val="00DA2D9F"/>
    <w:rsid w:val="00DA3A33"/>
    <w:rsid w:val="00DA45ED"/>
    <w:rsid w:val="00DA4D50"/>
    <w:rsid w:val="00DA5EA2"/>
    <w:rsid w:val="00DA6335"/>
    <w:rsid w:val="00DA66D8"/>
    <w:rsid w:val="00DB086F"/>
    <w:rsid w:val="00DB0C5F"/>
    <w:rsid w:val="00DB11D0"/>
    <w:rsid w:val="00DB122A"/>
    <w:rsid w:val="00DB1903"/>
    <w:rsid w:val="00DB35A5"/>
    <w:rsid w:val="00DB4310"/>
    <w:rsid w:val="00DB4B61"/>
    <w:rsid w:val="00DB5A31"/>
    <w:rsid w:val="00DB5D71"/>
    <w:rsid w:val="00DB6D4C"/>
    <w:rsid w:val="00DB77B8"/>
    <w:rsid w:val="00DC0131"/>
    <w:rsid w:val="00DC2B83"/>
    <w:rsid w:val="00DC323D"/>
    <w:rsid w:val="00DC3481"/>
    <w:rsid w:val="00DC390C"/>
    <w:rsid w:val="00DC493A"/>
    <w:rsid w:val="00DC62C0"/>
    <w:rsid w:val="00DC6E1B"/>
    <w:rsid w:val="00DD04D1"/>
    <w:rsid w:val="00DD0F54"/>
    <w:rsid w:val="00DD11E3"/>
    <w:rsid w:val="00DD12D9"/>
    <w:rsid w:val="00DD21D3"/>
    <w:rsid w:val="00DD322B"/>
    <w:rsid w:val="00DD3446"/>
    <w:rsid w:val="00DD3C5C"/>
    <w:rsid w:val="00DD3EFF"/>
    <w:rsid w:val="00DD4277"/>
    <w:rsid w:val="00DD4360"/>
    <w:rsid w:val="00DD579B"/>
    <w:rsid w:val="00DD5A85"/>
    <w:rsid w:val="00DD5BD3"/>
    <w:rsid w:val="00DD7B0D"/>
    <w:rsid w:val="00DD7B97"/>
    <w:rsid w:val="00DD7BAB"/>
    <w:rsid w:val="00DD7C47"/>
    <w:rsid w:val="00DE0567"/>
    <w:rsid w:val="00DE0CDB"/>
    <w:rsid w:val="00DE2148"/>
    <w:rsid w:val="00DE2B74"/>
    <w:rsid w:val="00DE360D"/>
    <w:rsid w:val="00DE3746"/>
    <w:rsid w:val="00DE44F0"/>
    <w:rsid w:val="00DE78CF"/>
    <w:rsid w:val="00DF025E"/>
    <w:rsid w:val="00DF0C2E"/>
    <w:rsid w:val="00DF1006"/>
    <w:rsid w:val="00DF3642"/>
    <w:rsid w:val="00DF4BFA"/>
    <w:rsid w:val="00E001C9"/>
    <w:rsid w:val="00E00A54"/>
    <w:rsid w:val="00E01907"/>
    <w:rsid w:val="00E0364F"/>
    <w:rsid w:val="00E05E80"/>
    <w:rsid w:val="00E07EC4"/>
    <w:rsid w:val="00E1179B"/>
    <w:rsid w:val="00E123DC"/>
    <w:rsid w:val="00E12C98"/>
    <w:rsid w:val="00E134B2"/>
    <w:rsid w:val="00E136F6"/>
    <w:rsid w:val="00E15B98"/>
    <w:rsid w:val="00E1665C"/>
    <w:rsid w:val="00E17A57"/>
    <w:rsid w:val="00E20793"/>
    <w:rsid w:val="00E20B8E"/>
    <w:rsid w:val="00E22414"/>
    <w:rsid w:val="00E2268F"/>
    <w:rsid w:val="00E22734"/>
    <w:rsid w:val="00E23736"/>
    <w:rsid w:val="00E24049"/>
    <w:rsid w:val="00E24199"/>
    <w:rsid w:val="00E253CF"/>
    <w:rsid w:val="00E25B53"/>
    <w:rsid w:val="00E2656E"/>
    <w:rsid w:val="00E2694D"/>
    <w:rsid w:val="00E27DC5"/>
    <w:rsid w:val="00E30B69"/>
    <w:rsid w:val="00E32E54"/>
    <w:rsid w:val="00E33372"/>
    <w:rsid w:val="00E33919"/>
    <w:rsid w:val="00E34521"/>
    <w:rsid w:val="00E34ADA"/>
    <w:rsid w:val="00E34DCF"/>
    <w:rsid w:val="00E361C7"/>
    <w:rsid w:val="00E36354"/>
    <w:rsid w:val="00E37203"/>
    <w:rsid w:val="00E37ADB"/>
    <w:rsid w:val="00E402A9"/>
    <w:rsid w:val="00E40EC3"/>
    <w:rsid w:val="00E40F2D"/>
    <w:rsid w:val="00E41A11"/>
    <w:rsid w:val="00E43931"/>
    <w:rsid w:val="00E44B96"/>
    <w:rsid w:val="00E45197"/>
    <w:rsid w:val="00E45532"/>
    <w:rsid w:val="00E477B1"/>
    <w:rsid w:val="00E500B7"/>
    <w:rsid w:val="00E51214"/>
    <w:rsid w:val="00E51554"/>
    <w:rsid w:val="00E51C53"/>
    <w:rsid w:val="00E5215A"/>
    <w:rsid w:val="00E5296E"/>
    <w:rsid w:val="00E545A2"/>
    <w:rsid w:val="00E55CD7"/>
    <w:rsid w:val="00E55E8B"/>
    <w:rsid w:val="00E57F4C"/>
    <w:rsid w:val="00E60B3F"/>
    <w:rsid w:val="00E61ED6"/>
    <w:rsid w:val="00E652A7"/>
    <w:rsid w:val="00E65855"/>
    <w:rsid w:val="00E6588F"/>
    <w:rsid w:val="00E65ABE"/>
    <w:rsid w:val="00E66C4E"/>
    <w:rsid w:val="00E66E38"/>
    <w:rsid w:val="00E67989"/>
    <w:rsid w:val="00E700D7"/>
    <w:rsid w:val="00E70381"/>
    <w:rsid w:val="00E7048B"/>
    <w:rsid w:val="00E718F2"/>
    <w:rsid w:val="00E7208D"/>
    <w:rsid w:val="00E723A3"/>
    <w:rsid w:val="00E7359D"/>
    <w:rsid w:val="00E77C30"/>
    <w:rsid w:val="00E77F30"/>
    <w:rsid w:val="00E81FD6"/>
    <w:rsid w:val="00E83B73"/>
    <w:rsid w:val="00E84D48"/>
    <w:rsid w:val="00E86679"/>
    <w:rsid w:val="00E902D1"/>
    <w:rsid w:val="00E904F5"/>
    <w:rsid w:val="00E91E46"/>
    <w:rsid w:val="00E93510"/>
    <w:rsid w:val="00E93D68"/>
    <w:rsid w:val="00E93DE1"/>
    <w:rsid w:val="00E96239"/>
    <w:rsid w:val="00E97837"/>
    <w:rsid w:val="00E978A2"/>
    <w:rsid w:val="00EA1172"/>
    <w:rsid w:val="00EA135D"/>
    <w:rsid w:val="00EA13FA"/>
    <w:rsid w:val="00EA1534"/>
    <w:rsid w:val="00EA3013"/>
    <w:rsid w:val="00EA31A5"/>
    <w:rsid w:val="00EA34B0"/>
    <w:rsid w:val="00EA3B00"/>
    <w:rsid w:val="00EA414C"/>
    <w:rsid w:val="00EA438F"/>
    <w:rsid w:val="00EA4EF9"/>
    <w:rsid w:val="00EA6B1B"/>
    <w:rsid w:val="00EA6EBA"/>
    <w:rsid w:val="00EA73A6"/>
    <w:rsid w:val="00EA76CB"/>
    <w:rsid w:val="00EB0530"/>
    <w:rsid w:val="00EB07E3"/>
    <w:rsid w:val="00EB1020"/>
    <w:rsid w:val="00EB21F3"/>
    <w:rsid w:val="00EB5056"/>
    <w:rsid w:val="00EB53B4"/>
    <w:rsid w:val="00EB6D4F"/>
    <w:rsid w:val="00EC0C5A"/>
    <w:rsid w:val="00EC0FD1"/>
    <w:rsid w:val="00EC31BA"/>
    <w:rsid w:val="00EC4C97"/>
    <w:rsid w:val="00EC55D6"/>
    <w:rsid w:val="00EC5812"/>
    <w:rsid w:val="00EC6151"/>
    <w:rsid w:val="00EC6DC9"/>
    <w:rsid w:val="00EC7DBA"/>
    <w:rsid w:val="00ED10A3"/>
    <w:rsid w:val="00ED1A00"/>
    <w:rsid w:val="00ED316E"/>
    <w:rsid w:val="00ED4030"/>
    <w:rsid w:val="00ED5704"/>
    <w:rsid w:val="00ED6A74"/>
    <w:rsid w:val="00EE01EC"/>
    <w:rsid w:val="00EE0DE6"/>
    <w:rsid w:val="00EE1BBF"/>
    <w:rsid w:val="00EE39BE"/>
    <w:rsid w:val="00EE3FBF"/>
    <w:rsid w:val="00EE5AF4"/>
    <w:rsid w:val="00EE5CAF"/>
    <w:rsid w:val="00EE64AA"/>
    <w:rsid w:val="00EE65A5"/>
    <w:rsid w:val="00EE7C3F"/>
    <w:rsid w:val="00EE7E93"/>
    <w:rsid w:val="00EF14BA"/>
    <w:rsid w:val="00EF258C"/>
    <w:rsid w:val="00EF34EA"/>
    <w:rsid w:val="00EF397C"/>
    <w:rsid w:val="00EF39D0"/>
    <w:rsid w:val="00EF3DB7"/>
    <w:rsid w:val="00EF3F74"/>
    <w:rsid w:val="00EF47FA"/>
    <w:rsid w:val="00EF4B3C"/>
    <w:rsid w:val="00EF6029"/>
    <w:rsid w:val="00EF6572"/>
    <w:rsid w:val="00EF6ABE"/>
    <w:rsid w:val="00EF742B"/>
    <w:rsid w:val="00EF75A4"/>
    <w:rsid w:val="00F026CE"/>
    <w:rsid w:val="00F05D9A"/>
    <w:rsid w:val="00F06093"/>
    <w:rsid w:val="00F07225"/>
    <w:rsid w:val="00F11107"/>
    <w:rsid w:val="00F114E9"/>
    <w:rsid w:val="00F11938"/>
    <w:rsid w:val="00F12403"/>
    <w:rsid w:val="00F125E6"/>
    <w:rsid w:val="00F12A2A"/>
    <w:rsid w:val="00F1437A"/>
    <w:rsid w:val="00F144ED"/>
    <w:rsid w:val="00F162F8"/>
    <w:rsid w:val="00F17E31"/>
    <w:rsid w:val="00F20985"/>
    <w:rsid w:val="00F218B7"/>
    <w:rsid w:val="00F21F5C"/>
    <w:rsid w:val="00F21FF7"/>
    <w:rsid w:val="00F23067"/>
    <w:rsid w:val="00F249FB"/>
    <w:rsid w:val="00F24AF0"/>
    <w:rsid w:val="00F24F78"/>
    <w:rsid w:val="00F25A60"/>
    <w:rsid w:val="00F271F8"/>
    <w:rsid w:val="00F27475"/>
    <w:rsid w:val="00F27CE9"/>
    <w:rsid w:val="00F27F4D"/>
    <w:rsid w:val="00F30B01"/>
    <w:rsid w:val="00F32252"/>
    <w:rsid w:val="00F32513"/>
    <w:rsid w:val="00F32FC6"/>
    <w:rsid w:val="00F3305D"/>
    <w:rsid w:val="00F34043"/>
    <w:rsid w:val="00F344B1"/>
    <w:rsid w:val="00F367A7"/>
    <w:rsid w:val="00F41A97"/>
    <w:rsid w:val="00F41F3B"/>
    <w:rsid w:val="00F42DB3"/>
    <w:rsid w:val="00F435CC"/>
    <w:rsid w:val="00F45586"/>
    <w:rsid w:val="00F46E40"/>
    <w:rsid w:val="00F472C7"/>
    <w:rsid w:val="00F47B05"/>
    <w:rsid w:val="00F51A5B"/>
    <w:rsid w:val="00F5244B"/>
    <w:rsid w:val="00F54A19"/>
    <w:rsid w:val="00F55AF2"/>
    <w:rsid w:val="00F5712B"/>
    <w:rsid w:val="00F601DE"/>
    <w:rsid w:val="00F60913"/>
    <w:rsid w:val="00F6141B"/>
    <w:rsid w:val="00F61C20"/>
    <w:rsid w:val="00F62155"/>
    <w:rsid w:val="00F63EF4"/>
    <w:rsid w:val="00F63F97"/>
    <w:rsid w:val="00F644B2"/>
    <w:rsid w:val="00F64900"/>
    <w:rsid w:val="00F6600D"/>
    <w:rsid w:val="00F668B0"/>
    <w:rsid w:val="00F7162D"/>
    <w:rsid w:val="00F7167D"/>
    <w:rsid w:val="00F717A1"/>
    <w:rsid w:val="00F72F5C"/>
    <w:rsid w:val="00F74250"/>
    <w:rsid w:val="00F75366"/>
    <w:rsid w:val="00F758D2"/>
    <w:rsid w:val="00F7709D"/>
    <w:rsid w:val="00F7792A"/>
    <w:rsid w:val="00F80B2D"/>
    <w:rsid w:val="00F810F0"/>
    <w:rsid w:val="00F81A6D"/>
    <w:rsid w:val="00F84960"/>
    <w:rsid w:val="00F84D60"/>
    <w:rsid w:val="00F84FD6"/>
    <w:rsid w:val="00F85A4F"/>
    <w:rsid w:val="00F86D78"/>
    <w:rsid w:val="00F87BFB"/>
    <w:rsid w:val="00F9383B"/>
    <w:rsid w:val="00F948E3"/>
    <w:rsid w:val="00F94C36"/>
    <w:rsid w:val="00F95F27"/>
    <w:rsid w:val="00F95F9F"/>
    <w:rsid w:val="00F96151"/>
    <w:rsid w:val="00F96BDC"/>
    <w:rsid w:val="00F96FCE"/>
    <w:rsid w:val="00F9782F"/>
    <w:rsid w:val="00F97E0E"/>
    <w:rsid w:val="00FA3D4E"/>
    <w:rsid w:val="00FA3ECE"/>
    <w:rsid w:val="00FA4567"/>
    <w:rsid w:val="00FA5C90"/>
    <w:rsid w:val="00FB008B"/>
    <w:rsid w:val="00FB19EC"/>
    <w:rsid w:val="00FB356F"/>
    <w:rsid w:val="00FB3B8A"/>
    <w:rsid w:val="00FB40C8"/>
    <w:rsid w:val="00FB42CC"/>
    <w:rsid w:val="00FB4604"/>
    <w:rsid w:val="00FB53D6"/>
    <w:rsid w:val="00FB6922"/>
    <w:rsid w:val="00FB7158"/>
    <w:rsid w:val="00FC04AA"/>
    <w:rsid w:val="00FC0855"/>
    <w:rsid w:val="00FC1559"/>
    <w:rsid w:val="00FC25F2"/>
    <w:rsid w:val="00FC3125"/>
    <w:rsid w:val="00FC35FD"/>
    <w:rsid w:val="00FC4710"/>
    <w:rsid w:val="00FC52ED"/>
    <w:rsid w:val="00FC5DAF"/>
    <w:rsid w:val="00FC63A4"/>
    <w:rsid w:val="00FC74DD"/>
    <w:rsid w:val="00FC7E9D"/>
    <w:rsid w:val="00FD093E"/>
    <w:rsid w:val="00FD09D3"/>
    <w:rsid w:val="00FD174D"/>
    <w:rsid w:val="00FD1DA0"/>
    <w:rsid w:val="00FD3203"/>
    <w:rsid w:val="00FD32CF"/>
    <w:rsid w:val="00FD516B"/>
    <w:rsid w:val="00FD561C"/>
    <w:rsid w:val="00FD5D42"/>
    <w:rsid w:val="00FE0581"/>
    <w:rsid w:val="00FE0ABE"/>
    <w:rsid w:val="00FE0F0B"/>
    <w:rsid w:val="00FE1730"/>
    <w:rsid w:val="00FE244B"/>
    <w:rsid w:val="00FE3A4F"/>
    <w:rsid w:val="00FE66AC"/>
    <w:rsid w:val="00FE6BB9"/>
    <w:rsid w:val="00FE7288"/>
    <w:rsid w:val="00FF07C0"/>
    <w:rsid w:val="00FF171A"/>
    <w:rsid w:val="00FF3294"/>
    <w:rsid w:val="00FF39F9"/>
    <w:rsid w:val="00FF40C8"/>
    <w:rsid w:val="00FF4F0A"/>
    <w:rsid w:val="00FF5579"/>
    <w:rsid w:val="00FF57F9"/>
    <w:rsid w:val="00FF5A2C"/>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84D59A"/>
  <w15:docId w15:val="{8B6E0FD1-5801-421F-8671-AE06FB90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4"/>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3"/>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3"/>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3"/>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3"/>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3"/>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6"/>
      </w:numPr>
      <w:spacing w:after="300"/>
    </w:pPr>
  </w:style>
  <w:style w:type="paragraph" w:customStyle="1" w:styleId="NumBullet2">
    <w:name w:val="~NumBullet2"/>
    <w:basedOn w:val="NumBullet1"/>
    <w:qFormat/>
    <w:rsid w:val="00EE64AA"/>
    <w:pPr>
      <w:numPr>
        <w:numId w:val="0"/>
      </w:numPr>
    </w:pPr>
  </w:style>
  <w:style w:type="paragraph" w:customStyle="1" w:styleId="NumBullet3">
    <w:name w:val="~NumBullet3"/>
    <w:basedOn w:val="NumBullet2"/>
    <w:qFormat/>
    <w:rsid w:val="00EE64AA"/>
    <w:pPr>
      <w:numPr>
        <w:ilvl w:val="2"/>
        <w:numId w:val="6"/>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2"/>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uiPriority w:val="99"/>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character" w:customStyle="1" w:styleId="FootnoteTextChar">
    <w:name w:val="Footnote Text Char"/>
    <w:aliases w:val="~FootnoteText Char"/>
    <w:basedOn w:val="DefaultParagraphFont"/>
    <w:link w:val="FootnoteText"/>
    <w:rsid w:val="00CD33B2"/>
    <w:rPr>
      <w:sz w:val="18"/>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
    <w:basedOn w:val="Normal"/>
    <w:link w:val="ListParagraphChar"/>
    <w:uiPriority w:val="34"/>
    <w:qFormat/>
    <w:rsid w:val="00CD33B2"/>
    <w:pPr>
      <w:spacing w:after="200" w:line="276" w:lineRule="auto"/>
      <w:ind w:left="720"/>
      <w:contextualSpacing/>
    </w:pPr>
    <w:rPr>
      <w:rFonts w:eastAsiaTheme="minorEastAsia" w:cstheme="minorBidi"/>
      <w:color w:val="auto"/>
      <w:sz w:val="22"/>
      <w:szCs w:val="22"/>
      <w:lang w:eastAsia="en-GB"/>
    </w:rPr>
  </w:style>
  <w:style w:type="paragraph" w:styleId="ListBullet">
    <w:name w:val="List Bullet"/>
    <w:basedOn w:val="Normal"/>
    <w:uiPriority w:val="99"/>
    <w:unhideWhenUsed/>
    <w:rsid w:val="00804B5E"/>
    <w:pPr>
      <w:numPr>
        <w:numId w:val="5"/>
      </w:numPr>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3A43C2"/>
    <w:rPr>
      <w:rFonts w:eastAsiaTheme="minorEastAsia" w:cstheme="minorBidi"/>
      <w:color w:val="auto"/>
      <w:sz w:val="22"/>
      <w:szCs w:val="22"/>
      <w:lang w:eastAsia="en-GB"/>
    </w:rPr>
  </w:style>
  <w:style w:type="character" w:customStyle="1" w:styleId="A4">
    <w:name w:val="A4"/>
    <w:uiPriority w:val="99"/>
    <w:rsid w:val="00484829"/>
    <w:rPr>
      <w:rFonts w:cs="ITC Officina Sans Book"/>
      <w:color w:val="000000"/>
      <w:sz w:val="22"/>
      <w:szCs w:val="22"/>
    </w:rPr>
  </w:style>
  <w:style w:type="paragraph" w:customStyle="1" w:styleId="Default">
    <w:name w:val="Default"/>
    <w:rsid w:val="00D36C30"/>
    <w:pPr>
      <w:autoSpaceDE w:val="0"/>
      <w:autoSpaceDN w:val="0"/>
      <w:adjustRightInd w:val="0"/>
      <w:spacing w:after="0" w:line="240" w:lineRule="auto"/>
    </w:pPr>
    <w:rPr>
      <w:rFonts w:ascii="Arial" w:eastAsiaTheme="minorEastAsia" w:hAnsi="Arial"/>
      <w:color w:val="000000"/>
      <w:sz w:val="24"/>
      <w:szCs w:val="24"/>
      <w:lang w:eastAsia="en-GB"/>
    </w:rPr>
  </w:style>
  <w:style w:type="paragraph" w:styleId="PlainText">
    <w:name w:val="Plain Text"/>
    <w:basedOn w:val="Normal"/>
    <w:link w:val="PlainTextChar"/>
    <w:uiPriority w:val="99"/>
    <w:unhideWhenUsed/>
    <w:rsid w:val="00C421D2"/>
    <w:pPr>
      <w:spacing w:line="240" w:lineRule="auto"/>
    </w:pPr>
    <w:rPr>
      <w:rFonts w:ascii="Arial" w:hAnsi="Arial" w:cstheme="minorBidi"/>
      <w:color w:val="auto"/>
      <w:sz w:val="21"/>
      <w:szCs w:val="21"/>
      <w:lang w:eastAsia="en-GB"/>
    </w:rPr>
  </w:style>
  <w:style w:type="character" w:customStyle="1" w:styleId="PlainTextChar">
    <w:name w:val="Plain Text Char"/>
    <w:basedOn w:val="DefaultParagraphFont"/>
    <w:link w:val="PlainText"/>
    <w:uiPriority w:val="99"/>
    <w:rsid w:val="00C421D2"/>
    <w:rPr>
      <w:rFonts w:ascii="Arial" w:hAnsi="Arial" w:cstheme="minorBidi"/>
      <w:color w:val="auto"/>
      <w:sz w:val="21"/>
      <w:szCs w:val="21"/>
      <w:lang w:eastAsia="en-GB"/>
    </w:rPr>
  </w:style>
  <w:style w:type="paragraph" w:customStyle="1" w:styleId="paragraph">
    <w:name w:val="paragraph"/>
    <w:basedOn w:val="Normal"/>
    <w:rsid w:val="00C421D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C421D2"/>
  </w:style>
  <w:style w:type="paragraph" w:customStyle="1" w:styleId="Pa4">
    <w:name w:val="Pa4"/>
    <w:basedOn w:val="Default"/>
    <w:next w:val="Default"/>
    <w:uiPriority w:val="99"/>
    <w:rsid w:val="0094532A"/>
    <w:pPr>
      <w:spacing w:line="241" w:lineRule="atLeast"/>
    </w:pPr>
    <w:rPr>
      <w:rFonts w:ascii="ITC Officina Sans Book" w:eastAsiaTheme="minorHAnsi" w:hAnsi="ITC Officina Sans Book"/>
      <w:color w:val="000000" w:themeColor="text1"/>
      <w:lang w:eastAsia="en-US"/>
    </w:rPr>
  </w:style>
  <w:style w:type="character" w:customStyle="1" w:styleId="A5">
    <w:name w:val="A5"/>
    <w:uiPriority w:val="99"/>
    <w:rsid w:val="0094532A"/>
    <w:rPr>
      <w:rFonts w:cs="ITC Officina Sans Book"/>
      <w:color w:val="000000"/>
      <w:sz w:val="26"/>
      <w:szCs w:val="26"/>
    </w:rPr>
  </w:style>
  <w:style w:type="paragraph" w:customStyle="1" w:styleId="Pa0">
    <w:name w:val="Pa0"/>
    <w:basedOn w:val="Default"/>
    <w:next w:val="Default"/>
    <w:uiPriority w:val="99"/>
    <w:rsid w:val="0094532A"/>
    <w:pPr>
      <w:spacing w:line="241" w:lineRule="atLeast"/>
    </w:pPr>
    <w:rPr>
      <w:rFonts w:ascii="ITC Officina Sans Book" w:eastAsiaTheme="minorHAnsi" w:hAnsi="ITC Officina Sans Book"/>
      <w:color w:val="000000" w:themeColor="text1"/>
      <w:lang w:eastAsia="en-US"/>
    </w:rPr>
  </w:style>
  <w:style w:type="paragraph" w:styleId="EndnoteText">
    <w:name w:val="endnote text"/>
    <w:basedOn w:val="Normal"/>
    <w:link w:val="EndnoteTextChar"/>
    <w:uiPriority w:val="99"/>
    <w:semiHidden/>
    <w:rsid w:val="0041152E"/>
    <w:pPr>
      <w:spacing w:line="240" w:lineRule="auto"/>
    </w:pPr>
  </w:style>
  <w:style w:type="character" w:customStyle="1" w:styleId="EndnoteTextChar">
    <w:name w:val="Endnote Text Char"/>
    <w:basedOn w:val="DefaultParagraphFont"/>
    <w:link w:val="EndnoteText"/>
    <w:uiPriority w:val="99"/>
    <w:semiHidden/>
    <w:rsid w:val="0041152E"/>
  </w:style>
  <w:style w:type="character" w:styleId="EndnoteReference">
    <w:name w:val="endnote reference"/>
    <w:basedOn w:val="DefaultParagraphFont"/>
    <w:uiPriority w:val="99"/>
    <w:semiHidden/>
    <w:rsid w:val="0041152E"/>
    <w:rPr>
      <w:vertAlign w:val="superscript"/>
    </w:rPr>
  </w:style>
  <w:style w:type="character" w:styleId="UnresolvedMention">
    <w:name w:val="Unresolved Mention"/>
    <w:basedOn w:val="DefaultParagraphFont"/>
    <w:uiPriority w:val="99"/>
    <w:semiHidden/>
    <w:unhideWhenUsed/>
    <w:rsid w:val="00E51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789">
      <w:bodyDiv w:val="1"/>
      <w:marLeft w:val="0"/>
      <w:marRight w:val="0"/>
      <w:marTop w:val="0"/>
      <w:marBottom w:val="0"/>
      <w:divBdr>
        <w:top w:val="none" w:sz="0" w:space="0" w:color="auto"/>
        <w:left w:val="none" w:sz="0" w:space="0" w:color="auto"/>
        <w:bottom w:val="none" w:sz="0" w:space="0" w:color="auto"/>
        <w:right w:val="none" w:sz="0" w:space="0" w:color="auto"/>
      </w:divBdr>
    </w:div>
    <w:div w:id="162672908">
      <w:bodyDiv w:val="1"/>
      <w:marLeft w:val="0"/>
      <w:marRight w:val="0"/>
      <w:marTop w:val="0"/>
      <w:marBottom w:val="0"/>
      <w:divBdr>
        <w:top w:val="none" w:sz="0" w:space="0" w:color="auto"/>
        <w:left w:val="none" w:sz="0" w:space="0" w:color="auto"/>
        <w:bottom w:val="none" w:sz="0" w:space="0" w:color="auto"/>
        <w:right w:val="none" w:sz="0" w:space="0" w:color="auto"/>
      </w:divBdr>
    </w:div>
    <w:div w:id="181937726">
      <w:bodyDiv w:val="1"/>
      <w:marLeft w:val="0"/>
      <w:marRight w:val="0"/>
      <w:marTop w:val="0"/>
      <w:marBottom w:val="0"/>
      <w:divBdr>
        <w:top w:val="none" w:sz="0" w:space="0" w:color="auto"/>
        <w:left w:val="none" w:sz="0" w:space="0" w:color="auto"/>
        <w:bottom w:val="none" w:sz="0" w:space="0" w:color="auto"/>
        <w:right w:val="none" w:sz="0" w:space="0" w:color="auto"/>
      </w:divBdr>
      <w:divsChild>
        <w:div w:id="385957866">
          <w:marLeft w:val="547"/>
          <w:marRight w:val="0"/>
          <w:marTop w:val="0"/>
          <w:marBottom w:val="0"/>
          <w:divBdr>
            <w:top w:val="none" w:sz="0" w:space="0" w:color="auto"/>
            <w:left w:val="none" w:sz="0" w:space="0" w:color="auto"/>
            <w:bottom w:val="none" w:sz="0" w:space="0" w:color="auto"/>
            <w:right w:val="none" w:sz="0" w:space="0" w:color="auto"/>
          </w:divBdr>
        </w:div>
        <w:div w:id="1488324641">
          <w:marLeft w:val="547"/>
          <w:marRight w:val="0"/>
          <w:marTop w:val="0"/>
          <w:marBottom w:val="0"/>
          <w:divBdr>
            <w:top w:val="none" w:sz="0" w:space="0" w:color="auto"/>
            <w:left w:val="none" w:sz="0" w:space="0" w:color="auto"/>
            <w:bottom w:val="none" w:sz="0" w:space="0" w:color="auto"/>
            <w:right w:val="none" w:sz="0" w:space="0" w:color="auto"/>
          </w:divBdr>
        </w:div>
        <w:div w:id="1803645374">
          <w:marLeft w:val="547"/>
          <w:marRight w:val="0"/>
          <w:marTop w:val="0"/>
          <w:marBottom w:val="0"/>
          <w:divBdr>
            <w:top w:val="none" w:sz="0" w:space="0" w:color="auto"/>
            <w:left w:val="none" w:sz="0" w:space="0" w:color="auto"/>
            <w:bottom w:val="none" w:sz="0" w:space="0" w:color="auto"/>
            <w:right w:val="none" w:sz="0" w:space="0" w:color="auto"/>
          </w:divBdr>
        </w:div>
        <w:div w:id="1539119653">
          <w:marLeft w:val="547"/>
          <w:marRight w:val="0"/>
          <w:marTop w:val="0"/>
          <w:marBottom w:val="0"/>
          <w:divBdr>
            <w:top w:val="none" w:sz="0" w:space="0" w:color="auto"/>
            <w:left w:val="none" w:sz="0" w:space="0" w:color="auto"/>
            <w:bottom w:val="none" w:sz="0" w:space="0" w:color="auto"/>
            <w:right w:val="none" w:sz="0" w:space="0" w:color="auto"/>
          </w:divBdr>
        </w:div>
        <w:div w:id="1924605912">
          <w:marLeft w:val="547"/>
          <w:marRight w:val="0"/>
          <w:marTop w:val="0"/>
          <w:marBottom w:val="0"/>
          <w:divBdr>
            <w:top w:val="none" w:sz="0" w:space="0" w:color="auto"/>
            <w:left w:val="none" w:sz="0" w:space="0" w:color="auto"/>
            <w:bottom w:val="none" w:sz="0" w:space="0" w:color="auto"/>
            <w:right w:val="none" w:sz="0" w:space="0" w:color="auto"/>
          </w:divBdr>
        </w:div>
      </w:divsChild>
    </w:div>
    <w:div w:id="240989596">
      <w:bodyDiv w:val="1"/>
      <w:marLeft w:val="0"/>
      <w:marRight w:val="0"/>
      <w:marTop w:val="0"/>
      <w:marBottom w:val="0"/>
      <w:divBdr>
        <w:top w:val="none" w:sz="0" w:space="0" w:color="auto"/>
        <w:left w:val="none" w:sz="0" w:space="0" w:color="auto"/>
        <w:bottom w:val="none" w:sz="0" w:space="0" w:color="auto"/>
        <w:right w:val="none" w:sz="0" w:space="0" w:color="auto"/>
      </w:divBdr>
    </w:div>
    <w:div w:id="265163663">
      <w:bodyDiv w:val="1"/>
      <w:marLeft w:val="0"/>
      <w:marRight w:val="0"/>
      <w:marTop w:val="0"/>
      <w:marBottom w:val="0"/>
      <w:divBdr>
        <w:top w:val="none" w:sz="0" w:space="0" w:color="auto"/>
        <w:left w:val="none" w:sz="0" w:space="0" w:color="auto"/>
        <w:bottom w:val="none" w:sz="0" w:space="0" w:color="auto"/>
        <w:right w:val="none" w:sz="0" w:space="0" w:color="auto"/>
      </w:divBdr>
    </w:div>
    <w:div w:id="293025309">
      <w:bodyDiv w:val="1"/>
      <w:marLeft w:val="0"/>
      <w:marRight w:val="0"/>
      <w:marTop w:val="0"/>
      <w:marBottom w:val="0"/>
      <w:divBdr>
        <w:top w:val="none" w:sz="0" w:space="0" w:color="auto"/>
        <w:left w:val="none" w:sz="0" w:space="0" w:color="auto"/>
        <w:bottom w:val="none" w:sz="0" w:space="0" w:color="auto"/>
        <w:right w:val="none" w:sz="0" w:space="0" w:color="auto"/>
      </w:divBdr>
    </w:div>
    <w:div w:id="314919327">
      <w:bodyDiv w:val="1"/>
      <w:marLeft w:val="0"/>
      <w:marRight w:val="0"/>
      <w:marTop w:val="0"/>
      <w:marBottom w:val="0"/>
      <w:divBdr>
        <w:top w:val="none" w:sz="0" w:space="0" w:color="auto"/>
        <w:left w:val="none" w:sz="0" w:space="0" w:color="auto"/>
        <w:bottom w:val="none" w:sz="0" w:space="0" w:color="auto"/>
        <w:right w:val="none" w:sz="0" w:space="0" w:color="auto"/>
      </w:divBdr>
    </w:div>
    <w:div w:id="325717906">
      <w:bodyDiv w:val="1"/>
      <w:marLeft w:val="0"/>
      <w:marRight w:val="0"/>
      <w:marTop w:val="0"/>
      <w:marBottom w:val="0"/>
      <w:divBdr>
        <w:top w:val="none" w:sz="0" w:space="0" w:color="auto"/>
        <w:left w:val="none" w:sz="0" w:space="0" w:color="auto"/>
        <w:bottom w:val="none" w:sz="0" w:space="0" w:color="auto"/>
        <w:right w:val="none" w:sz="0" w:space="0" w:color="auto"/>
      </w:divBdr>
      <w:divsChild>
        <w:div w:id="1421219286">
          <w:marLeft w:val="547"/>
          <w:marRight w:val="0"/>
          <w:marTop w:val="0"/>
          <w:marBottom w:val="0"/>
          <w:divBdr>
            <w:top w:val="none" w:sz="0" w:space="0" w:color="auto"/>
            <w:left w:val="none" w:sz="0" w:space="0" w:color="auto"/>
            <w:bottom w:val="none" w:sz="0" w:space="0" w:color="auto"/>
            <w:right w:val="none" w:sz="0" w:space="0" w:color="auto"/>
          </w:divBdr>
        </w:div>
        <w:div w:id="68503415">
          <w:marLeft w:val="547"/>
          <w:marRight w:val="0"/>
          <w:marTop w:val="0"/>
          <w:marBottom w:val="0"/>
          <w:divBdr>
            <w:top w:val="none" w:sz="0" w:space="0" w:color="auto"/>
            <w:left w:val="none" w:sz="0" w:space="0" w:color="auto"/>
            <w:bottom w:val="none" w:sz="0" w:space="0" w:color="auto"/>
            <w:right w:val="none" w:sz="0" w:space="0" w:color="auto"/>
          </w:divBdr>
        </w:div>
        <w:div w:id="1387605282">
          <w:marLeft w:val="547"/>
          <w:marRight w:val="0"/>
          <w:marTop w:val="0"/>
          <w:marBottom w:val="0"/>
          <w:divBdr>
            <w:top w:val="none" w:sz="0" w:space="0" w:color="auto"/>
            <w:left w:val="none" w:sz="0" w:space="0" w:color="auto"/>
            <w:bottom w:val="none" w:sz="0" w:space="0" w:color="auto"/>
            <w:right w:val="none" w:sz="0" w:space="0" w:color="auto"/>
          </w:divBdr>
        </w:div>
        <w:div w:id="1538814062">
          <w:marLeft w:val="547"/>
          <w:marRight w:val="0"/>
          <w:marTop w:val="0"/>
          <w:marBottom w:val="0"/>
          <w:divBdr>
            <w:top w:val="none" w:sz="0" w:space="0" w:color="auto"/>
            <w:left w:val="none" w:sz="0" w:space="0" w:color="auto"/>
            <w:bottom w:val="none" w:sz="0" w:space="0" w:color="auto"/>
            <w:right w:val="none" w:sz="0" w:space="0" w:color="auto"/>
          </w:divBdr>
        </w:div>
        <w:div w:id="970090827">
          <w:marLeft w:val="547"/>
          <w:marRight w:val="0"/>
          <w:marTop w:val="0"/>
          <w:marBottom w:val="0"/>
          <w:divBdr>
            <w:top w:val="none" w:sz="0" w:space="0" w:color="auto"/>
            <w:left w:val="none" w:sz="0" w:space="0" w:color="auto"/>
            <w:bottom w:val="none" w:sz="0" w:space="0" w:color="auto"/>
            <w:right w:val="none" w:sz="0" w:space="0" w:color="auto"/>
          </w:divBdr>
        </w:div>
      </w:divsChild>
    </w:div>
    <w:div w:id="351342936">
      <w:bodyDiv w:val="1"/>
      <w:marLeft w:val="0"/>
      <w:marRight w:val="0"/>
      <w:marTop w:val="0"/>
      <w:marBottom w:val="0"/>
      <w:divBdr>
        <w:top w:val="none" w:sz="0" w:space="0" w:color="auto"/>
        <w:left w:val="none" w:sz="0" w:space="0" w:color="auto"/>
        <w:bottom w:val="none" w:sz="0" w:space="0" w:color="auto"/>
        <w:right w:val="none" w:sz="0" w:space="0" w:color="auto"/>
      </w:divBdr>
    </w:div>
    <w:div w:id="397047702">
      <w:bodyDiv w:val="1"/>
      <w:marLeft w:val="0"/>
      <w:marRight w:val="0"/>
      <w:marTop w:val="0"/>
      <w:marBottom w:val="0"/>
      <w:divBdr>
        <w:top w:val="none" w:sz="0" w:space="0" w:color="auto"/>
        <w:left w:val="none" w:sz="0" w:space="0" w:color="auto"/>
        <w:bottom w:val="none" w:sz="0" w:space="0" w:color="auto"/>
        <w:right w:val="none" w:sz="0" w:space="0" w:color="auto"/>
      </w:divBdr>
    </w:div>
    <w:div w:id="498547087">
      <w:bodyDiv w:val="1"/>
      <w:marLeft w:val="0"/>
      <w:marRight w:val="0"/>
      <w:marTop w:val="0"/>
      <w:marBottom w:val="0"/>
      <w:divBdr>
        <w:top w:val="none" w:sz="0" w:space="0" w:color="auto"/>
        <w:left w:val="none" w:sz="0" w:space="0" w:color="auto"/>
        <w:bottom w:val="none" w:sz="0" w:space="0" w:color="auto"/>
        <w:right w:val="none" w:sz="0" w:space="0" w:color="auto"/>
      </w:divBdr>
    </w:div>
    <w:div w:id="557279361">
      <w:bodyDiv w:val="1"/>
      <w:marLeft w:val="0"/>
      <w:marRight w:val="0"/>
      <w:marTop w:val="0"/>
      <w:marBottom w:val="0"/>
      <w:divBdr>
        <w:top w:val="none" w:sz="0" w:space="0" w:color="auto"/>
        <w:left w:val="none" w:sz="0" w:space="0" w:color="auto"/>
        <w:bottom w:val="none" w:sz="0" w:space="0" w:color="auto"/>
        <w:right w:val="none" w:sz="0" w:space="0" w:color="auto"/>
      </w:divBdr>
    </w:div>
    <w:div w:id="617953469">
      <w:bodyDiv w:val="1"/>
      <w:marLeft w:val="0"/>
      <w:marRight w:val="0"/>
      <w:marTop w:val="0"/>
      <w:marBottom w:val="0"/>
      <w:divBdr>
        <w:top w:val="none" w:sz="0" w:space="0" w:color="auto"/>
        <w:left w:val="none" w:sz="0" w:space="0" w:color="auto"/>
        <w:bottom w:val="none" w:sz="0" w:space="0" w:color="auto"/>
        <w:right w:val="none" w:sz="0" w:space="0" w:color="auto"/>
      </w:divBdr>
    </w:div>
    <w:div w:id="647247955">
      <w:bodyDiv w:val="1"/>
      <w:marLeft w:val="0"/>
      <w:marRight w:val="0"/>
      <w:marTop w:val="0"/>
      <w:marBottom w:val="0"/>
      <w:divBdr>
        <w:top w:val="none" w:sz="0" w:space="0" w:color="auto"/>
        <w:left w:val="none" w:sz="0" w:space="0" w:color="auto"/>
        <w:bottom w:val="none" w:sz="0" w:space="0" w:color="auto"/>
        <w:right w:val="none" w:sz="0" w:space="0" w:color="auto"/>
      </w:divBdr>
      <w:divsChild>
        <w:div w:id="1815248556">
          <w:marLeft w:val="0"/>
          <w:marRight w:val="0"/>
          <w:marTop w:val="0"/>
          <w:marBottom w:val="480"/>
          <w:divBdr>
            <w:top w:val="none" w:sz="0" w:space="0" w:color="auto"/>
            <w:left w:val="none" w:sz="0" w:space="0" w:color="auto"/>
            <w:bottom w:val="none" w:sz="0" w:space="0" w:color="auto"/>
            <w:right w:val="none" w:sz="0" w:space="0" w:color="auto"/>
          </w:divBdr>
          <w:divsChild>
            <w:div w:id="1769886448">
              <w:marLeft w:val="0"/>
              <w:marRight w:val="0"/>
              <w:marTop w:val="0"/>
              <w:marBottom w:val="0"/>
              <w:divBdr>
                <w:top w:val="none" w:sz="0" w:space="0" w:color="auto"/>
                <w:left w:val="none" w:sz="0" w:space="0" w:color="auto"/>
                <w:bottom w:val="none" w:sz="0" w:space="0" w:color="auto"/>
                <w:right w:val="none" w:sz="0" w:space="0" w:color="auto"/>
              </w:divBdr>
              <w:divsChild>
                <w:div w:id="19898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792">
          <w:marLeft w:val="0"/>
          <w:marRight w:val="0"/>
          <w:marTop w:val="0"/>
          <w:marBottom w:val="480"/>
          <w:divBdr>
            <w:top w:val="none" w:sz="0" w:space="0" w:color="auto"/>
            <w:left w:val="none" w:sz="0" w:space="0" w:color="auto"/>
            <w:bottom w:val="none" w:sz="0" w:space="0" w:color="auto"/>
            <w:right w:val="none" w:sz="0" w:space="0" w:color="auto"/>
          </w:divBdr>
          <w:divsChild>
            <w:div w:id="907224310">
              <w:marLeft w:val="0"/>
              <w:marRight w:val="0"/>
              <w:marTop w:val="0"/>
              <w:marBottom w:val="0"/>
              <w:divBdr>
                <w:top w:val="none" w:sz="0" w:space="0" w:color="auto"/>
                <w:left w:val="none" w:sz="0" w:space="0" w:color="auto"/>
                <w:bottom w:val="none" w:sz="0" w:space="0" w:color="auto"/>
                <w:right w:val="none" w:sz="0" w:space="0" w:color="auto"/>
              </w:divBdr>
              <w:divsChild>
                <w:div w:id="18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59718">
      <w:bodyDiv w:val="1"/>
      <w:marLeft w:val="0"/>
      <w:marRight w:val="0"/>
      <w:marTop w:val="0"/>
      <w:marBottom w:val="0"/>
      <w:divBdr>
        <w:top w:val="none" w:sz="0" w:space="0" w:color="auto"/>
        <w:left w:val="none" w:sz="0" w:space="0" w:color="auto"/>
        <w:bottom w:val="none" w:sz="0" w:space="0" w:color="auto"/>
        <w:right w:val="none" w:sz="0" w:space="0" w:color="auto"/>
      </w:divBdr>
    </w:div>
    <w:div w:id="752704309">
      <w:bodyDiv w:val="1"/>
      <w:marLeft w:val="0"/>
      <w:marRight w:val="0"/>
      <w:marTop w:val="0"/>
      <w:marBottom w:val="0"/>
      <w:divBdr>
        <w:top w:val="none" w:sz="0" w:space="0" w:color="auto"/>
        <w:left w:val="none" w:sz="0" w:space="0" w:color="auto"/>
        <w:bottom w:val="none" w:sz="0" w:space="0" w:color="auto"/>
        <w:right w:val="none" w:sz="0" w:space="0" w:color="auto"/>
      </w:divBdr>
    </w:div>
    <w:div w:id="1015225993">
      <w:bodyDiv w:val="1"/>
      <w:marLeft w:val="0"/>
      <w:marRight w:val="0"/>
      <w:marTop w:val="0"/>
      <w:marBottom w:val="0"/>
      <w:divBdr>
        <w:top w:val="none" w:sz="0" w:space="0" w:color="auto"/>
        <w:left w:val="none" w:sz="0" w:space="0" w:color="auto"/>
        <w:bottom w:val="none" w:sz="0" w:space="0" w:color="auto"/>
        <w:right w:val="none" w:sz="0" w:space="0" w:color="auto"/>
      </w:divBdr>
    </w:div>
    <w:div w:id="1096441935">
      <w:bodyDiv w:val="1"/>
      <w:marLeft w:val="0"/>
      <w:marRight w:val="0"/>
      <w:marTop w:val="0"/>
      <w:marBottom w:val="0"/>
      <w:divBdr>
        <w:top w:val="none" w:sz="0" w:space="0" w:color="auto"/>
        <w:left w:val="none" w:sz="0" w:space="0" w:color="auto"/>
        <w:bottom w:val="none" w:sz="0" w:space="0" w:color="auto"/>
        <w:right w:val="none" w:sz="0" w:space="0" w:color="auto"/>
      </w:divBdr>
    </w:div>
    <w:div w:id="1128012937">
      <w:bodyDiv w:val="1"/>
      <w:marLeft w:val="0"/>
      <w:marRight w:val="0"/>
      <w:marTop w:val="0"/>
      <w:marBottom w:val="0"/>
      <w:divBdr>
        <w:top w:val="none" w:sz="0" w:space="0" w:color="auto"/>
        <w:left w:val="none" w:sz="0" w:space="0" w:color="auto"/>
        <w:bottom w:val="none" w:sz="0" w:space="0" w:color="auto"/>
        <w:right w:val="none" w:sz="0" w:space="0" w:color="auto"/>
      </w:divBdr>
    </w:div>
    <w:div w:id="1153765095">
      <w:bodyDiv w:val="1"/>
      <w:marLeft w:val="0"/>
      <w:marRight w:val="0"/>
      <w:marTop w:val="0"/>
      <w:marBottom w:val="0"/>
      <w:divBdr>
        <w:top w:val="none" w:sz="0" w:space="0" w:color="auto"/>
        <w:left w:val="none" w:sz="0" w:space="0" w:color="auto"/>
        <w:bottom w:val="none" w:sz="0" w:space="0" w:color="auto"/>
        <w:right w:val="none" w:sz="0" w:space="0" w:color="auto"/>
      </w:divBdr>
    </w:div>
    <w:div w:id="1200318747">
      <w:bodyDiv w:val="1"/>
      <w:marLeft w:val="0"/>
      <w:marRight w:val="0"/>
      <w:marTop w:val="0"/>
      <w:marBottom w:val="0"/>
      <w:divBdr>
        <w:top w:val="none" w:sz="0" w:space="0" w:color="auto"/>
        <w:left w:val="none" w:sz="0" w:space="0" w:color="auto"/>
        <w:bottom w:val="none" w:sz="0" w:space="0" w:color="auto"/>
        <w:right w:val="none" w:sz="0" w:space="0" w:color="auto"/>
      </w:divBdr>
    </w:div>
    <w:div w:id="1331063863">
      <w:bodyDiv w:val="1"/>
      <w:marLeft w:val="0"/>
      <w:marRight w:val="0"/>
      <w:marTop w:val="0"/>
      <w:marBottom w:val="0"/>
      <w:divBdr>
        <w:top w:val="none" w:sz="0" w:space="0" w:color="auto"/>
        <w:left w:val="none" w:sz="0" w:space="0" w:color="auto"/>
        <w:bottom w:val="none" w:sz="0" w:space="0" w:color="auto"/>
        <w:right w:val="none" w:sz="0" w:space="0" w:color="auto"/>
      </w:divBdr>
    </w:div>
    <w:div w:id="1428771496">
      <w:bodyDiv w:val="1"/>
      <w:marLeft w:val="0"/>
      <w:marRight w:val="0"/>
      <w:marTop w:val="0"/>
      <w:marBottom w:val="0"/>
      <w:divBdr>
        <w:top w:val="none" w:sz="0" w:space="0" w:color="auto"/>
        <w:left w:val="none" w:sz="0" w:space="0" w:color="auto"/>
        <w:bottom w:val="none" w:sz="0" w:space="0" w:color="auto"/>
        <w:right w:val="none" w:sz="0" w:space="0" w:color="auto"/>
      </w:divBdr>
    </w:div>
    <w:div w:id="1441220573">
      <w:bodyDiv w:val="1"/>
      <w:marLeft w:val="0"/>
      <w:marRight w:val="0"/>
      <w:marTop w:val="0"/>
      <w:marBottom w:val="0"/>
      <w:divBdr>
        <w:top w:val="none" w:sz="0" w:space="0" w:color="auto"/>
        <w:left w:val="none" w:sz="0" w:space="0" w:color="auto"/>
        <w:bottom w:val="none" w:sz="0" w:space="0" w:color="auto"/>
        <w:right w:val="none" w:sz="0" w:space="0" w:color="auto"/>
      </w:divBdr>
    </w:div>
    <w:div w:id="1495298607">
      <w:bodyDiv w:val="1"/>
      <w:marLeft w:val="0"/>
      <w:marRight w:val="0"/>
      <w:marTop w:val="0"/>
      <w:marBottom w:val="0"/>
      <w:divBdr>
        <w:top w:val="none" w:sz="0" w:space="0" w:color="auto"/>
        <w:left w:val="none" w:sz="0" w:space="0" w:color="auto"/>
        <w:bottom w:val="none" w:sz="0" w:space="0" w:color="auto"/>
        <w:right w:val="none" w:sz="0" w:space="0" w:color="auto"/>
      </w:divBdr>
    </w:div>
    <w:div w:id="1551842934">
      <w:bodyDiv w:val="1"/>
      <w:marLeft w:val="0"/>
      <w:marRight w:val="0"/>
      <w:marTop w:val="0"/>
      <w:marBottom w:val="0"/>
      <w:divBdr>
        <w:top w:val="none" w:sz="0" w:space="0" w:color="auto"/>
        <w:left w:val="none" w:sz="0" w:space="0" w:color="auto"/>
        <w:bottom w:val="none" w:sz="0" w:space="0" w:color="auto"/>
        <w:right w:val="none" w:sz="0" w:space="0" w:color="auto"/>
      </w:divBdr>
    </w:div>
    <w:div w:id="1576818614">
      <w:bodyDiv w:val="1"/>
      <w:marLeft w:val="0"/>
      <w:marRight w:val="0"/>
      <w:marTop w:val="0"/>
      <w:marBottom w:val="0"/>
      <w:divBdr>
        <w:top w:val="none" w:sz="0" w:space="0" w:color="auto"/>
        <w:left w:val="none" w:sz="0" w:space="0" w:color="auto"/>
        <w:bottom w:val="none" w:sz="0" w:space="0" w:color="auto"/>
        <w:right w:val="none" w:sz="0" w:space="0" w:color="auto"/>
      </w:divBdr>
      <w:divsChild>
        <w:div w:id="175048250">
          <w:marLeft w:val="0"/>
          <w:marRight w:val="0"/>
          <w:marTop w:val="0"/>
          <w:marBottom w:val="0"/>
          <w:divBdr>
            <w:top w:val="none" w:sz="0" w:space="0" w:color="auto"/>
            <w:left w:val="none" w:sz="0" w:space="0" w:color="auto"/>
            <w:bottom w:val="none" w:sz="0" w:space="0" w:color="auto"/>
            <w:right w:val="none" w:sz="0" w:space="0" w:color="auto"/>
          </w:divBdr>
          <w:divsChild>
            <w:div w:id="1622298246">
              <w:marLeft w:val="0"/>
              <w:marRight w:val="810"/>
              <w:marTop w:val="0"/>
              <w:marBottom w:val="0"/>
              <w:divBdr>
                <w:top w:val="none" w:sz="0" w:space="0" w:color="auto"/>
                <w:left w:val="none" w:sz="0" w:space="0" w:color="auto"/>
                <w:bottom w:val="none" w:sz="0" w:space="0" w:color="auto"/>
                <w:right w:val="none" w:sz="0" w:space="0" w:color="auto"/>
              </w:divBdr>
              <w:divsChild>
                <w:div w:id="1904025481">
                  <w:marLeft w:val="0"/>
                  <w:marRight w:val="0"/>
                  <w:marTop w:val="0"/>
                  <w:marBottom w:val="0"/>
                  <w:divBdr>
                    <w:top w:val="none" w:sz="0" w:space="0" w:color="auto"/>
                    <w:left w:val="none" w:sz="0" w:space="0" w:color="auto"/>
                    <w:bottom w:val="none" w:sz="0" w:space="0" w:color="auto"/>
                    <w:right w:val="none" w:sz="0" w:space="0" w:color="auto"/>
                  </w:divBdr>
                  <w:divsChild>
                    <w:div w:id="1721203490">
                      <w:marLeft w:val="0"/>
                      <w:marRight w:val="0"/>
                      <w:marTop w:val="288"/>
                      <w:marBottom w:val="0"/>
                      <w:divBdr>
                        <w:top w:val="none" w:sz="0" w:space="0" w:color="auto"/>
                        <w:left w:val="none" w:sz="0" w:space="0" w:color="auto"/>
                        <w:bottom w:val="none" w:sz="0" w:space="0" w:color="auto"/>
                        <w:right w:val="none" w:sz="0" w:space="0" w:color="auto"/>
                      </w:divBdr>
                      <w:divsChild>
                        <w:div w:id="668218594">
                          <w:marLeft w:val="-75"/>
                          <w:marRight w:val="-75"/>
                          <w:marTop w:val="0"/>
                          <w:marBottom w:val="0"/>
                          <w:divBdr>
                            <w:top w:val="none" w:sz="0" w:space="0" w:color="auto"/>
                            <w:left w:val="none" w:sz="0" w:space="0" w:color="auto"/>
                            <w:bottom w:val="none" w:sz="0" w:space="0" w:color="auto"/>
                            <w:right w:val="none" w:sz="0" w:space="0" w:color="auto"/>
                          </w:divBdr>
                          <w:divsChild>
                            <w:div w:id="1530027539">
                              <w:marLeft w:val="0"/>
                              <w:marRight w:val="0"/>
                              <w:marTop w:val="0"/>
                              <w:marBottom w:val="0"/>
                              <w:divBdr>
                                <w:top w:val="none" w:sz="0" w:space="0" w:color="auto"/>
                                <w:left w:val="none" w:sz="0" w:space="0" w:color="auto"/>
                                <w:bottom w:val="none" w:sz="0" w:space="0" w:color="auto"/>
                                <w:right w:val="none" w:sz="0" w:space="0" w:color="auto"/>
                              </w:divBdr>
                              <w:divsChild>
                                <w:div w:id="1947494056">
                                  <w:marLeft w:val="-75"/>
                                  <w:marRight w:val="-75"/>
                                  <w:marTop w:val="0"/>
                                  <w:marBottom w:val="0"/>
                                  <w:divBdr>
                                    <w:top w:val="none" w:sz="0" w:space="0" w:color="auto"/>
                                    <w:left w:val="none" w:sz="0" w:space="0" w:color="auto"/>
                                    <w:bottom w:val="none" w:sz="0" w:space="0" w:color="auto"/>
                                    <w:right w:val="none" w:sz="0" w:space="0" w:color="auto"/>
                                  </w:divBdr>
                                  <w:divsChild>
                                    <w:div w:id="2068142730">
                                      <w:marLeft w:val="0"/>
                                      <w:marRight w:val="0"/>
                                      <w:marTop w:val="0"/>
                                      <w:marBottom w:val="0"/>
                                      <w:divBdr>
                                        <w:top w:val="none" w:sz="0" w:space="0" w:color="auto"/>
                                        <w:left w:val="none" w:sz="0" w:space="0" w:color="auto"/>
                                        <w:bottom w:val="none" w:sz="0" w:space="0" w:color="auto"/>
                                        <w:right w:val="none" w:sz="0" w:space="0" w:color="auto"/>
                                      </w:divBdr>
                                      <w:divsChild>
                                        <w:div w:id="948588339">
                                          <w:marLeft w:val="0"/>
                                          <w:marRight w:val="0"/>
                                          <w:marTop w:val="0"/>
                                          <w:marBottom w:val="0"/>
                                          <w:divBdr>
                                            <w:top w:val="none" w:sz="0" w:space="0" w:color="auto"/>
                                            <w:left w:val="none" w:sz="0" w:space="0" w:color="auto"/>
                                            <w:bottom w:val="none" w:sz="0" w:space="0" w:color="auto"/>
                                            <w:right w:val="none" w:sz="0" w:space="0" w:color="auto"/>
                                          </w:divBdr>
                                          <w:divsChild>
                                            <w:div w:id="801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873836">
      <w:bodyDiv w:val="1"/>
      <w:marLeft w:val="0"/>
      <w:marRight w:val="0"/>
      <w:marTop w:val="0"/>
      <w:marBottom w:val="0"/>
      <w:divBdr>
        <w:top w:val="none" w:sz="0" w:space="0" w:color="auto"/>
        <w:left w:val="none" w:sz="0" w:space="0" w:color="auto"/>
        <w:bottom w:val="none" w:sz="0" w:space="0" w:color="auto"/>
        <w:right w:val="none" w:sz="0" w:space="0" w:color="auto"/>
      </w:divBdr>
    </w:div>
    <w:div w:id="1701201574">
      <w:bodyDiv w:val="1"/>
      <w:marLeft w:val="0"/>
      <w:marRight w:val="0"/>
      <w:marTop w:val="0"/>
      <w:marBottom w:val="0"/>
      <w:divBdr>
        <w:top w:val="none" w:sz="0" w:space="0" w:color="auto"/>
        <w:left w:val="none" w:sz="0" w:space="0" w:color="auto"/>
        <w:bottom w:val="none" w:sz="0" w:space="0" w:color="auto"/>
        <w:right w:val="none" w:sz="0" w:space="0" w:color="auto"/>
      </w:divBdr>
    </w:div>
    <w:div w:id="1718361309">
      <w:bodyDiv w:val="1"/>
      <w:marLeft w:val="0"/>
      <w:marRight w:val="0"/>
      <w:marTop w:val="0"/>
      <w:marBottom w:val="0"/>
      <w:divBdr>
        <w:top w:val="none" w:sz="0" w:space="0" w:color="auto"/>
        <w:left w:val="none" w:sz="0" w:space="0" w:color="auto"/>
        <w:bottom w:val="none" w:sz="0" w:space="0" w:color="auto"/>
        <w:right w:val="none" w:sz="0" w:space="0" w:color="auto"/>
      </w:divBdr>
    </w:div>
    <w:div w:id="1791968316">
      <w:bodyDiv w:val="1"/>
      <w:marLeft w:val="0"/>
      <w:marRight w:val="0"/>
      <w:marTop w:val="0"/>
      <w:marBottom w:val="0"/>
      <w:divBdr>
        <w:top w:val="none" w:sz="0" w:space="0" w:color="auto"/>
        <w:left w:val="none" w:sz="0" w:space="0" w:color="auto"/>
        <w:bottom w:val="none" w:sz="0" w:space="0" w:color="auto"/>
        <w:right w:val="none" w:sz="0" w:space="0" w:color="auto"/>
      </w:divBdr>
    </w:div>
    <w:div w:id="1849981490">
      <w:bodyDiv w:val="1"/>
      <w:marLeft w:val="0"/>
      <w:marRight w:val="0"/>
      <w:marTop w:val="0"/>
      <w:marBottom w:val="0"/>
      <w:divBdr>
        <w:top w:val="none" w:sz="0" w:space="0" w:color="auto"/>
        <w:left w:val="none" w:sz="0" w:space="0" w:color="auto"/>
        <w:bottom w:val="none" w:sz="0" w:space="0" w:color="auto"/>
        <w:right w:val="none" w:sz="0" w:space="0" w:color="auto"/>
      </w:divBdr>
    </w:div>
    <w:div w:id="1936354169">
      <w:bodyDiv w:val="1"/>
      <w:marLeft w:val="0"/>
      <w:marRight w:val="0"/>
      <w:marTop w:val="0"/>
      <w:marBottom w:val="0"/>
      <w:divBdr>
        <w:top w:val="none" w:sz="0" w:space="0" w:color="auto"/>
        <w:left w:val="none" w:sz="0" w:space="0" w:color="auto"/>
        <w:bottom w:val="none" w:sz="0" w:space="0" w:color="auto"/>
        <w:right w:val="none" w:sz="0" w:space="0" w:color="auto"/>
      </w:divBdr>
    </w:div>
    <w:div w:id="1958440922">
      <w:bodyDiv w:val="1"/>
      <w:marLeft w:val="0"/>
      <w:marRight w:val="0"/>
      <w:marTop w:val="0"/>
      <w:marBottom w:val="0"/>
      <w:divBdr>
        <w:top w:val="none" w:sz="0" w:space="0" w:color="auto"/>
        <w:left w:val="none" w:sz="0" w:space="0" w:color="auto"/>
        <w:bottom w:val="none" w:sz="0" w:space="0" w:color="auto"/>
        <w:right w:val="none" w:sz="0" w:space="0" w:color="auto"/>
      </w:divBdr>
    </w:div>
    <w:div w:id="1978952531">
      <w:bodyDiv w:val="1"/>
      <w:marLeft w:val="0"/>
      <w:marRight w:val="0"/>
      <w:marTop w:val="0"/>
      <w:marBottom w:val="0"/>
      <w:divBdr>
        <w:top w:val="none" w:sz="0" w:space="0" w:color="auto"/>
        <w:left w:val="none" w:sz="0" w:space="0" w:color="auto"/>
        <w:bottom w:val="none" w:sz="0" w:space="0" w:color="auto"/>
        <w:right w:val="none" w:sz="0" w:space="0" w:color="auto"/>
      </w:divBdr>
    </w:div>
    <w:div w:id="2085640642">
      <w:bodyDiv w:val="1"/>
      <w:marLeft w:val="0"/>
      <w:marRight w:val="0"/>
      <w:marTop w:val="0"/>
      <w:marBottom w:val="0"/>
      <w:divBdr>
        <w:top w:val="none" w:sz="0" w:space="0" w:color="auto"/>
        <w:left w:val="none" w:sz="0" w:space="0" w:color="auto"/>
        <w:bottom w:val="none" w:sz="0" w:space="0" w:color="auto"/>
        <w:right w:val="none" w:sz="0" w:space="0" w:color="auto"/>
      </w:divBdr>
    </w:div>
    <w:div w:id="2087259936">
      <w:bodyDiv w:val="1"/>
      <w:marLeft w:val="0"/>
      <w:marRight w:val="0"/>
      <w:marTop w:val="0"/>
      <w:marBottom w:val="0"/>
      <w:divBdr>
        <w:top w:val="none" w:sz="0" w:space="0" w:color="auto"/>
        <w:left w:val="none" w:sz="0" w:space="0" w:color="auto"/>
        <w:bottom w:val="none" w:sz="0" w:space="0" w:color="auto"/>
        <w:right w:val="none" w:sz="0" w:space="0" w:color="auto"/>
      </w:divBdr>
    </w:div>
    <w:div w:id="20925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researchbriefings.files.parliament.uk/documents/SN07096/SN07096.pdf" TargetMode="External"/><Relationship Id="rId2" Type="http://schemas.openxmlformats.org/officeDocument/2006/relationships/hyperlink" Target="https://www.local.gov.uk/sites/default/files/documents/Consideration%20of%20population%20concentration%20by%20SIGOMA%20%26%20Core%20Cities%20%28NR%20TW....pdf" TargetMode="External"/><Relationship Id="rId1" Type="http://schemas.openxmlformats.org/officeDocument/2006/relationships/hyperlink" Target="https://www.bbc.co.uk/news/business-596825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honeyben\AppData\Local\Microsoft\Windows\Temporary%20Internet%20Files\Content.Outlook\OHRWUL0V\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866AAFFE604A2CBB57BBBCC59F0007"/>
        <w:category>
          <w:name w:val="General"/>
          <w:gallery w:val="placeholder"/>
        </w:category>
        <w:types>
          <w:type w:val="bbPlcHdr"/>
        </w:types>
        <w:behaviors>
          <w:behavior w:val="content"/>
        </w:behaviors>
        <w:guid w:val="{DE8F57B0-04F6-483C-80D4-4F416522C579}"/>
      </w:docPartPr>
      <w:docPartBody>
        <w:p w:rsidR="002F3009" w:rsidRDefault="002F3009">
          <w:pPr>
            <w:pStyle w:val="C2866AAFFE604A2CBB57BBBCC59F0007"/>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009"/>
    <w:rsid w:val="000052A3"/>
    <w:rsid w:val="00053DCA"/>
    <w:rsid w:val="00080865"/>
    <w:rsid w:val="00082BDF"/>
    <w:rsid w:val="00095BB8"/>
    <w:rsid w:val="000E08B6"/>
    <w:rsid w:val="000F5863"/>
    <w:rsid w:val="00124EDC"/>
    <w:rsid w:val="001448FE"/>
    <w:rsid w:val="001B4259"/>
    <w:rsid w:val="001D340D"/>
    <w:rsid w:val="001E5598"/>
    <w:rsid w:val="0020052B"/>
    <w:rsid w:val="002C2B53"/>
    <w:rsid w:val="002F3009"/>
    <w:rsid w:val="003E326E"/>
    <w:rsid w:val="004168D4"/>
    <w:rsid w:val="004474EA"/>
    <w:rsid w:val="00463110"/>
    <w:rsid w:val="004B4C37"/>
    <w:rsid w:val="004E35A1"/>
    <w:rsid w:val="0053185F"/>
    <w:rsid w:val="00554E0A"/>
    <w:rsid w:val="005F5187"/>
    <w:rsid w:val="00657ECC"/>
    <w:rsid w:val="006A1279"/>
    <w:rsid w:val="00701A85"/>
    <w:rsid w:val="007167EB"/>
    <w:rsid w:val="007E5590"/>
    <w:rsid w:val="00852502"/>
    <w:rsid w:val="00854D8B"/>
    <w:rsid w:val="00897060"/>
    <w:rsid w:val="008A282C"/>
    <w:rsid w:val="008D6C06"/>
    <w:rsid w:val="00912D83"/>
    <w:rsid w:val="00925323"/>
    <w:rsid w:val="0092680E"/>
    <w:rsid w:val="00967C15"/>
    <w:rsid w:val="00975F8C"/>
    <w:rsid w:val="009872FD"/>
    <w:rsid w:val="00A12D93"/>
    <w:rsid w:val="00A60CB1"/>
    <w:rsid w:val="00A64F54"/>
    <w:rsid w:val="00A952B4"/>
    <w:rsid w:val="00AA3126"/>
    <w:rsid w:val="00B0583D"/>
    <w:rsid w:val="00B263B7"/>
    <w:rsid w:val="00BB4536"/>
    <w:rsid w:val="00BE09BF"/>
    <w:rsid w:val="00BE15E2"/>
    <w:rsid w:val="00CF4811"/>
    <w:rsid w:val="00D002FC"/>
    <w:rsid w:val="00D134F8"/>
    <w:rsid w:val="00D476F6"/>
    <w:rsid w:val="00DC3943"/>
    <w:rsid w:val="00DD5A95"/>
    <w:rsid w:val="00E54B67"/>
    <w:rsid w:val="00E62307"/>
    <w:rsid w:val="00E85F20"/>
    <w:rsid w:val="00F0170B"/>
    <w:rsid w:val="00F942A0"/>
    <w:rsid w:val="00FA6E3A"/>
    <w:rsid w:val="00FB0C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866AAFFE604A2CBB57BBBCC59F0007">
    <w:name w:val="C2866AAFFE604A2CBB57BBBCC59F0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A0CCCB951FAA469FEDBA662915CC9A" ma:contentTypeVersion="12" ma:contentTypeDescription="Create a new document." ma:contentTypeScope="" ma:versionID="4cde4d44efb0265a2f19d8464f3c7a9a">
  <xsd:schema xmlns:xsd="http://www.w3.org/2001/XMLSchema" xmlns:xs="http://www.w3.org/2001/XMLSchema" xmlns:p="http://schemas.microsoft.com/office/2006/metadata/properties" xmlns:ns3="41e860ea-747c-4b02-bfbd-b1fd360e7968" xmlns:ns4="86acd259-5471-4ba6-a38f-f24f1477248e" targetNamespace="http://schemas.microsoft.com/office/2006/metadata/properties" ma:root="true" ma:fieldsID="d3ee8016a95634b220fd6cc42717945a" ns3:_="" ns4:_="">
    <xsd:import namespace="41e860ea-747c-4b02-bfbd-b1fd360e7968"/>
    <xsd:import namespace="86acd259-5471-4ba6-a38f-f24f147724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60ea-747c-4b02-bfbd-b1fd360e7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d259-5471-4ba6-a38f-f24f147724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6A687-D0D9-40A6-910D-04BE05554ED0}">
  <ds:schemaRefs>
    <ds:schemaRef ds:uri="86acd259-5471-4ba6-a38f-f24f1477248e"/>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41e860ea-747c-4b02-bfbd-b1fd360e7968"/>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1A3E059-6675-493F-8C04-164A37F4FF4E}">
  <ds:schemaRefs>
    <ds:schemaRef ds:uri="http://schemas.microsoft.com/sharepoint/v3/contenttype/forms"/>
  </ds:schemaRefs>
</ds:datastoreItem>
</file>

<file path=customXml/itemProps3.xml><?xml version="1.0" encoding="utf-8"?>
<ds:datastoreItem xmlns:ds="http://schemas.openxmlformats.org/officeDocument/2006/customXml" ds:itemID="{CF4406CF-EE80-4CDB-9808-84DB12C467E1}">
  <ds:schemaRefs>
    <ds:schemaRef ds:uri="http://schemas.openxmlformats.org/officeDocument/2006/bibliography"/>
  </ds:schemaRefs>
</ds:datastoreItem>
</file>

<file path=customXml/itemProps4.xml><?xml version="1.0" encoding="utf-8"?>
<ds:datastoreItem xmlns:ds="http://schemas.openxmlformats.org/officeDocument/2006/customXml" ds:itemID="{9B1BFF38-01A3-4F4B-9107-DBCEAE680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60ea-747c-4b02-bfbd-b1fd360e7968"/>
    <ds:schemaRef ds:uri="86acd259-5471-4ba6-a38f-f24f14772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0</TotalTime>
  <Pages>11</Pages>
  <Words>5149</Words>
  <Characters>29352</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Paul Honeyben</dc:creator>
  <cp:lastModifiedBy>Ewan Boyd</cp:lastModifiedBy>
  <cp:revision>2</cp:revision>
  <cp:lastPrinted>2022-01-14T16:12:00Z</cp:lastPrinted>
  <dcterms:created xsi:type="dcterms:W3CDTF">2022-01-18T11:54:00Z</dcterms:created>
  <dcterms:modified xsi:type="dcterms:W3CDTF">2022-01-18T11:54:00Z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11 June 2014</vt:lpwstr>
  </property>
  <property fmtid="{D5CDD505-2E9C-101B-9397-08002B2CF9AE}" pid="4" name="ContentTypeId">
    <vt:lpwstr>0x010100C3A0CCCB951FAA469FEDBA662915CC9A</vt:lpwstr>
  </property>
</Properties>
</file>