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3" w:type="dxa"/>
        <w:tblInd w:w="93" w:type="dxa"/>
        <w:tblLayout w:type="fixed"/>
        <w:tblLook w:val="04A0" w:firstRow="1" w:lastRow="0" w:firstColumn="1" w:lastColumn="0" w:noHBand="0" w:noVBand="1"/>
      </w:tblPr>
      <w:tblGrid>
        <w:gridCol w:w="15"/>
        <w:gridCol w:w="2694"/>
        <w:gridCol w:w="2693"/>
        <w:gridCol w:w="4111"/>
      </w:tblGrid>
      <w:tr w:rsidR="0050289B" w:rsidRPr="00BB35A2" w14:paraId="7FB40C35" w14:textId="77777777" w:rsidTr="000A57B5">
        <w:trPr>
          <w:trHeight w:val="336"/>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2930CE"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4423A0F" w14:textId="26AE28BB" w:rsidR="0050289B" w:rsidRPr="00B276FF" w:rsidRDefault="00B276FF" w:rsidP="00BF0DDE">
            <w:pPr>
              <w:rPr>
                <w:rFonts w:cs="Arial"/>
                <w:b/>
                <w:bCs/>
                <w:sz w:val="20"/>
                <w:szCs w:val="16"/>
                <w:lang w:eastAsia="en-GB"/>
              </w:rPr>
            </w:pPr>
            <w:r w:rsidRPr="00B276FF">
              <w:rPr>
                <w:rFonts w:cs="Arial"/>
                <w:b/>
                <w:bCs/>
                <w:sz w:val="20"/>
                <w:szCs w:val="16"/>
                <w:lang w:eastAsia="en-GB"/>
              </w:rPr>
              <w:t>FOI 2 Percentage of FOI requests responded to within the time period within 20 working days of receipt</w:t>
            </w:r>
          </w:p>
        </w:tc>
        <w:tc>
          <w:tcPr>
            <w:tcW w:w="4111" w:type="dxa"/>
            <w:tcBorders>
              <w:top w:val="single" w:sz="4" w:space="0" w:color="auto"/>
              <w:left w:val="single" w:sz="4" w:space="0" w:color="auto"/>
              <w:bottom w:val="single" w:sz="4" w:space="0" w:color="auto"/>
              <w:right w:val="single" w:sz="4" w:space="0" w:color="auto"/>
            </w:tcBorders>
          </w:tcPr>
          <w:p w14:paraId="0BBA2898" w14:textId="77777777" w:rsidR="0050289B" w:rsidRPr="00F43E84" w:rsidRDefault="0050289B" w:rsidP="00864DBB">
            <w:pPr>
              <w:rPr>
                <w:rFonts w:cs="Arial"/>
                <w:b/>
                <w:bCs/>
                <w:sz w:val="20"/>
                <w:szCs w:val="16"/>
                <w:lang w:eastAsia="en-GB"/>
              </w:rPr>
            </w:pPr>
            <w:r>
              <w:rPr>
                <w:rFonts w:cs="Arial"/>
                <w:b/>
                <w:bCs/>
                <w:sz w:val="20"/>
                <w:szCs w:val="16"/>
                <w:lang w:eastAsia="en-GB"/>
              </w:rPr>
              <w:t>Link to authorities website for further information</w:t>
            </w:r>
            <w:r w:rsidR="00B85283">
              <w:rPr>
                <w:rFonts w:cs="Arial"/>
                <w:b/>
                <w:bCs/>
                <w:sz w:val="20"/>
                <w:szCs w:val="16"/>
                <w:lang w:eastAsia="en-GB"/>
              </w:rPr>
              <w:t xml:space="preserve"> – If provided</w:t>
            </w:r>
          </w:p>
        </w:tc>
      </w:tr>
      <w:tr w:rsidR="000A57B5" w:rsidRPr="002E6270" w14:paraId="53F5F17A" w14:textId="326C21F5" w:rsidTr="00E6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B9092" w14:textId="49D5C24B" w:rsidR="000A57B5" w:rsidRPr="002E6270" w:rsidRDefault="000A57B5" w:rsidP="000A57B5">
            <w:pPr>
              <w:rPr>
                <w:rFonts w:cs="Arial"/>
                <w:color w:val="000000"/>
              </w:rPr>
            </w:pPr>
            <w:r>
              <w:rPr>
                <w:rFonts w:cs="Arial"/>
                <w:sz w:val="20"/>
                <w:szCs w:val="20"/>
              </w:rPr>
              <w:t>Camden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CE23A7" w14:textId="0F70811E" w:rsidR="000A57B5" w:rsidRPr="00EC1139" w:rsidRDefault="000A57B5" w:rsidP="000A57B5">
            <w:pPr>
              <w:jc w:val="right"/>
              <w:rPr>
                <w:rFonts w:cs="Arial"/>
                <w:color w:val="000000"/>
              </w:rPr>
            </w:pPr>
            <w:r>
              <w:rPr>
                <w:rFonts w:cs="Arial"/>
                <w:sz w:val="20"/>
                <w:szCs w:val="20"/>
              </w:rPr>
              <w:t>99.0</w:t>
            </w:r>
          </w:p>
        </w:tc>
        <w:tc>
          <w:tcPr>
            <w:tcW w:w="4111" w:type="dxa"/>
          </w:tcPr>
          <w:p w14:paraId="795F855F" w14:textId="77777777" w:rsidR="000A57B5" w:rsidRPr="00EC1139" w:rsidRDefault="000A57B5" w:rsidP="000A57B5">
            <w:pPr>
              <w:rPr>
                <w:rFonts w:cs="Arial"/>
                <w:color w:val="000000"/>
              </w:rPr>
            </w:pPr>
          </w:p>
        </w:tc>
      </w:tr>
      <w:tr w:rsidR="000A57B5" w:rsidRPr="002E6270" w14:paraId="7C679136" w14:textId="77777777" w:rsidTr="00E6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7CA6A10E" w14:textId="288B864C" w:rsidR="000A57B5" w:rsidRPr="002E6270" w:rsidRDefault="000A57B5" w:rsidP="000A57B5">
            <w:pPr>
              <w:rPr>
                <w:rFonts w:cs="Arial"/>
                <w:color w:val="000000"/>
              </w:rPr>
            </w:pPr>
            <w:r>
              <w:rPr>
                <w:rFonts w:cs="Arial"/>
                <w:sz w:val="20"/>
                <w:szCs w:val="20"/>
              </w:rPr>
              <w:t>City of London</w:t>
            </w:r>
          </w:p>
        </w:tc>
        <w:tc>
          <w:tcPr>
            <w:tcW w:w="2693" w:type="dxa"/>
            <w:tcBorders>
              <w:top w:val="nil"/>
              <w:left w:val="single" w:sz="4" w:space="0" w:color="auto"/>
              <w:bottom w:val="single" w:sz="4" w:space="0" w:color="auto"/>
              <w:right w:val="single" w:sz="4" w:space="0" w:color="auto"/>
            </w:tcBorders>
            <w:shd w:val="clear" w:color="auto" w:fill="auto"/>
            <w:vAlign w:val="center"/>
          </w:tcPr>
          <w:p w14:paraId="1F7D89B4" w14:textId="6A1617EA" w:rsidR="000A57B5" w:rsidRPr="00EC1139" w:rsidRDefault="000A57B5" w:rsidP="000A57B5">
            <w:pPr>
              <w:jc w:val="right"/>
              <w:rPr>
                <w:rFonts w:cs="Arial"/>
                <w:color w:val="000000"/>
              </w:rPr>
            </w:pPr>
            <w:r>
              <w:rPr>
                <w:rFonts w:cs="Arial"/>
                <w:sz w:val="20"/>
                <w:szCs w:val="20"/>
              </w:rPr>
              <w:t>96.6</w:t>
            </w:r>
          </w:p>
        </w:tc>
        <w:tc>
          <w:tcPr>
            <w:tcW w:w="4111" w:type="dxa"/>
          </w:tcPr>
          <w:p w14:paraId="2E187C5C" w14:textId="77777777" w:rsidR="000A57B5" w:rsidRPr="00EC1139" w:rsidRDefault="000A57B5" w:rsidP="000A57B5">
            <w:pPr>
              <w:rPr>
                <w:rFonts w:cs="Arial"/>
                <w:color w:val="000000"/>
              </w:rPr>
            </w:pPr>
          </w:p>
        </w:tc>
      </w:tr>
      <w:tr w:rsidR="000A57B5" w:rsidRPr="002E6270" w14:paraId="1EDF9FB9" w14:textId="77777777" w:rsidTr="00E6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46B36852" w14:textId="0BABDD4A" w:rsidR="000A57B5" w:rsidRPr="002E6270" w:rsidRDefault="000A57B5" w:rsidP="000A57B5">
            <w:pPr>
              <w:rPr>
                <w:rFonts w:cs="Arial"/>
                <w:color w:val="000000"/>
              </w:rPr>
            </w:pPr>
            <w:r>
              <w:rPr>
                <w:rFonts w:cs="Arial"/>
                <w:sz w:val="20"/>
                <w:szCs w:val="20"/>
              </w:rPr>
              <w:t>Croydon</w:t>
            </w:r>
          </w:p>
        </w:tc>
        <w:tc>
          <w:tcPr>
            <w:tcW w:w="2693" w:type="dxa"/>
            <w:tcBorders>
              <w:top w:val="nil"/>
              <w:left w:val="single" w:sz="4" w:space="0" w:color="auto"/>
              <w:bottom w:val="single" w:sz="4" w:space="0" w:color="auto"/>
              <w:right w:val="single" w:sz="4" w:space="0" w:color="auto"/>
            </w:tcBorders>
            <w:shd w:val="clear" w:color="auto" w:fill="auto"/>
            <w:vAlign w:val="center"/>
          </w:tcPr>
          <w:p w14:paraId="6BB5ECC0" w14:textId="6CA058CD" w:rsidR="000A57B5" w:rsidRPr="00EC1139" w:rsidRDefault="000A57B5" w:rsidP="000A57B5">
            <w:pPr>
              <w:jc w:val="right"/>
              <w:rPr>
                <w:rFonts w:cs="Arial"/>
                <w:color w:val="000000"/>
              </w:rPr>
            </w:pPr>
            <w:r>
              <w:rPr>
                <w:rFonts w:cs="Arial"/>
                <w:sz w:val="20"/>
                <w:szCs w:val="20"/>
              </w:rPr>
              <w:t>65.0</w:t>
            </w:r>
          </w:p>
        </w:tc>
        <w:tc>
          <w:tcPr>
            <w:tcW w:w="4111" w:type="dxa"/>
          </w:tcPr>
          <w:p w14:paraId="3D486F39" w14:textId="77777777" w:rsidR="000A57B5" w:rsidRPr="00EC1139" w:rsidRDefault="000A57B5" w:rsidP="000A57B5">
            <w:pPr>
              <w:rPr>
                <w:rFonts w:cs="Arial"/>
                <w:color w:val="000000"/>
              </w:rPr>
            </w:pPr>
          </w:p>
        </w:tc>
      </w:tr>
      <w:tr w:rsidR="000A57B5" w:rsidRPr="002E6270" w14:paraId="63ABFB99" w14:textId="703739C6" w:rsidTr="00E6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1D3DB741" w14:textId="5B5524E4" w:rsidR="000A57B5" w:rsidRPr="002E6270" w:rsidRDefault="000A57B5" w:rsidP="000A57B5">
            <w:pPr>
              <w:rPr>
                <w:rFonts w:cs="Arial"/>
                <w:color w:val="000000"/>
              </w:rPr>
            </w:pPr>
            <w:r>
              <w:rPr>
                <w:rFonts w:cs="Arial"/>
                <w:sz w:val="20"/>
                <w:szCs w:val="20"/>
              </w:rPr>
              <w:t>Enfield</w:t>
            </w:r>
          </w:p>
        </w:tc>
        <w:tc>
          <w:tcPr>
            <w:tcW w:w="2693" w:type="dxa"/>
            <w:tcBorders>
              <w:top w:val="nil"/>
              <w:left w:val="single" w:sz="4" w:space="0" w:color="auto"/>
              <w:bottom w:val="single" w:sz="4" w:space="0" w:color="auto"/>
              <w:right w:val="single" w:sz="4" w:space="0" w:color="auto"/>
            </w:tcBorders>
            <w:shd w:val="clear" w:color="auto" w:fill="auto"/>
            <w:vAlign w:val="center"/>
          </w:tcPr>
          <w:p w14:paraId="1001F413" w14:textId="5E7BA6C8" w:rsidR="000A57B5" w:rsidRPr="00EC1139" w:rsidRDefault="000A57B5" w:rsidP="000A57B5">
            <w:pPr>
              <w:jc w:val="right"/>
              <w:rPr>
                <w:rFonts w:cs="Arial"/>
                <w:color w:val="000000"/>
              </w:rPr>
            </w:pPr>
            <w:r>
              <w:rPr>
                <w:rFonts w:cs="Arial"/>
                <w:sz w:val="20"/>
                <w:szCs w:val="20"/>
              </w:rPr>
              <w:t>82.0</w:t>
            </w:r>
          </w:p>
        </w:tc>
        <w:tc>
          <w:tcPr>
            <w:tcW w:w="4111" w:type="dxa"/>
          </w:tcPr>
          <w:p w14:paraId="11B05D3D" w14:textId="77777777" w:rsidR="000A57B5" w:rsidRPr="00EC1139" w:rsidRDefault="000A57B5" w:rsidP="000A57B5">
            <w:pPr>
              <w:rPr>
                <w:rFonts w:cs="Arial"/>
                <w:color w:val="000000"/>
              </w:rPr>
            </w:pPr>
          </w:p>
        </w:tc>
      </w:tr>
      <w:tr w:rsidR="000A57B5" w:rsidRPr="002E6270" w14:paraId="4836854D" w14:textId="644DD09C" w:rsidTr="00E6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7E00541" w14:textId="6C7523D4" w:rsidR="000A57B5" w:rsidRPr="002E6270" w:rsidRDefault="000A57B5" w:rsidP="000A57B5">
            <w:pPr>
              <w:rPr>
                <w:rFonts w:cs="Arial"/>
                <w:color w:val="000000"/>
              </w:rPr>
            </w:pPr>
            <w:r>
              <w:rPr>
                <w:rFonts w:cs="Arial"/>
                <w:sz w:val="20"/>
                <w:szCs w:val="20"/>
              </w:rPr>
              <w:t>Hackney</w:t>
            </w:r>
          </w:p>
        </w:tc>
        <w:tc>
          <w:tcPr>
            <w:tcW w:w="2693" w:type="dxa"/>
            <w:tcBorders>
              <w:top w:val="nil"/>
              <w:left w:val="single" w:sz="4" w:space="0" w:color="auto"/>
              <w:bottom w:val="single" w:sz="4" w:space="0" w:color="auto"/>
              <w:right w:val="single" w:sz="4" w:space="0" w:color="auto"/>
            </w:tcBorders>
            <w:shd w:val="clear" w:color="auto" w:fill="auto"/>
            <w:vAlign w:val="center"/>
          </w:tcPr>
          <w:p w14:paraId="1564AD5E" w14:textId="48BA3FAA" w:rsidR="000A57B5" w:rsidRPr="00EC1139" w:rsidRDefault="000A57B5" w:rsidP="000A57B5">
            <w:pPr>
              <w:jc w:val="right"/>
              <w:rPr>
                <w:rFonts w:cs="Arial"/>
                <w:color w:val="000000"/>
              </w:rPr>
            </w:pPr>
            <w:r>
              <w:rPr>
                <w:rFonts w:cs="Arial"/>
                <w:sz w:val="20"/>
                <w:szCs w:val="20"/>
              </w:rPr>
              <w:t>71.0</w:t>
            </w:r>
          </w:p>
        </w:tc>
        <w:tc>
          <w:tcPr>
            <w:tcW w:w="4111" w:type="dxa"/>
          </w:tcPr>
          <w:p w14:paraId="1848DA79" w14:textId="77777777" w:rsidR="000A57B5" w:rsidRPr="00EC1139" w:rsidRDefault="000A57B5" w:rsidP="000A57B5">
            <w:pPr>
              <w:rPr>
                <w:rFonts w:cs="Arial"/>
                <w:color w:val="000000"/>
              </w:rPr>
            </w:pPr>
          </w:p>
        </w:tc>
      </w:tr>
      <w:tr w:rsidR="000A57B5" w:rsidRPr="002E6270" w14:paraId="3E1B73DC" w14:textId="7A474358" w:rsidTr="00E6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6EA4AA05" w14:textId="64EC7685" w:rsidR="000A57B5" w:rsidRPr="002E6270" w:rsidRDefault="000A57B5" w:rsidP="000A57B5">
            <w:pPr>
              <w:rPr>
                <w:rFonts w:cs="Arial"/>
                <w:color w:val="000000"/>
              </w:rPr>
            </w:pPr>
            <w:r>
              <w:rPr>
                <w:rFonts w:cs="Arial"/>
                <w:sz w:val="20"/>
                <w:szCs w:val="20"/>
              </w:rPr>
              <w:t>Haringey</w:t>
            </w:r>
          </w:p>
        </w:tc>
        <w:tc>
          <w:tcPr>
            <w:tcW w:w="2693" w:type="dxa"/>
            <w:tcBorders>
              <w:top w:val="nil"/>
              <w:left w:val="single" w:sz="4" w:space="0" w:color="auto"/>
              <w:bottom w:val="single" w:sz="4" w:space="0" w:color="auto"/>
              <w:right w:val="single" w:sz="4" w:space="0" w:color="auto"/>
            </w:tcBorders>
            <w:shd w:val="clear" w:color="auto" w:fill="auto"/>
            <w:vAlign w:val="center"/>
          </w:tcPr>
          <w:p w14:paraId="3ED9B284" w14:textId="2C294403" w:rsidR="000A57B5" w:rsidRPr="00EC1139" w:rsidRDefault="000A57B5" w:rsidP="000A57B5">
            <w:pPr>
              <w:jc w:val="right"/>
              <w:rPr>
                <w:rFonts w:cs="Arial"/>
                <w:color w:val="000000"/>
              </w:rPr>
            </w:pPr>
            <w:r>
              <w:rPr>
                <w:rFonts w:cs="Arial"/>
                <w:sz w:val="20"/>
                <w:szCs w:val="20"/>
              </w:rPr>
              <w:t>86.0</w:t>
            </w:r>
          </w:p>
        </w:tc>
        <w:tc>
          <w:tcPr>
            <w:tcW w:w="4111" w:type="dxa"/>
          </w:tcPr>
          <w:p w14:paraId="1AEF8A3F" w14:textId="77777777" w:rsidR="000A57B5" w:rsidRPr="00EC1139" w:rsidRDefault="000A57B5" w:rsidP="000A57B5">
            <w:pPr>
              <w:rPr>
                <w:rFonts w:cs="Arial"/>
                <w:color w:val="000000"/>
              </w:rPr>
            </w:pPr>
          </w:p>
        </w:tc>
      </w:tr>
      <w:tr w:rsidR="000A57B5" w:rsidRPr="002E6270" w14:paraId="192FE635" w14:textId="7EF217EB" w:rsidTr="00E6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E388415" w14:textId="5E8BCBEB" w:rsidR="000A57B5" w:rsidRPr="002E6270" w:rsidRDefault="000A57B5" w:rsidP="000A57B5">
            <w:pPr>
              <w:rPr>
                <w:rFonts w:cs="Arial"/>
                <w:color w:val="000000"/>
              </w:rPr>
            </w:pPr>
            <w:r>
              <w:rPr>
                <w:rFonts w:cs="Arial"/>
                <w:sz w:val="20"/>
                <w:szCs w:val="20"/>
              </w:rPr>
              <w:t>Hillingdon</w:t>
            </w:r>
          </w:p>
        </w:tc>
        <w:tc>
          <w:tcPr>
            <w:tcW w:w="2693" w:type="dxa"/>
            <w:tcBorders>
              <w:top w:val="nil"/>
              <w:left w:val="single" w:sz="4" w:space="0" w:color="auto"/>
              <w:bottom w:val="single" w:sz="4" w:space="0" w:color="auto"/>
              <w:right w:val="single" w:sz="4" w:space="0" w:color="auto"/>
            </w:tcBorders>
            <w:shd w:val="clear" w:color="auto" w:fill="auto"/>
            <w:vAlign w:val="center"/>
          </w:tcPr>
          <w:p w14:paraId="6317679D" w14:textId="4622E61B" w:rsidR="000A57B5" w:rsidRPr="00EC1139" w:rsidRDefault="000A57B5" w:rsidP="000A57B5">
            <w:pPr>
              <w:jc w:val="right"/>
              <w:rPr>
                <w:rFonts w:cs="Arial"/>
                <w:color w:val="000000"/>
              </w:rPr>
            </w:pPr>
            <w:r>
              <w:rPr>
                <w:rFonts w:cs="Arial"/>
                <w:sz w:val="20"/>
                <w:szCs w:val="20"/>
              </w:rPr>
              <w:t>74.0</w:t>
            </w:r>
          </w:p>
        </w:tc>
        <w:tc>
          <w:tcPr>
            <w:tcW w:w="4111" w:type="dxa"/>
          </w:tcPr>
          <w:p w14:paraId="288C9B7E" w14:textId="77777777" w:rsidR="000A57B5" w:rsidRPr="00EC1139" w:rsidRDefault="000A57B5" w:rsidP="000A57B5">
            <w:pPr>
              <w:rPr>
                <w:rFonts w:cs="Arial"/>
                <w:color w:val="000000"/>
              </w:rPr>
            </w:pPr>
          </w:p>
        </w:tc>
      </w:tr>
      <w:tr w:rsidR="000A57B5" w:rsidRPr="002E6270" w14:paraId="43131772" w14:textId="0B9E0C63" w:rsidTr="00E6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D9F4B28" w14:textId="341ADD06" w:rsidR="000A57B5" w:rsidRPr="002E6270" w:rsidRDefault="000A57B5" w:rsidP="000A57B5">
            <w:pPr>
              <w:rPr>
                <w:rFonts w:cs="Arial"/>
                <w:color w:val="000000"/>
              </w:rPr>
            </w:pPr>
            <w:r>
              <w:rPr>
                <w:rFonts w:cs="Arial"/>
                <w:sz w:val="20"/>
                <w:szCs w:val="20"/>
              </w:rPr>
              <w:t>Lambeth</w:t>
            </w:r>
          </w:p>
        </w:tc>
        <w:tc>
          <w:tcPr>
            <w:tcW w:w="2693" w:type="dxa"/>
            <w:tcBorders>
              <w:top w:val="nil"/>
              <w:left w:val="single" w:sz="4" w:space="0" w:color="auto"/>
              <w:bottom w:val="single" w:sz="4" w:space="0" w:color="auto"/>
              <w:right w:val="single" w:sz="4" w:space="0" w:color="auto"/>
            </w:tcBorders>
            <w:shd w:val="clear" w:color="auto" w:fill="auto"/>
            <w:vAlign w:val="center"/>
          </w:tcPr>
          <w:p w14:paraId="2F8BFBE6" w14:textId="1CC38B3C" w:rsidR="000A57B5" w:rsidRPr="00EC1139" w:rsidRDefault="00A85AB2" w:rsidP="000A57B5">
            <w:pPr>
              <w:jc w:val="right"/>
              <w:rPr>
                <w:rFonts w:cs="Arial"/>
                <w:color w:val="000000"/>
              </w:rPr>
            </w:pPr>
            <w:r>
              <w:rPr>
                <w:rFonts w:cs="Arial"/>
                <w:sz w:val="20"/>
                <w:szCs w:val="20"/>
              </w:rPr>
              <w:t>89.4</w:t>
            </w:r>
          </w:p>
        </w:tc>
        <w:tc>
          <w:tcPr>
            <w:tcW w:w="4111" w:type="dxa"/>
          </w:tcPr>
          <w:p w14:paraId="494DDB1A" w14:textId="77777777" w:rsidR="000A57B5" w:rsidRPr="00EC1139" w:rsidRDefault="000A57B5" w:rsidP="000A57B5">
            <w:pPr>
              <w:rPr>
                <w:rFonts w:cs="Arial"/>
                <w:color w:val="000000"/>
              </w:rPr>
            </w:pPr>
          </w:p>
        </w:tc>
      </w:tr>
      <w:tr w:rsidR="000A57B5" w:rsidRPr="002E6270" w14:paraId="513A735B" w14:textId="40F2C2D3" w:rsidTr="00E67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4E77490E" w14:textId="059E032E" w:rsidR="000A57B5" w:rsidRPr="002E6270" w:rsidRDefault="000A57B5" w:rsidP="000A57B5">
            <w:pPr>
              <w:rPr>
                <w:rFonts w:cs="Arial"/>
                <w:color w:val="000000"/>
              </w:rPr>
            </w:pPr>
            <w:r>
              <w:rPr>
                <w:rFonts w:cs="Arial"/>
                <w:sz w:val="20"/>
                <w:szCs w:val="20"/>
              </w:rPr>
              <w:t>Tower Hamlets</w:t>
            </w:r>
          </w:p>
        </w:tc>
        <w:tc>
          <w:tcPr>
            <w:tcW w:w="2693" w:type="dxa"/>
            <w:tcBorders>
              <w:top w:val="nil"/>
              <w:left w:val="single" w:sz="4" w:space="0" w:color="auto"/>
              <w:bottom w:val="single" w:sz="4" w:space="0" w:color="auto"/>
              <w:right w:val="single" w:sz="4" w:space="0" w:color="auto"/>
            </w:tcBorders>
            <w:shd w:val="clear" w:color="auto" w:fill="auto"/>
            <w:vAlign w:val="center"/>
          </w:tcPr>
          <w:p w14:paraId="046C53DD" w14:textId="6019E8E2" w:rsidR="000A57B5" w:rsidRPr="00EC1139" w:rsidRDefault="000A57B5" w:rsidP="000A57B5">
            <w:pPr>
              <w:jc w:val="right"/>
              <w:rPr>
                <w:rFonts w:cs="Arial"/>
                <w:color w:val="000000"/>
              </w:rPr>
            </w:pPr>
            <w:r>
              <w:rPr>
                <w:rFonts w:cs="Arial"/>
                <w:sz w:val="20"/>
                <w:szCs w:val="20"/>
              </w:rPr>
              <w:t>89.0</w:t>
            </w:r>
          </w:p>
        </w:tc>
        <w:tc>
          <w:tcPr>
            <w:tcW w:w="4111" w:type="dxa"/>
          </w:tcPr>
          <w:p w14:paraId="3C28FE08" w14:textId="77777777" w:rsidR="000A57B5" w:rsidRPr="00EC1139" w:rsidRDefault="000A57B5" w:rsidP="000A57B5">
            <w:pPr>
              <w:rPr>
                <w:rFonts w:cs="Arial"/>
                <w:color w:val="000000"/>
              </w:rPr>
            </w:pPr>
          </w:p>
        </w:tc>
      </w:tr>
    </w:tbl>
    <w:p w14:paraId="4BDA5A89" w14:textId="12D00C1E" w:rsidR="002B331B" w:rsidRDefault="002B331B"/>
    <w:p w14:paraId="526DA647" w14:textId="77777777" w:rsidR="002B331B" w:rsidRDefault="002B331B"/>
    <w:tbl>
      <w:tblPr>
        <w:tblW w:w="9513" w:type="dxa"/>
        <w:tblInd w:w="93" w:type="dxa"/>
        <w:tblLayout w:type="fixed"/>
        <w:tblLook w:val="04A0" w:firstRow="1" w:lastRow="0" w:firstColumn="1" w:lastColumn="0" w:noHBand="0" w:noVBand="1"/>
      </w:tblPr>
      <w:tblGrid>
        <w:gridCol w:w="1911"/>
        <w:gridCol w:w="7602"/>
      </w:tblGrid>
      <w:tr w:rsidR="0050289B" w:rsidRPr="00BB35A2" w14:paraId="6EF5528A" w14:textId="77777777" w:rsidTr="001712E9">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5960BB11" w14:textId="77777777"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B276FF" w:rsidRPr="00BB35A2" w14:paraId="00DB8DDD" w14:textId="77777777" w:rsidTr="001712E9">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46C7064" w14:textId="77777777" w:rsidR="00B276FF" w:rsidRPr="005B6660" w:rsidRDefault="00B276FF" w:rsidP="00B276FF">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602"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F209AB2" w14:textId="344913F4" w:rsidR="00B276FF" w:rsidRPr="00AF2654" w:rsidRDefault="00B276FF" w:rsidP="00B276FF">
            <w:pPr>
              <w:ind w:left="567" w:hanging="567"/>
              <w:rPr>
                <w:rFonts w:cs="Arial"/>
                <w:sz w:val="20"/>
                <w:szCs w:val="20"/>
              </w:rPr>
            </w:pPr>
            <w:r>
              <w:rPr>
                <w:rFonts w:cs="Arial"/>
                <w:sz w:val="20"/>
                <w:szCs w:val="20"/>
              </w:rPr>
              <w:t xml:space="preserve">1 </w:t>
            </w:r>
            <w:r w:rsidRPr="004E6944">
              <w:rPr>
                <w:rFonts w:cs="Arial"/>
                <w:sz w:val="20"/>
                <w:szCs w:val="20"/>
              </w:rPr>
              <w:t xml:space="preserve">April </w:t>
            </w:r>
            <w:r>
              <w:rPr>
                <w:rFonts w:cs="Arial"/>
                <w:sz w:val="20"/>
                <w:szCs w:val="20"/>
              </w:rPr>
              <w:t>20</w:t>
            </w:r>
            <w:r w:rsidRPr="004E6944">
              <w:rPr>
                <w:rFonts w:cs="Arial"/>
                <w:sz w:val="20"/>
                <w:szCs w:val="20"/>
              </w:rPr>
              <w:t>1</w:t>
            </w:r>
            <w:r w:rsidR="003C749C">
              <w:rPr>
                <w:rFonts w:cs="Arial"/>
                <w:sz w:val="20"/>
                <w:szCs w:val="20"/>
              </w:rPr>
              <w:t>9</w:t>
            </w:r>
            <w:r w:rsidRPr="004E6944">
              <w:rPr>
                <w:rFonts w:cs="Arial"/>
                <w:sz w:val="20"/>
                <w:szCs w:val="20"/>
              </w:rPr>
              <w:t xml:space="preserve"> to </w:t>
            </w:r>
            <w:r>
              <w:rPr>
                <w:rFonts w:cs="Arial"/>
                <w:sz w:val="20"/>
                <w:szCs w:val="20"/>
              </w:rPr>
              <w:t xml:space="preserve">31 </w:t>
            </w:r>
            <w:r w:rsidRPr="004E6944">
              <w:rPr>
                <w:rFonts w:cs="Arial"/>
                <w:sz w:val="20"/>
                <w:szCs w:val="20"/>
              </w:rPr>
              <w:t xml:space="preserve">March </w:t>
            </w:r>
            <w:r>
              <w:rPr>
                <w:rFonts w:cs="Arial"/>
                <w:sz w:val="20"/>
                <w:szCs w:val="20"/>
              </w:rPr>
              <w:t>20</w:t>
            </w:r>
            <w:r w:rsidR="003C749C">
              <w:rPr>
                <w:rFonts w:cs="Arial"/>
                <w:sz w:val="20"/>
                <w:szCs w:val="20"/>
              </w:rPr>
              <w:t>20</w:t>
            </w:r>
          </w:p>
        </w:tc>
      </w:tr>
      <w:tr w:rsidR="00B276FF" w:rsidRPr="00BB35A2" w14:paraId="5AE3B368"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F9AE" w14:textId="77777777" w:rsidR="00B276FF" w:rsidRPr="005B6660" w:rsidRDefault="00B276FF" w:rsidP="00B276FF">
            <w:pPr>
              <w:ind w:left="49" w:hanging="49"/>
              <w:rPr>
                <w:rFonts w:cs="Arial"/>
                <w:sz w:val="20"/>
                <w:szCs w:val="20"/>
                <w:lang w:eastAsia="en-GB"/>
              </w:rPr>
            </w:pPr>
            <w:r w:rsidRPr="005B6660">
              <w:rPr>
                <w:rFonts w:cs="Arial"/>
                <w:b/>
                <w:color w:val="000000"/>
                <w:sz w:val="20"/>
                <w:szCs w:val="20"/>
              </w:rPr>
              <w:t>What does this indicator measure?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04A00" w14:textId="424B95C0" w:rsidR="00B276FF" w:rsidRPr="00AF2654" w:rsidRDefault="00B276FF" w:rsidP="00B276FF">
            <w:pPr>
              <w:rPr>
                <w:rFonts w:cs="Arial"/>
                <w:sz w:val="20"/>
                <w:szCs w:val="20"/>
              </w:rPr>
            </w:pPr>
            <w:r w:rsidRPr="00B276FF">
              <w:rPr>
                <w:rFonts w:cs="Arial"/>
                <w:sz w:val="20"/>
                <w:szCs w:val="20"/>
              </w:rPr>
              <w:t>Percentage of Freedom of Information (F</w:t>
            </w:r>
            <w:r w:rsidR="00F01D0C">
              <w:rPr>
                <w:rFonts w:cs="Arial"/>
                <w:sz w:val="20"/>
                <w:szCs w:val="20"/>
              </w:rPr>
              <w:t>OI</w:t>
            </w:r>
            <w:r w:rsidRPr="00B276FF">
              <w:rPr>
                <w:rFonts w:cs="Arial"/>
                <w:sz w:val="20"/>
                <w:szCs w:val="20"/>
              </w:rPr>
              <w:t xml:space="preserve">) requests responded to within 20 working days </w:t>
            </w:r>
          </w:p>
        </w:tc>
      </w:tr>
      <w:tr w:rsidR="00B276FF" w:rsidRPr="00BB35A2" w14:paraId="333DD8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805C" w14:textId="77777777" w:rsidR="00B276FF" w:rsidRPr="005B6660" w:rsidRDefault="00B276FF" w:rsidP="00B276FF">
            <w:pPr>
              <w:ind w:left="49" w:hanging="49"/>
              <w:rPr>
                <w:rFonts w:cs="Arial"/>
                <w:b/>
                <w:color w:val="000000"/>
                <w:sz w:val="20"/>
                <w:szCs w:val="20"/>
              </w:rPr>
            </w:pPr>
            <w:r w:rsidRPr="005B6660">
              <w:rPr>
                <w:rFonts w:cs="Arial"/>
                <w:b/>
                <w:bCs/>
                <w:color w:val="000000"/>
                <w:sz w:val="20"/>
                <w:szCs w:val="20"/>
                <w:lang w:eastAsia="en-GB"/>
              </w:rPr>
              <w:t>Purpose/aim</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329F" w14:textId="25C03ED1" w:rsidR="00B276FF" w:rsidRPr="00AF2654" w:rsidRDefault="00B276FF" w:rsidP="00B276FF">
            <w:pPr>
              <w:rPr>
                <w:rFonts w:cs="Arial"/>
                <w:sz w:val="20"/>
                <w:szCs w:val="20"/>
              </w:rPr>
            </w:pPr>
            <w:r w:rsidRPr="00B276FF">
              <w:rPr>
                <w:rFonts w:cs="Arial"/>
                <w:sz w:val="20"/>
                <w:szCs w:val="20"/>
              </w:rPr>
              <w:t xml:space="preserve">This indicator monitors the proportion of all Freedom of Information requests that are dealt with by the council within the statutory timeframe </w:t>
            </w:r>
            <w:r w:rsidR="004719D4">
              <w:rPr>
                <w:rFonts w:cs="Arial"/>
                <w:sz w:val="20"/>
                <w:szCs w:val="20"/>
              </w:rPr>
              <w:t xml:space="preserve">for response </w:t>
            </w:r>
            <w:r w:rsidRPr="00B276FF">
              <w:rPr>
                <w:rFonts w:cs="Arial"/>
                <w:sz w:val="20"/>
                <w:szCs w:val="20"/>
              </w:rPr>
              <w:t>(i.e. 20 working days)</w:t>
            </w:r>
            <w:r w:rsidR="004719D4">
              <w:rPr>
                <w:rFonts w:cs="Arial"/>
                <w:sz w:val="20"/>
                <w:szCs w:val="20"/>
              </w:rPr>
              <w:t>.</w:t>
            </w:r>
          </w:p>
        </w:tc>
      </w:tr>
      <w:tr w:rsidR="0050289B" w:rsidRPr="00BB35A2" w14:paraId="07F8BE89"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77F10"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312E5" w14:textId="34442A17" w:rsidR="00B276FF" w:rsidRPr="00B276FF" w:rsidRDefault="00B276FF" w:rsidP="00B276FF">
            <w:pPr>
              <w:rPr>
                <w:rFonts w:cs="Arial"/>
                <w:sz w:val="20"/>
                <w:szCs w:val="20"/>
              </w:rPr>
            </w:pPr>
            <w:r w:rsidRPr="00B276FF">
              <w:rPr>
                <w:rFonts w:cs="Arial"/>
                <w:sz w:val="20"/>
                <w:szCs w:val="20"/>
              </w:rPr>
              <w:t xml:space="preserve">This measure should include all Freedom of Information requests received by the corporate freedom of information team in a given period, but not include those requests where the timescale has been extended under specific circumstances. </w:t>
            </w:r>
          </w:p>
          <w:p w14:paraId="3678C571" w14:textId="3562FA7F" w:rsidR="00B276FF" w:rsidRPr="00B276FF" w:rsidRDefault="00B276FF" w:rsidP="00B276FF">
            <w:pPr>
              <w:rPr>
                <w:rFonts w:cs="Arial"/>
                <w:sz w:val="20"/>
                <w:szCs w:val="20"/>
              </w:rPr>
            </w:pPr>
            <w:r w:rsidRPr="00B276FF">
              <w:rPr>
                <w:rFonts w:cs="Arial"/>
                <w:sz w:val="20"/>
                <w:szCs w:val="20"/>
              </w:rPr>
              <w:t>As the statutory timescale is 20 working days,</w:t>
            </w:r>
            <w:r w:rsidR="008020EE">
              <w:rPr>
                <w:rFonts w:cs="Arial"/>
                <w:sz w:val="20"/>
                <w:szCs w:val="20"/>
              </w:rPr>
              <w:t xml:space="preserve"> </w:t>
            </w:r>
            <w:r w:rsidR="008020EE" w:rsidRPr="008020EE">
              <w:rPr>
                <w:rFonts w:cs="Arial"/>
                <w:sz w:val="20"/>
                <w:szCs w:val="20"/>
              </w:rPr>
              <w:t>counting the first working day after the request is received as the first day. T</w:t>
            </w:r>
            <w:r w:rsidRPr="00B276FF">
              <w:rPr>
                <w:rFonts w:cs="Arial"/>
                <w:sz w:val="20"/>
                <w:szCs w:val="20"/>
              </w:rPr>
              <w:t xml:space="preserve">his performance indicator cannot be reported until at least the 21 working days after the end of the period. </w:t>
            </w:r>
          </w:p>
          <w:p w14:paraId="40689A6B" w14:textId="68BCB067" w:rsidR="0050289B" w:rsidRPr="00AF2654" w:rsidRDefault="0050289B" w:rsidP="00B276FF">
            <w:pPr>
              <w:rPr>
                <w:rFonts w:cs="Arial"/>
                <w:sz w:val="20"/>
                <w:szCs w:val="20"/>
              </w:rPr>
            </w:pPr>
          </w:p>
        </w:tc>
      </w:tr>
      <w:tr w:rsidR="0050289B" w:rsidRPr="00BB35A2" w14:paraId="5DCFD0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24211"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How calculated</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12382" w14:textId="740177C1" w:rsidR="00F01D0C" w:rsidRPr="00B276FF" w:rsidRDefault="00F01D0C" w:rsidP="00F01D0C">
            <w:pPr>
              <w:rPr>
                <w:rFonts w:cs="Arial"/>
                <w:sz w:val="20"/>
                <w:szCs w:val="20"/>
              </w:rPr>
            </w:pPr>
            <w:r w:rsidRPr="00B276FF">
              <w:rPr>
                <w:rFonts w:cs="Arial"/>
                <w:sz w:val="20"/>
                <w:szCs w:val="20"/>
              </w:rPr>
              <w:t>Numerator</w:t>
            </w:r>
            <w:r>
              <w:rPr>
                <w:rFonts w:cs="Arial"/>
                <w:sz w:val="20"/>
                <w:szCs w:val="20"/>
              </w:rPr>
              <w:t xml:space="preserve"> (a)</w:t>
            </w:r>
            <w:r w:rsidRPr="00B276FF">
              <w:rPr>
                <w:rFonts w:cs="Arial"/>
                <w:sz w:val="20"/>
                <w:szCs w:val="20"/>
              </w:rPr>
              <w:t xml:space="preserve">: Number of </w:t>
            </w:r>
            <w:r w:rsidR="00487C61" w:rsidRPr="00B276FF">
              <w:rPr>
                <w:rFonts w:cs="Arial"/>
                <w:sz w:val="20"/>
                <w:szCs w:val="20"/>
              </w:rPr>
              <w:t xml:space="preserve">Freedom of Information </w:t>
            </w:r>
            <w:r w:rsidRPr="00B276FF">
              <w:rPr>
                <w:rFonts w:cs="Arial"/>
                <w:sz w:val="20"/>
                <w:szCs w:val="20"/>
              </w:rPr>
              <w:t xml:space="preserve">requests </w:t>
            </w:r>
            <w:r w:rsidR="00487C61">
              <w:rPr>
                <w:rFonts w:cs="Arial"/>
                <w:sz w:val="20"/>
                <w:szCs w:val="20"/>
              </w:rPr>
              <w:t xml:space="preserve">received within the specified period that are </w:t>
            </w:r>
            <w:r w:rsidRPr="00B276FF">
              <w:rPr>
                <w:rFonts w:cs="Arial"/>
                <w:sz w:val="20"/>
                <w:szCs w:val="20"/>
              </w:rPr>
              <w:t xml:space="preserve">responded to by the corporate freedom of information team within 20 working days </w:t>
            </w:r>
            <w:r w:rsidR="00487C61">
              <w:rPr>
                <w:rFonts w:cs="Arial"/>
                <w:sz w:val="20"/>
                <w:szCs w:val="20"/>
              </w:rPr>
              <w:t>of receipt.</w:t>
            </w:r>
          </w:p>
          <w:p w14:paraId="0F509583" w14:textId="4C7406A2" w:rsidR="00F01D0C" w:rsidRDefault="00F01D0C" w:rsidP="00F01D0C">
            <w:pPr>
              <w:autoSpaceDE w:val="0"/>
              <w:autoSpaceDN w:val="0"/>
              <w:adjustRightInd w:val="0"/>
              <w:ind w:leftChars="-1" w:left="-2" w:firstLine="1"/>
              <w:rPr>
                <w:rFonts w:cs="Arial"/>
                <w:sz w:val="20"/>
                <w:szCs w:val="20"/>
              </w:rPr>
            </w:pPr>
            <w:r w:rsidRPr="00B276FF">
              <w:rPr>
                <w:rFonts w:cs="Arial"/>
                <w:sz w:val="20"/>
                <w:szCs w:val="20"/>
              </w:rPr>
              <w:t>Denominator</w:t>
            </w:r>
            <w:r>
              <w:rPr>
                <w:rFonts w:cs="Arial"/>
                <w:sz w:val="20"/>
                <w:szCs w:val="20"/>
              </w:rPr>
              <w:t xml:space="preserve"> (b)</w:t>
            </w:r>
            <w:r w:rsidRPr="00B276FF">
              <w:rPr>
                <w:rFonts w:cs="Arial"/>
                <w:sz w:val="20"/>
                <w:szCs w:val="20"/>
              </w:rPr>
              <w:t xml:space="preserve">: Number </w:t>
            </w:r>
            <w:r>
              <w:rPr>
                <w:rFonts w:cs="Arial"/>
                <w:sz w:val="20"/>
                <w:szCs w:val="20"/>
              </w:rPr>
              <w:t>of</w:t>
            </w:r>
            <w:r w:rsidRPr="00B276FF">
              <w:rPr>
                <w:rFonts w:cs="Arial"/>
                <w:sz w:val="20"/>
                <w:szCs w:val="20"/>
              </w:rPr>
              <w:t xml:space="preserve"> </w:t>
            </w:r>
            <w:r w:rsidR="004719D4" w:rsidRPr="00B276FF">
              <w:rPr>
                <w:rFonts w:cs="Arial"/>
                <w:sz w:val="20"/>
                <w:szCs w:val="20"/>
              </w:rPr>
              <w:t xml:space="preserve">Freedom of Information </w:t>
            </w:r>
            <w:r w:rsidRPr="00B276FF">
              <w:rPr>
                <w:rFonts w:cs="Arial"/>
                <w:sz w:val="20"/>
                <w:szCs w:val="20"/>
              </w:rPr>
              <w:t>requests received by the corporate freedom of information team</w:t>
            </w:r>
            <w:r w:rsidR="00487C61">
              <w:rPr>
                <w:rFonts w:cs="Arial"/>
                <w:sz w:val="20"/>
                <w:szCs w:val="20"/>
              </w:rPr>
              <w:t xml:space="preserve"> within the time period specified.</w:t>
            </w:r>
          </w:p>
          <w:p w14:paraId="734D495A" w14:textId="77777777" w:rsidR="00F01D0C" w:rsidRDefault="00F01D0C" w:rsidP="00F01D0C">
            <w:pPr>
              <w:autoSpaceDE w:val="0"/>
              <w:autoSpaceDN w:val="0"/>
              <w:adjustRightInd w:val="0"/>
              <w:ind w:leftChars="-1" w:left="-2" w:firstLine="1"/>
              <w:rPr>
                <w:rFonts w:eastAsiaTheme="minorHAnsi" w:cs="Arial"/>
                <w:sz w:val="20"/>
                <w:szCs w:val="20"/>
              </w:rPr>
            </w:pPr>
          </w:p>
          <w:p w14:paraId="476E70FC" w14:textId="77777777" w:rsidR="00F01D0C" w:rsidRPr="0067795E" w:rsidRDefault="00F01D0C" w:rsidP="00F01D0C">
            <w:pPr>
              <w:autoSpaceDE w:val="0"/>
              <w:autoSpaceDN w:val="0"/>
              <w:adjustRightInd w:val="0"/>
              <w:rPr>
                <w:rFonts w:eastAsiaTheme="minorHAnsi" w:cs="Arial"/>
                <w:sz w:val="20"/>
                <w:szCs w:val="20"/>
              </w:rPr>
            </w:pPr>
            <w:r w:rsidRPr="0067795E">
              <w:rPr>
                <w:rFonts w:eastAsiaTheme="minorHAnsi" w:cs="Arial"/>
                <w:sz w:val="20"/>
                <w:szCs w:val="20"/>
              </w:rPr>
              <w:t>(a / b) x 100</w:t>
            </w:r>
          </w:p>
          <w:p w14:paraId="7CAB9714" w14:textId="798CC0F3" w:rsidR="00F01D0C" w:rsidRPr="00AF2654" w:rsidRDefault="00F01D0C" w:rsidP="00F01D0C">
            <w:pPr>
              <w:rPr>
                <w:rFonts w:cs="Arial"/>
                <w:sz w:val="20"/>
                <w:szCs w:val="20"/>
              </w:rPr>
            </w:pPr>
          </w:p>
        </w:tc>
      </w:tr>
      <w:tr w:rsidR="0050289B" w:rsidRPr="00BB35A2" w14:paraId="64B968C1"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EB09F"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source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695F"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6CD6AD84"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AF12"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quality</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2227"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6443F920" w14:textId="77777777" w:rsidR="00FB32A0" w:rsidRDefault="00FB32A0" w:rsidP="0050289B">
            <w:pPr>
              <w:rPr>
                <w:rFonts w:cs="Arial"/>
                <w:sz w:val="20"/>
                <w:szCs w:val="20"/>
              </w:rPr>
            </w:pPr>
          </w:p>
          <w:p w14:paraId="1EB91AFE" w14:textId="77777777" w:rsidR="0050289B" w:rsidRDefault="0050289B" w:rsidP="0050289B">
            <w:pPr>
              <w:rPr>
                <w:rFonts w:cs="Arial"/>
                <w:sz w:val="20"/>
                <w:szCs w:val="20"/>
              </w:rPr>
            </w:pPr>
            <w:r>
              <w:rPr>
                <w:rFonts w:cs="Arial"/>
                <w:sz w:val="20"/>
                <w:szCs w:val="20"/>
              </w:rPr>
              <w:t>No external quality assurance has been conducted on the data.</w:t>
            </w:r>
          </w:p>
          <w:p w14:paraId="3E4D37FF" w14:textId="77777777" w:rsidR="00FB32A0" w:rsidRDefault="00FB32A0" w:rsidP="0050289B">
            <w:pPr>
              <w:rPr>
                <w:rFonts w:cs="Arial"/>
                <w:sz w:val="20"/>
                <w:szCs w:val="20"/>
              </w:rPr>
            </w:pPr>
          </w:p>
          <w:p w14:paraId="336A148B"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07A2E959" w14:textId="77777777" w:rsidR="00FB32A0" w:rsidRDefault="00FB32A0" w:rsidP="0050289B">
            <w:pPr>
              <w:rPr>
                <w:rFonts w:cs="Arial"/>
                <w:sz w:val="20"/>
                <w:szCs w:val="20"/>
              </w:rPr>
            </w:pPr>
          </w:p>
          <w:p w14:paraId="0FDEAE70"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02CB8EF4"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64442"/>
    <w:rsid w:val="000A57B5"/>
    <w:rsid w:val="00147977"/>
    <w:rsid w:val="001712E9"/>
    <w:rsid w:val="00187682"/>
    <w:rsid w:val="001B7C75"/>
    <w:rsid w:val="00267990"/>
    <w:rsid w:val="002B331B"/>
    <w:rsid w:val="002E6270"/>
    <w:rsid w:val="002F3851"/>
    <w:rsid w:val="00392845"/>
    <w:rsid w:val="003C4D26"/>
    <w:rsid w:val="003C749C"/>
    <w:rsid w:val="003D30A1"/>
    <w:rsid w:val="004719D4"/>
    <w:rsid w:val="004808D5"/>
    <w:rsid w:val="00487C61"/>
    <w:rsid w:val="004E53B6"/>
    <w:rsid w:val="0050289B"/>
    <w:rsid w:val="00551DDF"/>
    <w:rsid w:val="00605051"/>
    <w:rsid w:val="006C2572"/>
    <w:rsid w:val="00753CE3"/>
    <w:rsid w:val="007717ED"/>
    <w:rsid w:val="00785C6E"/>
    <w:rsid w:val="008020EE"/>
    <w:rsid w:val="00852DDD"/>
    <w:rsid w:val="00864DBB"/>
    <w:rsid w:val="00887386"/>
    <w:rsid w:val="008B5183"/>
    <w:rsid w:val="00A85AB2"/>
    <w:rsid w:val="00AF2654"/>
    <w:rsid w:val="00B276FF"/>
    <w:rsid w:val="00B81B34"/>
    <w:rsid w:val="00B85283"/>
    <w:rsid w:val="00BA669C"/>
    <w:rsid w:val="00BF0DDE"/>
    <w:rsid w:val="00C90033"/>
    <w:rsid w:val="00CE5D42"/>
    <w:rsid w:val="00D22341"/>
    <w:rsid w:val="00EC1139"/>
    <w:rsid w:val="00EE1096"/>
    <w:rsid w:val="00F01D0C"/>
    <w:rsid w:val="00F374D2"/>
    <w:rsid w:val="00FB32A0"/>
    <w:rsid w:val="00FE0369"/>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19DA"/>
  <w15:docId w15:val="{121DFFB2-5646-48AA-BDC9-843CAB47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 w:id="11864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Hester</dc:creator>
  <cp:keywords/>
  <cp:lastModifiedBy>Mary-Ann Domman</cp:lastModifiedBy>
  <cp:revision>32</cp:revision>
  <dcterms:created xsi:type="dcterms:W3CDTF">2015-05-20T23:39:00Z</dcterms:created>
  <dcterms:modified xsi:type="dcterms:W3CDTF">2021-08-23T07:20:00Z</dcterms:modified>
</cp:coreProperties>
</file>