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56" w:type="dxa"/>
        <w:tblInd w:w="108" w:type="dxa"/>
        <w:tblLayout w:type="fixed"/>
        <w:tblLook w:val="04A0" w:firstRow="1" w:lastRow="0" w:firstColumn="1" w:lastColumn="0" w:noHBand="0" w:noVBand="1"/>
      </w:tblPr>
      <w:tblGrid>
        <w:gridCol w:w="2835"/>
        <w:gridCol w:w="1985"/>
        <w:gridCol w:w="4536"/>
      </w:tblGrid>
      <w:tr w:rsidR="0050289B" w:rsidRPr="002A05D3" w14:paraId="42FD9687" w14:textId="77777777" w:rsidTr="0019265E">
        <w:trPr>
          <w:trHeight w:val="336"/>
        </w:trPr>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234E25" w14:textId="77777777" w:rsidR="0050289B" w:rsidRPr="002A05D3" w:rsidRDefault="0050289B" w:rsidP="004A46DC">
            <w:pPr>
              <w:ind w:left="567" w:hanging="567"/>
              <w:jc w:val="both"/>
              <w:rPr>
                <w:rFonts w:cs="Arial"/>
                <w:b/>
                <w:bCs/>
                <w:lang w:eastAsia="en-GB"/>
              </w:rPr>
            </w:pPr>
            <w:r w:rsidRPr="002A05D3">
              <w:rPr>
                <w:rFonts w:cs="Arial"/>
                <w:b/>
                <w:bCs/>
                <w:lang w:eastAsia="en-GB"/>
              </w:rPr>
              <w:t>Borough name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79B715" w14:textId="77777777" w:rsidR="0050289B" w:rsidRPr="002A05D3" w:rsidRDefault="00F55593" w:rsidP="002A05D3">
            <w:pPr>
              <w:jc w:val="right"/>
              <w:rPr>
                <w:rFonts w:cs="Arial"/>
                <w:b/>
                <w:bCs/>
                <w:lang w:eastAsia="en-GB"/>
              </w:rPr>
            </w:pPr>
            <w:r w:rsidRPr="002A05D3">
              <w:rPr>
                <w:rFonts w:cs="Arial"/>
                <w:b/>
                <w:bCs/>
                <w:lang w:eastAsia="en-GB"/>
              </w:rPr>
              <w:t xml:space="preserve">Percentage of invoices paid on time </w:t>
            </w:r>
            <w:r w:rsidR="004A46DC" w:rsidRPr="002A05D3">
              <w:rPr>
                <w:rFonts w:cs="Arial"/>
                <w:b/>
                <w:bCs/>
                <w:lang w:eastAsia="en-GB"/>
              </w:rPr>
              <w:t>(</w:t>
            </w:r>
            <w:r w:rsidRPr="002A05D3">
              <w:rPr>
                <w:rFonts w:cs="Arial"/>
                <w:b/>
                <w:bCs/>
                <w:lang w:eastAsia="en-GB"/>
              </w:rPr>
              <w:t>BVPI 8</w:t>
            </w:r>
            <w:r w:rsidR="004A46DC" w:rsidRPr="002A05D3">
              <w:rPr>
                <w:rFonts w:cs="Arial"/>
                <w:b/>
                <w:bCs/>
                <w:lang w:eastAsia="en-GB"/>
              </w:rPr>
              <w:t>)</w:t>
            </w:r>
          </w:p>
        </w:tc>
        <w:tc>
          <w:tcPr>
            <w:tcW w:w="4536" w:type="dxa"/>
            <w:tcBorders>
              <w:top w:val="single" w:sz="4" w:space="0" w:color="auto"/>
              <w:left w:val="single" w:sz="4" w:space="0" w:color="auto"/>
              <w:bottom w:val="single" w:sz="4" w:space="0" w:color="auto"/>
              <w:right w:val="single" w:sz="4" w:space="0" w:color="auto"/>
            </w:tcBorders>
          </w:tcPr>
          <w:p w14:paraId="7F719211" w14:textId="77777777" w:rsidR="0050289B" w:rsidRPr="002A05D3" w:rsidRDefault="0050289B" w:rsidP="004A46DC">
            <w:pPr>
              <w:rPr>
                <w:rFonts w:cs="Arial"/>
                <w:b/>
                <w:bCs/>
                <w:lang w:eastAsia="en-GB"/>
              </w:rPr>
            </w:pPr>
            <w:r w:rsidRPr="002A05D3">
              <w:rPr>
                <w:rFonts w:cs="Arial"/>
                <w:b/>
                <w:bCs/>
                <w:lang w:eastAsia="en-GB"/>
              </w:rPr>
              <w:t>Link to authorities website for further information</w:t>
            </w:r>
            <w:r w:rsidR="008C1E7E" w:rsidRPr="002A05D3">
              <w:rPr>
                <w:rFonts w:cs="Arial"/>
                <w:b/>
                <w:bCs/>
                <w:lang w:eastAsia="en-GB"/>
              </w:rPr>
              <w:t xml:space="preserve"> – If provided</w:t>
            </w:r>
          </w:p>
        </w:tc>
      </w:tr>
      <w:tr w:rsidR="0019265E" w:rsidRPr="003E675C" w14:paraId="7A69A052" w14:textId="27FBC4C4" w:rsidTr="00192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83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5D358" w14:textId="3D931CB1" w:rsidR="0019265E" w:rsidRPr="005C6440" w:rsidRDefault="0019265E" w:rsidP="0019265E">
            <w:pPr>
              <w:ind w:firstLineChars="100" w:firstLine="200"/>
              <w:rPr>
                <w:rFonts w:cs="Arial"/>
                <w:lang w:eastAsia="en-GB"/>
              </w:rPr>
            </w:pPr>
            <w:r>
              <w:rPr>
                <w:rFonts w:cs="Arial"/>
                <w:sz w:val="20"/>
                <w:szCs w:val="20"/>
              </w:rPr>
              <w:t>Croydon</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069C684" w14:textId="31950B58" w:rsidR="0019265E" w:rsidRPr="005C6440" w:rsidRDefault="0019265E" w:rsidP="0019265E">
            <w:pPr>
              <w:ind w:firstLineChars="100" w:firstLine="200"/>
              <w:jc w:val="right"/>
              <w:rPr>
                <w:rFonts w:cs="Arial"/>
                <w:lang w:eastAsia="en-GB"/>
              </w:rPr>
            </w:pPr>
            <w:r>
              <w:rPr>
                <w:rFonts w:cs="Arial"/>
                <w:sz w:val="20"/>
                <w:szCs w:val="20"/>
              </w:rPr>
              <w:t>80.1</w:t>
            </w:r>
          </w:p>
        </w:tc>
        <w:tc>
          <w:tcPr>
            <w:tcW w:w="4536" w:type="dxa"/>
          </w:tcPr>
          <w:p w14:paraId="00B86C4C" w14:textId="77777777" w:rsidR="0019265E" w:rsidRPr="005C6440" w:rsidRDefault="0019265E" w:rsidP="0019265E">
            <w:pPr>
              <w:ind w:firstLineChars="100" w:firstLine="220"/>
              <w:rPr>
                <w:rFonts w:cs="Arial"/>
                <w:lang w:eastAsia="en-GB"/>
              </w:rPr>
            </w:pPr>
          </w:p>
        </w:tc>
      </w:tr>
      <w:tr w:rsidR="0019265E" w:rsidRPr="003E675C" w14:paraId="2B47329B" w14:textId="320DDE41" w:rsidTr="00192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41386353" w14:textId="4FC07EF4" w:rsidR="0019265E" w:rsidRPr="005C6440" w:rsidRDefault="0019265E" w:rsidP="0019265E">
            <w:pPr>
              <w:ind w:firstLineChars="100" w:firstLine="200"/>
              <w:rPr>
                <w:rFonts w:cs="Arial"/>
                <w:lang w:eastAsia="en-GB"/>
              </w:rPr>
            </w:pPr>
            <w:r>
              <w:rPr>
                <w:rFonts w:cs="Arial"/>
                <w:sz w:val="20"/>
                <w:szCs w:val="20"/>
              </w:rPr>
              <w:t>Ealing</w:t>
            </w:r>
          </w:p>
        </w:tc>
        <w:tc>
          <w:tcPr>
            <w:tcW w:w="1985" w:type="dxa"/>
            <w:tcBorders>
              <w:top w:val="nil"/>
              <w:left w:val="single" w:sz="4" w:space="0" w:color="auto"/>
              <w:bottom w:val="single" w:sz="4" w:space="0" w:color="auto"/>
              <w:right w:val="single" w:sz="4" w:space="0" w:color="auto"/>
            </w:tcBorders>
            <w:shd w:val="clear" w:color="auto" w:fill="auto"/>
            <w:vAlign w:val="center"/>
          </w:tcPr>
          <w:p w14:paraId="35554EC1" w14:textId="3DE1097C" w:rsidR="0019265E" w:rsidRPr="005C6440" w:rsidRDefault="0019265E" w:rsidP="0019265E">
            <w:pPr>
              <w:ind w:firstLineChars="100" w:firstLine="200"/>
              <w:jc w:val="right"/>
              <w:rPr>
                <w:rFonts w:cs="Arial"/>
                <w:lang w:eastAsia="en-GB"/>
              </w:rPr>
            </w:pPr>
            <w:r>
              <w:rPr>
                <w:rFonts w:cs="Arial"/>
                <w:sz w:val="20"/>
                <w:szCs w:val="20"/>
              </w:rPr>
              <w:t>60.7</w:t>
            </w:r>
          </w:p>
        </w:tc>
        <w:tc>
          <w:tcPr>
            <w:tcW w:w="4536" w:type="dxa"/>
          </w:tcPr>
          <w:p w14:paraId="59142433" w14:textId="77777777" w:rsidR="0019265E" w:rsidRPr="005C6440" w:rsidRDefault="0019265E" w:rsidP="0019265E">
            <w:pPr>
              <w:ind w:firstLineChars="100" w:firstLine="220"/>
              <w:rPr>
                <w:rFonts w:cs="Arial"/>
                <w:lang w:eastAsia="en-GB"/>
              </w:rPr>
            </w:pPr>
          </w:p>
        </w:tc>
      </w:tr>
      <w:tr w:rsidR="0019265E" w:rsidRPr="003E675C" w14:paraId="2A74AF4C" w14:textId="22BB7A89" w:rsidTr="00192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656D3AC6" w14:textId="26D32983" w:rsidR="0019265E" w:rsidRPr="005C6440" w:rsidRDefault="0019265E" w:rsidP="0019265E">
            <w:pPr>
              <w:ind w:firstLineChars="100" w:firstLine="200"/>
              <w:rPr>
                <w:rFonts w:cs="Arial"/>
                <w:lang w:eastAsia="en-GB"/>
              </w:rPr>
            </w:pPr>
            <w:r>
              <w:rPr>
                <w:rFonts w:cs="Arial"/>
                <w:sz w:val="20"/>
                <w:szCs w:val="20"/>
              </w:rPr>
              <w:t>Enfield</w:t>
            </w:r>
          </w:p>
        </w:tc>
        <w:tc>
          <w:tcPr>
            <w:tcW w:w="1985" w:type="dxa"/>
            <w:tcBorders>
              <w:top w:val="nil"/>
              <w:left w:val="single" w:sz="4" w:space="0" w:color="auto"/>
              <w:bottom w:val="single" w:sz="4" w:space="0" w:color="auto"/>
              <w:right w:val="single" w:sz="4" w:space="0" w:color="auto"/>
            </w:tcBorders>
            <w:shd w:val="clear" w:color="auto" w:fill="auto"/>
            <w:vAlign w:val="center"/>
          </w:tcPr>
          <w:p w14:paraId="2FFA3788" w14:textId="7D359DB4" w:rsidR="0019265E" w:rsidRPr="005C6440" w:rsidRDefault="0019265E" w:rsidP="0019265E">
            <w:pPr>
              <w:ind w:firstLineChars="100" w:firstLine="200"/>
              <w:jc w:val="right"/>
              <w:rPr>
                <w:rFonts w:cs="Arial"/>
                <w:lang w:eastAsia="en-GB"/>
              </w:rPr>
            </w:pPr>
            <w:r>
              <w:rPr>
                <w:rFonts w:cs="Arial"/>
                <w:sz w:val="20"/>
                <w:szCs w:val="20"/>
              </w:rPr>
              <w:t>96.9</w:t>
            </w:r>
          </w:p>
        </w:tc>
        <w:tc>
          <w:tcPr>
            <w:tcW w:w="4536" w:type="dxa"/>
          </w:tcPr>
          <w:p w14:paraId="0D58A30E" w14:textId="77777777" w:rsidR="0019265E" w:rsidRPr="005C6440" w:rsidRDefault="0019265E" w:rsidP="0019265E">
            <w:pPr>
              <w:ind w:firstLineChars="100" w:firstLine="220"/>
              <w:rPr>
                <w:rFonts w:cs="Arial"/>
                <w:lang w:eastAsia="en-GB"/>
              </w:rPr>
            </w:pPr>
          </w:p>
        </w:tc>
      </w:tr>
      <w:tr w:rsidR="0019265E" w:rsidRPr="003E675C" w14:paraId="16C50938" w14:textId="65ED60D5" w:rsidTr="00192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5975C9A1" w14:textId="0DEC5C63" w:rsidR="0019265E" w:rsidRPr="005C6440" w:rsidRDefault="0019265E" w:rsidP="0019265E">
            <w:pPr>
              <w:ind w:firstLineChars="100" w:firstLine="200"/>
              <w:rPr>
                <w:rFonts w:cs="Arial"/>
                <w:lang w:eastAsia="en-GB"/>
              </w:rPr>
            </w:pPr>
            <w:r>
              <w:rPr>
                <w:rFonts w:cs="Arial"/>
                <w:sz w:val="20"/>
                <w:szCs w:val="20"/>
              </w:rPr>
              <w:t>Haringey</w:t>
            </w:r>
          </w:p>
        </w:tc>
        <w:tc>
          <w:tcPr>
            <w:tcW w:w="1985" w:type="dxa"/>
            <w:tcBorders>
              <w:top w:val="nil"/>
              <w:left w:val="single" w:sz="4" w:space="0" w:color="auto"/>
              <w:bottom w:val="single" w:sz="4" w:space="0" w:color="auto"/>
              <w:right w:val="single" w:sz="4" w:space="0" w:color="auto"/>
            </w:tcBorders>
            <w:shd w:val="clear" w:color="auto" w:fill="auto"/>
            <w:vAlign w:val="center"/>
          </w:tcPr>
          <w:p w14:paraId="204CB77F" w14:textId="0CF0036C" w:rsidR="0019265E" w:rsidRPr="005C6440" w:rsidRDefault="0019265E" w:rsidP="0019265E">
            <w:pPr>
              <w:ind w:firstLineChars="100" w:firstLine="200"/>
              <w:jc w:val="right"/>
              <w:rPr>
                <w:rFonts w:cs="Arial"/>
                <w:lang w:eastAsia="en-GB"/>
              </w:rPr>
            </w:pPr>
            <w:r>
              <w:rPr>
                <w:rFonts w:cs="Arial"/>
                <w:sz w:val="20"/>
                <w:szCs w:val="20"/>
              </w:rPr>
              <w:t>91.0</w:t>
            </w:r>
          </w:p>
        </w:tc>
        <w:tc>
          <w:tcPr>
            <w:tcW w:w="4536" w:type="dxa"/>
          </w:tcPr>
          <w:p w14:paraId="5EA8C882" w14:textId="77777777" w:rsidR="0019265E" w:rsidRPr="005C6440" w:rsidRDefault="0019265E" w:rsidP="0019265E">
            <w:pPr>
              <w:ind w:firstLineChars="100" w:firstLine="220"/>
              <w:rPr>
                <w:rFonts w:cs="Arial"/>
                <w:lang w:eastAsia="en-GB"/>
              </w:rPr>
            </w:pPr>
          </w:p>
        </w:tc>
      </w:tr>
      <w:tr w:rsidR="0019265E" w:rsidRPr="003E675C" w14:paraId="26FCA365" w14:textId="4F1BC532" w:rsidTr="00192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1FFF7A1E" w14:textId="3FA0F49E" w:rsidR="0019265E" w:rsidRPr="005C6440" w:rsidRDefault="0019265E" w:rsidP="0019265E">
            <w:pPr>
              <w:ind w:firstLineChars="100" w:firstLine="200"/>
              <w:rPr>
                <w:rFonts w:cs="Arial"/>
                <w:lang w:eastAsia="en-GB"/>
              </w:rPr>
            </w:pPr>
            <w:r>
              <w:rPr>
                <w:rFonts w:cs="Arial"/>
                <w:sz w:val="20"/>
                <w:szCs w:val="20"/>
              </w:rPr>
              <w:t>Lambeth</w:t>
            </w:r>
          </w:p>
        </w:tc>
        <w:tc>
          <w:tcPr>
            <w:tcW w:w="1985" w:type="dxa"/>
            <w:tcBorders>
              <w:top w:val="nil"/>
              <w:left w:val="single" w:sz="4" w:space="0" w:color="auto"/>
              <w:bottom w:val="single" w:sz="4" w:space="0" w:color="auto"/>
              <w:right w:val="single" w:sz="4" w:space="0" w:color="auto"/>
            </w:tcBorders>
            <w:shd w:val="clear" w:color="auto" w:fill="auto"/>
            <w:vAlign w:val="center"/>
          </w:tcPr>
          <w:p w14:paraId="339F9ACE" w14:textId="102245FF" w:rsidR="0019265E" w:rsidRPr="005C6440" w:rsidRDefault="0019265E" w:rsidP="0019265E">
            <w:pPr>
              <w:ind w:firstLineChars="100" w:firstLine="200"/>
              <w:jc w:val="right"/>
              <w:rPr>
                <w:rFonts w:cs="Arial"/>
                <w:lang w:eastAsia="en-GB"/>
              </w:rPr>
            </w:pPr>
            <w:r>
              <w:rPr>
                <w:rFonts w:cs="Arial"/>
                <w:sz w:val="20"/>
                <w:szCs w:val="20"/>
              </w:rPr>
              <w:t>9</w:t>
            </w:r>
            <w:r w:rsidR="008647CB">
              <w:rPr>
                <w:rFonts w:cs="Arial"/>
                <w:sz w:val="20"/>
                <w:szCs w:val="20"/>
              </w:rPr>
              <w:t>4</w:t>
            </w:r>
            <w:r>
              <w:rPr>
                <w:rFonts w:cs="Arial"/>
                <w:sz w:val="20"/>
                <w:szCs w:val="20"/>
              </w:rPr>
              <w:t>.</w:t>
            </w:r>
            <w:r w:rsidR="008647CB">
              <w:rPr>
                <w:rFonts w:cs="Arial"/>
                <w:sz w:val="20"/>
                <w:szCs w:val="20"/>
              </w:rPr>
              <w:t>4</w:t>
            </w:r>
          </w:p>
        </w:tc>
        <w:tc>
          <w:tcPr>
            <w:tcW w:w="4536" w:type="dxa"/>
          </w:tcPr>
          <w:p w14:paraId="7768F836" w14:textId="77777777" w:rsidR="0019265E" w:rsidRPr="005C6440" w:rsidRDefault="0019265E" w:rsidP="0019265E">
            <w:pPr>
              <w:ind w:firstLineChars="100" w:firstLine="220"/>
              <w:rPr>
                <w:rFonts w:cs="Arial"/>
                <w:lang w:eastAsia="en-GB"/>
              </w:rPr>
            </w:pPr>
          </w:p>
        </w:tc>
      </w:tr>
      <w:tr w:rsidR="0019265E" w:rsidRPr="003E675C" w14:paraId="59529AFB" w14:textId="569C09A7" w:rsidTr="001926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835" w:type="dxa"/>
            <w:tcBorders>
              <w:top w:val="nil"/>
              <w:left w:val="single" w:sz="4" w:space="0" w:color="auto"/>
              <w:bottom w:val="single" w:sz="4" w:space="0" w:color="auto"/>
              <w:right w:val="single" w:sz="4" w:space="0" w:color="auto"/>
            </w:tcBorders>
            <w:shd w:val="clear" w:color="auto" w:fill="auto"/>
            <w:noWrap/>
            <w:vAlign w:val="bottom"/>
          </w:tcPr>
          <w:p w14:paraId="45153302" w14:textId="1CD52326" w:rsidR="0019265E" w:rsidRPr="005C6440" w:rsidRDefault="0019265E" w:rsidP="0019265E">
            <w:pPr>
              <w:ind w:firstLineChars="100" w:firstLine="200"/>
              <w:rPr>
                <w:rFonts w:cs="Arial"/>
                <w:lang w:eastAsia="en-GB"/>
              </w:rPr>
            </w:pPr>
            <w:r>
              <w:rPr>
                <w:rFonts w:cs="Arial"/>
                <w:sz w:val="20"/>
                <w:szCs w:val="20"/>
              </w:rPr>
              <w:t>Sutton</w:t>
            </w:r>
          </w:p>
        </w:tc>
        <w:tc>
          <w:tcPr>
            <w:tcW w:w="1985" w:type="dxa"/>
            <w:tcBorders>
              <w:top w:val="nil"/>
              <w:left w:val="single" w:sz="4" w:space="0" w:color="auto"/>
              <w:bottom w:val="single" w:sz="4" w:space="0" w:color="auto"/>
              <w:right w:val="single" w:sz="4" w:space="0" w:color="auto"/>
            </w:tcBorders>
            <w:shd w:val="clear" w:color="auto" w:fill="auto"/>
            <w:vAlign w:val="center"/>
          </w:tcPr>
          <w:p w14:paraId="03617231" w14:textId="54A51AC1" w:rsidR="0019265E" w:rsidRPr="005C6440" w:rsidRDefault="0019265E" w:rsidP="0019265E">
            <w:pPr>
              <w:ind w:firstLineChars="100" w:firstLine="200"/>
              <w:jc w:val="right"/>
              <w:rPr>
                <w:rFonts w:cs="Arial"/>
                <w:lang w:eastAsia="en-GB"/>
              </w:rPr>
            </w:pPr>
            <w:r>
              <w:rPr>
                <w:rFonts w:cs="Arial"/>
                <w:sz w:val="20"/>
                <w:szCs w:val="20"/>
              </w:rPr>
              <w:t>95.0</w:t>
            </w:r>
          </w:p>
        </w:tc>
        <w:tc>
          <w:tcPr>
            <w:tcW w:w="4536" w:type="dxa"/>
          </w:tcPr>
          <w:p w14:paraId="3B2B2150" w14:textId="77777777" w:rsidR="0019265E" w:rsidRPr="005C6440" w:rsidRDefault="0019265E" w:rsidP="0019265E">
            <w:pPr>
              <w:ind w:firstLineChars="100" w:firstLine="220"/>
              <w:rPr>
                <w:rFonts w:cs="Arial"/>
                <w:lang w:eastAsia="en-GB"/>
              </w:rPr>
            </w:pPr>
          </w:p>
        </w:tc>
      </w:tr>
    </w:tbl>
    <w:p w14:paraId="48FB7530" w14:textId="77777777" w:rsidR="00D26338" w:rsidRDefault="00D26338"/>
    <w:tbl>
      <w:tblPr>
        <w:tblW w:w="9513" w:type="dxa"/>
        <w:tblInd w:w="93" w:type="dxa"/>
        <w:tblLayout w:type="fixed"/>
        <w:tblLook w:val="04A0" w:firstRow="1" w:lastRow="0" w:firstColumn="1" w:lastColumn="0" w:noHBand="0" w:noVBand="1"/>
      </w:tblPr>
      <w:tblGrid>
        <w:gridCol w:w="2524"/>
        <w:gridCol w:w="6989"/>
      </w:tblGrid>
      <w:tr w:rsidR="00417FC1" w:rsidRPr="00BB35A2" w14:paraId="7A44D8AC" w14:textId="77777777" w:rsidTr="008C1E7E">
        <w:trPr>
          <w:trHeight w:val="240"/>
        </w:trPr>
        <w:tc>
          <w:tcPr>
            <w:tcW w:w="9513" w:type="dxa"/>
            <w:gridSpan w:val="2"/>
            <w:tcBorders>
              <w:top w:val="single" w:sz="2" w:space="0" w:color="auto"/>
              <w:left w:val="single" w:sz="2" w:space="0" w:color="auto"/>
              <w:bottom w:val="single" w:sz="2" w:space="0" w:color="auto"/>
              <w:right w:val="single" w:sz="2" w:space="0" w:color="auto"/>
            </w:tcBorders>
            <w:shd w:val="clear" w:color="auto" w:fill="auto"/>
            <w:noWrap/>
            <w:vAlign w:val="bottom"/>
          </w:tcPr>
          <w:p w14:paraId="5802B0C8" w14:textId="77777777" w:rsidR="00417FC1" w:rsidRPr="008C3E14" w:rsidRDefault="00417FC1" w:rsidP="005F2CB1">
            <w:pPr>
              <w:ind w:left="567" w:hanging="567"/>
              <w:jc w:val="center"/>
              <w:rPr>
                <w:rFonts w:cs="Arial"/>
                <w:sz w:val="20"/>
                <w:szCs w:val="20"/>
                <w:lang w:eastAsia="en-GB"/>
              </w:rPr>
            </w:pPr>
            <w:r w:rsidRPr="008C3E14">
              <w:rPr>
                <w:rFonts w:cs="Arial"/>
                <w:b/>
                <w:sz w:val="24"/>
              </w:rPr>
              <w:t>Meta data:</w:t>
            </w:r>
          </w:p>
        </w:tc>
      </w:tr>
      <w:tr w:rsidR="00417FC1" w:rsidRPr="00BB35A2" w14:paraId="0467BBD8" w14:textId="77777777" w:rsidTr="008C1E7E">
        <w:trPr>
          <w:trHeight w:val="240"/>
        </w:trPr>
        <w:tc>
          <w:tcPr>
            <w:tcW w:w="2524" w:type="dxa"/>
            <w:tcBorders>
              <w:top w:val="single" w:sz="2" w:space="0" w:color="auto"/>
              <w:left w:val="single" w:sz="4" w:space="0" w:color="auto"/>
              <w:bottom w:val="single" w:sz="4" w:space="0" w:color="auto"/>
              <w:right w:val="single" w:sz="4" w:space="0" w:color="auto"/>
            </w:tcBorders>
            <w:shd w:val="clear" w:color="auto" w:fill="auto"/>
            <w:noWrap/>
            <w:vAlign w:val="center"/>
          </w:tcPr>
          <w:p w14:paraId="3E392D87" w14:textId="77777777" w:rsidR="00417FC1" w:rsidRPr="005B6660" w:rsidRDefault="00417FC1" w:rsidP="0050289B">
            <w:pPr>
              <w:ind w:left="567" w:hanging="567"/>
              <w:rPr>
                <w:rFonts w:cs="Arial"/>
                <w:sz w:val="20"/>
                <w:szCs w:val="20"/>
                <w:lang w:eastAsia="en-GB"/>
              </w:rPr>
            </w:pPr>
            <w:r w:rsidRPr="005B6660">
              <w:rPr>
                <w:rFonts w:cs="Arial"/>
                <w:b/>
                <w:sz w:val="20"/>
                <w:szCs w:val="20"/>
              </w:rPr>
              <w:t>Date period provided</w:t>
            </w:r>
            <w:r w:rsidRPr="005B6660">
              <w:rPr>
                <w:rFonts w:cs="Arial"/>
                <w:sz w:val="20"/>
                <w:szCs w:val="20"/>
              </w:rPr>
              <w:t>:</w:t>
            </w:r>
          </w:p>
        </w:tc>
        <w:tc>
          <w:tcPr>
            <w:tcW w:w="6989" w:type="dxa"/>
            <w:tcBorders>
              <w:top w:val="single" w:sz="2" w:space="0" w:color="auto"/>
              <w:left w:val="single" w:sz="4" w:space="0" w:color="auto"/>
              <w:bottom w:val="single" w:sz="4" w:space="0" w:color="auto"/>
              <w:right w:val="single" w:sz="4" w:space="0" w:color="auto"/>
            </w:tcBorders>
            <w:shd w:val="clear" w:color="auto" w:fill="auto"/>
            <w:noWrap/>
            <w:vAlign w:val="center"/>
          </w:tcPr>
          <w:p w14:paraId="32947560" w14:textId="55B13483" w:rsidR="00417FC1" w:rsidRPr="004E6944" w:rsidRDefault="00417FC1" w:rsidP="008426A4">
            <w:pPr>
              <w:ind w:left="567" w:hanging="567"/>
              <w:rPr>
                <w:rFonts w:cs="Arial"/>
                <w:sz w:val="20"/>
                <w:szCs w:val="20"/>
              </w:rPr>
            </w:pPr>
            <w:r>
              <w:rPr>
                <w:rFonts w:cs="Arial"/>
                <w:sz w:val="20"/>
                <w:szCs w:val="20"/>
              </w:rPr>
              <w:t>Financial year 1 April 201</w:t>
            </w:r>
            <w:r w:rsidR="00E144DC">
              <w:rPr>
                <w:rFonts w:cs="Arial"/>
                <w:sz w:val="20"/>
                <w:szCs w:val="20"/>
              </w:rPr>
              <w:t>9</w:t>
            </w:r>
            <w:r>
              <w:rPr>
                <w:rFonts w:cs="Arial"/>
                <w:sz w:val="20"/>
                <w:szCs w:val="20"/>
              </w:rPr>
              <w:t xml:space="preserve"> to 31 March</w:t>
            </w:r>
            <w:r w:rsidRPr="004E6944">
              <w:rPr>
                <w:rFonts w:cs="Arial"/>
                <w:sz w:val="20"/>
                <w:szCs w:val="20"/>
              </w:rPr>
              <w:t xml:space="preserve"> </w:t>
            </w:r>
            <w:r>
              <w:rPr>
                <w:rFonts w:cs="Arial"/>
                <w:sz w:val="20"/>
                <w:szCs w:val="20"/>
              </w:rPr>
              <w:t>20</w:t>
            </w:r>
            <w:r w:rsidR="00E144DC">
              <w:rPr>
                <w:rFonts w:cs="Arial"/>
                <w:sz w:val="20"/>
                <w:szCs w:val="20"/>
              </w:rPr>
              <w:t>20</w:t>
            </w:r>
          </w:p>
        </w:tc>
      </w:tr>
      <w:tr w:rsidR="00417FC1" w:rsidRPr="00BB35A2" w14:paraId="17CC131C" w14:textId="77777777" w:rsidTr="008C1E7E">
        <w:trPr>
          <w:trHeight w:val="240"/>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9E0A63" w14:textId="77777777" w:rsidR="00417FC1" w:rsidRPr="005B6660" w:rsidRDefault="00417FC1" w:rsidP="0050289B">
            <w:pPr>
              <w:ind w:left="49" w:hanging="49"/>
              <w:rPr>
                <w:rFonts w:cs="Arial"/>
                <w:sz w:val="20"/>
                <w:szCs w:val="20"/>
                <w:lang w:eastAsia="en-GB"/>
              </w:rPr>
            </w:pPr>
            <w:r w:rsidRPr="005B6660">
              <w:rPr>
                <w:rFonts w:cs="Arial"/>
                <w:b/>
                <w:color w:val="000000"/>
                <w:sz w:val="20"/>
                <w:szCs w:val="20"/>
              </w:rPr>
              <w:t>What does this indicator measure?</w:t>
            </w:r>
          </w:p>
        </w:tc>
        <w:tc>
          <w:tcPr>
            <w:tcW w:w="69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1454B" w14:textId="77777777" w:rsidR="00417FC1" w:rsidRPr="00F55593" w:rsidRDefault="00417FC1" w:rsidP="008426A4">
            <w:pPr>
              <w:autoSpaceDE w:val="0"/>
              <w:autoSpaceDN w:val="0"/>
              <w:adjustRightInd w:val="0"/>
              <w:rPr>
                <w:rFonts w:cs="Arial"/>
                <w:sz w:val="20"/>
                <w:szCs w:val="20"/>
              </w:rPr>
            </w:pPr>
            <w:r w:rsidRPr="00F55593">
              <w:rPr>
                <w:rFonts w:eastAsiaTheme="minorHAnsi" w:cs="Arial"/>
                <w:sz w:val="20"/>
                <w:szCs w:val="20"/>
              </w:rPr>
              <w:t xml:space="preserve">Percentage of invoices for commercial goods </w:t>
            </w:r>
            <w:r w:rsidR="008426A4">
              <w:rPr>
                <w:rFonts w:eastAsiaTheme="minorHAnsi" w:cs="Arial"/>
                <w:sz w:val="20"/>
                <w:szCs w:val="20"/>
              </w:rPr>
              <w:t xml:space="preserve">and </w:t>
            </w:r>
            <w:r w:rsidRPr="00F55593">
              <w:rPr>
                <w:rFonts w:eastAsiaTheme="minorHAnsi" w:cs="Arial"/>
                <w:sz w:val="20"/>
                <w:szCs w:val="20"/>
              </w:rPr>
              <w:t>services paid by the Authority within</w:t>
            </w:r>
            <w:r w:rsidR="008426A4">
              <w:rPr>
                <w:rFonts w:eastAsiaTheme="minorHAnsi" w:cs="Arial"/>
                <w:sz w:val="20"/>
                <w:szCs w:val="20"/>
              </w:rPr>
              <w:t xml:space="preserve"> </w:t>
            </w:r>
            <w:r w:rsidRPr="00F55593">
              <w:rPr>
                <w:rFonts w:eastAsiaTheme="minorHAnsi" w:cs="Arial"/>
                <w:sz w:val="20"/>
                <w:szCs w:val="20"/>
              </w:rPr>
              <w:t>30</w:t>
            </w:r>
            <w:r w:rsidR="008426A4">
              <w:rPr>
                <w:rFonts w:eastAsiaTheme="minorHAnsi" w:cs="Arial"/>
                <w:sz w:val="20"/>
                <w:szCs w:val="20"/>
              </w:rPr>
              <w:t xml:space="preserve"> </w:t>
            </w:r>
            <w:r w:rsidRPr="00F55593">
              <w:rPr>
                <w:rFonts w:eastAsiaTheme="minorHAnsi" w:cs="Arial"/>
                <w:sz w:val="20"/>
                <w:szCs w:val="20"/>
              </w:rPr>
              <w:t>days of receipt or within the agreed payment terms</w:t>
            </w:r>
          </w:p>
        </w:tc>
      </w:tr>
      <w:tr w:rsidR="00417FC1" w:rsidRPr="00BB35A2" w14:paraId="43257B41" w14:textId="77777777" w:rsidTr="008C1E7E">
        <w:trPr>
          <w:trHeight w:val="240"/>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5C9E1" w14:textId="77777777" w:rsidR="00417FC1" w:rsidRPr="005B6660" w:rsidRDefault="00417FC1" w:rsidP="0050289B">
            <w:pPr>
              <w:ind w:left="49" w:hanging="49"/>
              <w:rPr>
                <w:rFonts w:cs="Arial"/>
                <w:b/>
                <w:color w:val="000000"/>
                <w:sz w:val="20"/>
                <w:szCs w:val="20"/>
              </w:rPr>
            </w:pPr>
            <w:r w:rsidRPr="005B6660">
              <w:rPr>
                <w:rFonts w:cs="Arial"/>
                <w:b/>
                <w:bCs/>
                <w:color w:val="000000"/>
                <w:sz w:val="20"/>
                <w:szCs w:val="20"/>
                <w:lang w:eastAsia="en-GB"/>
              </w:rPr>
              <w:t>Purpose/aim</w:t>
            </w:r>
          </w:p>
        </w:tc>
        <w:tc>
          <w:tcPr>
            <w:tcW w:w="69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E72C2" w14:textId="77777777" w:rsidR="00417FC1" w:rsidRPr="00F55593" w:rsidRDefault="00417FC1" w:rsidP="003E01B6">
            <w:pPr>
              <w:ind w:left="49" w:hanging="49"/>
              <w:rPr>
                <w:rFonts w:cs="Arial"/>
                <w:sz w:val="20"/>
                <w:szCs w:val="20"/>
              </w:rPr>
            </w:pPr>
            <w:r w:rsidRPr="00F55593">
              <w:rPr>
                <w:rFonts w:eastAsiaTheme="minorHAnsi" w:cs="Arial"/>
                <w:sz w:val="20"/>
                <w:szCs w:val="20"/>
              </w:rPr>
              <w:t>To encourage prompt payment of invoices received.</w:t>
            </w:r>
          </w:p>
        </w:tc>
      </w:tr>
      <w:tr w:rsidR="00417FC1" w:rsidRPr="00BB35A2" w14:paraId="77F1BD3D" w14:textId="77777777" w:rsidTr="008C1E7E">
        <w:trPr>
          <w:trHeight w:val="240"/>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65358" w14:textId="77777777" w:rsidR="00417FC1" w:rsidRPr="005B6660" w:rsidRDefault="00417FC1" w:rsidP="0050289B">
            <w:pPr>
              <w:ind w:left="49" w:hanging="49"/>
              <w:rPr>
                <w:rFonts w:cs="Arial"/>
                <w:b/>
                <w:bCs/>
                <w:color w:val="000000"/>
                <w:sz w:val="20"/>
                <w:szCs w:val="20"/>
                <w:lang w:eastAsia="en-GB"/>
              </w:rPr>
            </w:pPr>
            <w:r w:rsidRPr="005B6660">
              <w:rPr>
                <w:rFonts w:cs="Arial"/>
                <w:b/>
                <w:bCs/>
                <w:color w:val="000000"/>
                <w:sz w:val="20"/>
                <w:szCs w:val="20"/>
                <w:lang w:eastAsia="en-GB"/>
              </w:rPr>
              <w:t>Definition</w:t>
            </w:r>
          </w:p>
        </w:tc>
        <w:tc>
          <w:tcPr>
            <w:tcW w:w="69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E80B91" w14:textId="77777777" w:rsidR="00417FC1" w:rsidRPr="00F55593" w:rsidRDefault="00417FC1" w:rsidP="00F55593">
            <w:pPr>
              <w:autoSpaceDE w:val="0"/>
              <w:autoSpaceDN w:val="0"/>
              <w:adjustRightInd w:val="0"/>
              <w:rPr>
                <w:rFonts w:eastAsiaTheme="minorHAnsi" w:cs="Arial"/>
                <w:sz w:val="20"/>
                <w:szCs w:val="20"/>
              </w:rPr>
            </w:pPr>
            <w:r w:rsidRPr="00F55593">
              <w:rPr>
                <w:rFonts w:eastAsiaTheme="minorHAnsi" w:cs="Arial"/>
                <w:sz w:val="20"/>
                <w:szCs w:val="20"/>
              </w:rPr>
              <w:t>The number of undisputed invoices for commercial goods and services paid within mutually agreed terms or 30 days if such terms do not exist. To be expressed as a percentage of all such invoices paid by the Authority in the year. Exclude invoices paid from delegated school budgets.</w:t>
            </w:r>
          </w:p>
          <w:p w14:paraId="1C10A726" w14:textId="77777777" w:rsidR="00417FC1" w:rsidRPr="00F55593" w:rsidRDefault="00417FC1" w:rsidP="00F55593">
            <w:pPr>
              <w:autoSpaceDE w:val="0"/>
              <w:autoSpaceDN w:val="0"/>
              <w:adjustRightInd w:val="0"/>
              <w:rPr>
                <w:rFonts w:eastAsiaTheme="minorHAnsi" w:cs="Arial"/>
                <w:sz w:val="20"/>
                <w:szCs w:val="20"/>
              </w:rPr>
            </w:pPr>
            <w:r w:rsidRPr="00F55593">
              <w:rPr>
                <w:rFonts w:eastAsiaTheme="minorHAnsi" w:cs="Arial"/>
                <w:sz w:val="20"/>
                <w:szCs w:val="20"/>
              </w:rPr>
              <w:t>The time starts from the date the Authority (not the payment section) receives the invoice to the date of: Dispatch of a cheque or other payment instrument; Notification to the bank for BACS payment; or Bank processing of the payment if the authority specifies a period after which the bank is to make payments once it has received the BACS tape.</w:t>
            </w:r>
          </w:p>
          <w:p w14:paraId="45E91ED1" w14:textId="77777777" w:rsidR="00417FC1" w:rsidRPr="00F55593" w:rsidRDefault="00417FC1" w:rsidP="00F55593">
            <w:pPr>
              <w:autoSpaceDE w:val="0"/>
              <w:autoSpaceDN w:val="0"/>
              <w:adjustRightInd w:val="0"/>
              <w:rPr>
                <w:rFonts w:eastAsiaTheme="minorHAnsi" w:cs="Arial"/>
                <w:sz w:val="20"/>
                <w:szCs w:val="20"/>
              </w:rPr>
            </w:pPr>
            <w:r w:rsidRPr="00F55593">
              <w:rPr>
                <w:rFonts w:eastAsiaTheme="minorHAnsi" w:cs="Arial"/>
                <w:sz w:val="20"/>
                <w:szCs w:val="20"/>
              </w:rPr>
              <w:t>If an invoice is received in advance, the 30 day or agreed term period starts from the satisfactory receipt of goods and/or services. Where the Authority does not record the date it receives the invoice it should add two days to the date of the invoice, unless it has sampled invoices during that year to get a more accurate period of delivery.</w:t>
            </w:r>
          </w:p>
          <w:p w14:paraId="1B5012BE" w14:textId="77777777" w:rsidR="00417FC1" w:rsidRPr="00F55593" w:rsidRDefault="00417FC1" w:rsidP="00F55593">
            <w:pPr>
              <w:autoSpaceDE w:val="0"/>
              <w:autoSpaceDN w:val="0"/>
              <w:adjustRightInd w:val="0"/>
              <w:rPr>
                <w:rFonts w:eastAsiaTheme="minorHAnsi" w:cs="Arial"/>
                <w:sz w:val="20"/>
                <w:szCs w:val="20"/>
              </w:rPr>
            </w:pPr>
            <w:r w:rsidRPr="00F55593">
              <w:rPr>
                <w:rFonts w:eastAsiaTheme="minorHAnsi" w:cs="Arial"/>
                <w:sz w:val="20"/>
                <w:szCs w:val="20"/>
              </w:rPr>
              <w:t>If sampling is used, the sample should be broadly representative of all invoices received by different departments and at different times of the year, and consist of at least 500 invoices.</w:t>
            </w:r>
          </w:p>
          <w:p w14:paraId="69EBBC31" w14:textId="77777777" w:rsidR="00417FC1" w:rsidRPr="00F55593" w:rsidRDefault="00417FC1" w:rsidP="00F55593">
            <w:pPr>
              <w:autoSpaceDE w:val="0"/>
              <w:autoSpaceDN w:val="0"/>
              <w:adjustRightInd w:val="0"/>
              <w:rPr>
                <w:rFonts w:eastAsiaTheme="minorHAnsi" w:cs="Arial"/>
                <w:sz w:val="20"/>
                <w:szCs w:val="20"/>
              </w:rPr>
            </w:pPr>
            <w:r w:rsidRPr="00F55593">
              <w:rPr>
                <w:rFonts w:eastAsiaTheme="minorHAnsi" w:cs="Arial"/>
                <w:sz w:val="20"/>
                <w:szCs w:val="20"/>
              </w:rPr>
              <w:t>‘Mutually agreed terms’ means terms that have been specifically agreed to by the Authority and supplier rather than those a supplier puts on the end of an invoice as a matter of course. If the Authority has agreed terms they take precedence over the thirty-day period.</w:t>
            </w:r>
          </w:p>
          <w:p w14:paraId="139F9459" w14:textId="77777777" w:rsidR="00417FC1" w:rsidRPr="00F55593" w:rsidRDefault="00417FC1" w:rsidP="00F55593">
            <w:pPr>
              <w:autoSpaceDE w:val="0"/>
              <w:autoSpaceDN w:val="0"/>
              <w:adjustRightInd w:val="0"/>
              <w:rPr>
                <w:rFonts w:eastAsiaTheme="minorHAnsi" w:cs="Arial"/>
                <w:sz w:val="20"/>
                <w:szCs w:val="20"/>
              </w:rPr>
            </w:pPr>
            <w:r w:rsidRPr="00F55593">
              <w:rPr>
                <w:rFonts w:eastAsiaTheme="minorHAnsi" w:cs="Arial"/>
                <w:sz w:val="20"/>
                <w:szCs w:val="20"/>
              </w:rPr>
              <w:t>Authorities may include invoices which fall within the scope of VAT (remembering that zero rated and exempt items still fall within the scope of VAT) and exclude those that should be omitted from box 7 of the VAT return.</w:t>
            </w:r>
          </w:p>
          <w:p w14:paraId="6C0AC710" w14:textId="77777777" w:rsidR="00417FC1" w:rsidRPr="00F55593" w:rsidRDefault="00417FC1" w:rsidP="00F55593">
            <w:pPr>
              <w:autoSpaceDE w:val="0"/>
              <w:autoSpaceDN w:val="0"/>
              <w:adjustRightInd w:val="0"/>
              <w:rPr>
                <w:rFonts w:eastAsiaTheme="minorHAnsi" w:cs="Arial"/>
                <w:sz w:val="20"/>
                <w:szCs w:val="20"/>
              </w:rPr>
            </w:pPr>
            <w:r w:rsidRPr="00F55593">
              <w:rPr>
                <w:rFonts w:eastAsiaTheme="minorHAnsi" w:cs="Arial"/>
                <w:sz w:val="20"/>
                <w:szCs w:val="20"/>
              </w:rPr>
              <w:t>All direct debit items count as a success and each payment by a procurement card bill counts as an 'invoice' rather than the number of items on the bill.</w:t>
            </w:r>
          </w:p>
          <w:p w14:paraId="74839B82" w14:textId="77777777" w:rsidR="00417FC1" w:rsidRPr="00F55593" w:rsidRDefault="00417FC1" w:rsidP="00F55593">
            <w:pPr>
              <w:autoSpaceDE w:val="0"/>
              <w:autoSpaceDN w:val="0"/>
              <w:adjustRightInd w:val="0"/>
              <w:rPr>
                <w:rFonts w:cs="Arial"/>
                <w:sz w:val="20"/>
                <w:szCs w:val="20"/>
              </w:rPr>
            </w:pPr>
            <w:r w:rsidRPr="00F55593">
              <w:rPr>
                <w:rFonts w:eastAsiaTheme="minorHAnsi" w:cs="Arial"/>
                <w:sz w:val="20"/>
                <w:szCs w:val="20"/>
              </w:rPr>
              <w:t>Invoices paid by ALMOs should not be counted in this indicator.</w:t>
            </w:r>
          </w:p>
        </w:tc>
      </w:tr>
      <w:tr w:rsidR="00417FC1" w:rsidRPr="00BB35A2" w14:paraId="4BF1DB06" w14:textId="77777777" w:rsidTr="008C1E7E">
        <w:trPr>
          <w:trHeight w:val="240"/>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5C679" w14:textId="77777777" w:rsidR="00417FC1" w:rsidRPr="005B6660" w:rsidRDefault="00417FC1" w:rsidP="00F55593">
            <w:pPr>
              <w:ind w:leftChars="-1" w:left="-2" w:firstLine="1"/>
              <w:rPr>
                <w:rFonts w:cs="Arial"/>
                <w:sz w:val="20"/>
                <w:szCs w:val="20"/>
                <w:lang w:eastAsia="en-GB"/>
              </w:rPr>
            </w:pPr>
            <w:r w:rsidRPr="005B6660">
              <w:rPr>
                <w:rFonts w:cs="Arial"/>
                <w:b/>
                <w:color w:val="000000"/>
                <w:sz w:val="20"/>
                <w:szCs w:val="20"/>
              </w:rPr>
              <w:t>How calculated</w:t>
            </w:r>
          </w:p>
        </w:tc>
        <w:tc>
          <w:tcPr>
            <w:tcW w:w="69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BC66E" w14:textId="77777777" w:rsidR="00417FC1" w:rsidRPr="0067795E" w:rsidRDefault="00417FC1" w:rsidP="00F55593">
            <w:pPr>
              <w:autoSpaceDE w:val="0"/>
              <w:autoSpaceDN w:val="0"/>
              <w:adjustRightInd w:val="0"/>
              <w:ind w:leftChars="-1" w:left="-2" w:firstLine="1"/>
              <w:rPr>
                <w:rFonts w:eastAsiaTheme="minorHAnsi" w:cs="Arial"/>
                <w:sz w:val="20"/>
                <w:szCs w:val="20"/>
              </w:rPr>
            </w:pPr>
            <w:r w:rsidRPr="0067795E">
              <w:rPr>
                <w:rFonts w:eastAsiaTheme="minorHAnsi" w:cs="Arial"/>
                <w:sz w:val="20"/>
                <w:szCs w:val="20"/>
              </w:rPr>
              <w:t>The denominator is the total number of undisputed invoices received.</w:t>
            </w:r>
          </w:p>
          <w:p w14:paraId="3E8845D3" w14:textId="77777777" w:rsidR="00417FC1" w:rsidRPr="0067795E" w:rsidRDefault="00417FC1" w:rsidP="0067795E">
            <w:pPr>
              <w:autoSpaceDE w:val="0"/>
              <w:autoSpaceDN w:val="0"/>
              <w:adjustRightInd w:val="0"/>
              <w:rPr>
                <w:rFonts w:eastAsiaTheme="minorHAnsi" w:cs="Arial"/>
                <w:sz w:val="20"/>
                <w:szCs w:val="20"/>
              </w:rPr>
            </w:pPr>
            <w:r w:rsidRPr="0067795E">
              <w:rPr>
                <w:rFonts w:eastAsiaTheme="minorHAnsi" w:cs="Arial"/>
                <w:sz w:val="20"/>
                <w:szCs w:val="20"/>
              </w:rPr>
              <w:t>(a / b) x 100</w:t>
            </w:r>
          </w:p>
          <w:p w14:paraId="0CEB7DA8" w14:textId="77777777" w:rsidR="00417FC1" w:rsidRPr="0067795E" w:rsidRDefault="00417FC1" w:rsidP="0067795E">
            <w:pPr>
              <w:autoSpaceDE w:val="0"/>
              <w:autoSpaceDN w:val="0"/>
              <w:adjustRightInd w:val="0"/>
              <w:rPr>
                <w:rFonts w:eastAsiaTheme="minorHAnsi" w:cs="Arial"/>
                <w:sz w:val="20"/>
                <w:szCs w:val="20"/>
              </w:rPr>
            </w:pPr>
            <w:r w:rsidRPr="0067795E">
              <w:rPr>
                <w:rFonts w:eastAsiaTheme="minorHAnsi" w:cs="Arial"/>
                <w:sz w:val="20"/>
                <w:szCs w:val="20"/>
              </w:rPr>
              <w:t>Where:</w:t>
            </w:r>
          </w:p>
          <w:p w14:paraId="41404CE1" w14:textId="77777777" w:rsidR="00417FC1" w:rsidRPr="0067795E" w:rsidRDefault="00417FC1" w:rsidP="0067795E">
            <w:pPr>
              <w:autoSpaceDE w:val="0"/>
              <w:autoSpaceDN w:val="0"/>
              <w:adjustRightInd w:val="0"/>
              <w:rPr>
                <w:rFonts w:eastAsiaTheme="minorHAnsi" w:cs="Arial"/>
                <w:sz w:val="20"/>
                <w:szCs w:val="20"/>
              </w:rPr>
            </w:pPr>
            <w:r w:rsidRPr="0067795E">
              <w:rPr>
                <w:rFonts w:eastAsiaTheme="minorHAnsi" w:cs="Arial"/>
                <w:sz w:val="20"/>
                <w:szCs w:val="20"/>
              </w:rPr>
              <w:t>a = Number of undisputed invoices for commercial goods &amp; services paid within 30 days of receipt or within the agreed payment terms</w:t>
            </w:r>
          </w:p>
          <w:p w14:paraId="5AD22C14" w14:textId="77777777" w:rsidR="00417FC1" w:rsidRPr="0067795E" w:rsidRDefault="00417FC1" w:rsidP="0067795E">
            <w:pPr>
              <w:autoSpaceDE w:val="0"/>
              <w:autoSpaceDN w:val="0"/>
              <w:adjustRightInd w:val="0"/>
              <w:ind w:leftChars="-1" w:left="-2" w:firstLine="1"/>
              <w:rPr>
                <w:rFonts w:cs="Arial"/>
                <w:sz w:val="20"/>
                <w:szCs w:val="20"/>
              </w:rPr>
            </w:pPr>
            <w:r w:rsidRPr="0067795E">
              <w:rPr>
                <w:rFonts w:eastAsiaTheme="minorHAnsi" w:cs="Arial"/>
                <w:sz w:val="20"/>
                <w:szCs w:val="20"/>
              </w:rPr>
              <w:t>b = Total number of invoices received</w:t>
            </w:r>
          </w:p>
        </w:tc>
      </w:tr>
      <w:tr w:rsidR="00417FC1" w:rsidRPr="00BB35A2" w14:paraId="2E313D26" w14:textId="77777777" w:rsidTr="008C1E7E">
        <w:trPr>
          <w:trHeight w:val="240"/>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6C5444" w14:textId="77777777" w:rsidR="00417FC1" w:rsidRPr="005B6660" w:rsidRDefault="00417FC1" w:rsidP="00F55593">
            <w:pPr>
              <w:ind w:leftChars="-1" w:left="-2" w:firstLine="1"/>
              <w:rPr>
                <w:rFonts w:cs="Arial"/>
                <w:b/>
                <w:color w:val="000000"/>
                <w:sz w:val="20"/>
                <w:szCs w:val="20"/>
              </w:rPr>
            </w:pPr>
            <w:r>
              <w:rPr>
                <w:rFonts w:cs="Arial"/>
                <w:b/>
                <w:color w:val="000000"/>
                <w:sz w:val="20"/>
                <w:szCs w:val="20"/>
              </w:rPr>
              <w:t>Data source</w:t>
            </w:r>
          </w:p>
        </w:tc>
        <w:tc>
          <w:tcPr>
            <w:tcW w:w="69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97B70" w14:textId="77777777" w:rsidR="00417FC1" w:rsidRPr="004E6944" w:rsidRDefault="00417FC1" w:rsidP="00F55593">
            <w:pPr>
              <w:ind w:leftChars="-1" w:left="-2" w:firstLine="1"/>
              <w:rPr>
                <w:rFonts w:cs="Arial"/>
                <w:sz w:val="20"/>
                <w:szCs w:val="20"/>
              </w:rPr>
            </w:pPr>
            <w:r w:rsidRPr="004E6944">
              <w:rPr>
                <w:rFonts w:cs="Arial"/>
                <w:sz w:val="20"/>
                <w:szCs w:val="20"/>
              </w:rPr>
              <w:t xml:space="preserve">This data is </w:t>
            </w:r>
            <w:r>
              <w:rPr>
                <w:rFonts w:cs="Arial"/>
                <w:sz w:val="20"/>
                <w:szCs w:val="20"/>
              </w:rPr>
              <w:t xml:space="preserve">voluntarily </w:t>
            </w:r>
            <w:r w:rsidRPr="004E6944">
              <w:rPr>
                <w:rFonts w:cs="Arial"/>
                <w:sz w:val="20"/>
                <w:szCs w:val="20"/>
              </w:rPr>
              <w:t>submitted by the boroughs themselves</w:t>
            </w:r>
            <w:r>
              <w:rPr>
                <w:rFonts w:cs="Arial"/>
                <w:sz w:val="20"/>
                <w:szCs w:val="20"/>
              </w:rPr>
              <w:t>.</w:t>
            </w:r>
          </w:p>
        </w:tc>
      </w:tr>
      <w:tr w:rsidR="00417FC1" w:rsidRPr="00BB35A2" w14:paraId="201F0A5C" w14:textId="77777777" w:rsidTr="008C1E7E">
        <w:trPr>
          <w:trHeight w:val="240"/>
        </w:trPr>
        <w:tc>
          <w:tcPr>
            <w:tcW w:w="25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39CE5" w14:textId="77777777" w:rsidR="00417FC1" w:rsidRPr="005B6660" w:rsidRDefault="00417FC1" w:rsidP="00F55593">
            <w:pPr>
              <w:ind w:leftChars="-1" w:left="-2" w:firstLine="1"/>
              <w:rPr>
                <w:rFonts w:cs="Arial"/>
                <w:b/>
                <w:color w:val="000000"/>
                <w:sz w:val="20"/>
                <w:szCs w:val="20"/>
              </w:rPr>
            </w:pPr>
            <w:r>
              <w:rPr>
                <w:rFonts w:cs="Arial"/>
                <w:b/>
                <w:color w:val="000000"/>
                <w:sz w:val="20"/>
                <w:szCs w:val="20"/>
              </w:rPr>
              <w:t>Data quality</w:t>
            </w:r>
          </w:p>
        </w:tc>
        <w:tc>
          <w:tcPr>
            <w:tcW w:w="69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A6B89C" w14:textId="77777777" w:rsidR="00417FC1" w:rsidRDefault="00417FC1" w:rsidP="00F55593">
            <w:pPr>
              <w:ind w:leftChars="-1" w:left="-2" w:firstLine="1"/>
              <w:rPr>
                <w:rFonts w:cs="Arial"/>
                <w:sz w:val="20"/>
                <w:szCs w:val="20"/>
              </w:rPr>
            </w:pPr>
            <w:r>
              <w:rPr>
                <w:rFonts w:cs="Arial"/>
                <w:sz w:val="20"/>
                <w:szCs w:val="20"/>
              </w:rPr>
              <w:t xml:space="preserve">London Councils and the Self Improvement Board do not accept responsibility for the accuracy of the data. As a local collection it is requested that the calculations and definitions conform to the details above. However authorities may use local definitions that are not as stated above, but are provided as a similar figure for benchmarking purposes. </w:t>
            </w:r>
          </w:p>
          <w:p w14:paraId="4A051416" w14:textId="77777777" w:rsidR="00417FC1" w:rsidRDefault="00417FC1" w:rsidP="00F55593">
            <w:pPr>
              <w:ind w:leftChars="-1" w:left="-2" w:firstLine="1"/>
              <w:rPr>
                <w:rFonts w:cs="Arial"/>
                <w:sz w:val="20"/>
                <w:szCs w:val="20"/>
              </w:rPr>
            </w:pPr>
          </w:p>
          <w:p w14:paraId="3FE05A8C" w14:textId="77777777" w:rsidR="00417FC1" w:rsidRDefault="00417FC1" w:rsidP="00F55593">
            <w:pPr>
              <w:ind w:leftChars="-1" w:left="-2" w:firstLine="1"/>
              <w:rPr>
                <w:rFonts w:cs="Arial"/>
                <w:sz w:val="20"/>
                <w:szCs w:val="20"/>
              </w:rPr>
            </w:pPr>
            <w:r>
              <w:rPr>
                <w:rFonts w:cs="Arial"/>
                <w:sz w:val="20"/>
                <w:szCs w:val="20"/>
              </w:rPr>
              <w:t>No external quality assurance has been conducted on the data.</w:t>
            </w:r>
          </w:p>
          <w:p w14:paraId="1CFE7C70" w14:textId="77777777" w:rsidR="00417FC1" w:rsidRDefault="00417FC1" w:rsidP="00F55593">
            <w:pPr>
              <w:ind w:leftChars="-1" w:left="-2" w:firstLine="1"/>
              <w:rPr>
                <w:rFonts w:cs="Arial"/>
                <w:sz w:val="20"/>
                <w:szCs w:val="20"/>
              </w:rPr>
            </w:pPr>
          </w:p>
          <w:p w14:paraId="69F8846A" w14:textId="77777777" w:rsidR="00417FC1" w:rsidRDefault="00417FC1" w:rsidP="00F55593">
            <w:pPr>
              <w:ind w:leftChars="-1" w:left="-2" w:firstLine="1"/>
              <w:rPr>
                <w:rFonts w:cs="Arial"/>
                <w:sz w:val="20"/>
                <w:szCs w:val="20"/>
              </w:rPr>
            </w:pPr>
            <w:r>
              <w:rPr>
                <w:rFonts w:cs="Arial"/>
                <w:sz w:val="20"/>
                <w:szCs w:val="20"/>
              </w:rPr>
              <w:t xml:space="preserve">Where data is missing no assumptions can be made about the reason, the authority may no longer collect the data, or local definitions may be too different to include for comparison. </w:t>
            </w:r>
          </w:p>
          <w:p w14:paraId="7DFCCB64" w14:textId="77777777" w:rsidR="00417FC1" w:rsidRDefault="00417FC1" w:rsidP="00F55593">
            <w:pPr>
              <w:ind w:leftChars="-1" w:left="-2" w:firstLine="1"/>
              <w:rPr>
                <w:rFonts w:cs="Arial"/>
                <w:sz w:val="20"/>
                <w:szCs w:val="20"/>
              </w:rPr>
            </w:pPr>
          </w:p>
          <w:p w14:paraId="6613C951" w14:textId="77777777" w:rsidR="00417FC1" w:rsidRDefault="00417FC1" w:rsidP="00F55593">
            <w:pPr>
              <w:ind w:leftChars="-1" w:left="-2" w:firstLine="1"/>
              <w:rPr>
                <w:rFonts w:cs="Arial"/>
                <w:sz w:val="20"/>
                <w:szCs w:val="20"/>
              </w:rPr>
            </w:pPr>
            <w:r>
              <w:rPr>
                <w:rFonts w:cs="Arial"/>
                <w:sz w:val="20"/>
                <w:szCs w:val="20"/>
              </w:rPr>
              <w:t>Performance should not be league tabled for the reasons above and are collected as indicative indicators or good practice.</w:t>
            </w:r>
          </w:p>
        </w:tc>
      </w:tr>
    </w:tbl>
    <w:p w14:paraId="61DD2E68" w14:textId="77777777" w:rsidR="004A46DC" w:rsidRDefault="004A46DC" w:rsidP="00F55593">
      <w:pPr>
        <w:ind w:leftChars="-1" w:left="-2" w:firstLine="1"/>
      </w:pPr>
    </w:p>
    <w:sectPr w:rsidR="004A46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289B"/>
    <w:rsid w:val="00043EDC"/>
    <w:rsid w:val="000A5186"/>
    <w:rsid w:val="0019265E"/>
    <w:rsid w:val="00267990"/>
    <w:rsid w:val="002A05D3"/>
    <w:rsid w:val="002A219C"/>
    <w:rsid w:val="00353B35"/>
    <w:rsid w:val="003D2652"/>
    <w:rsid w:val="003E01B6"/>
    <w:rsid w:val="003E675C"/>
    <w:rsid w:val="00417FC1"/>
    <w:rsid w:val="0042659A"/>
    <w:rsid w:val="0045621D"/>
    <w:rsid w:val="004A46DC"/>
    <w:rsid w:val="004C59F4"/>
    <w:rsid w:val="0050289B"/>
    <w:rsid w:val="005B2CF8"/>
    <w:rsid w:val="005C6440"/>
    <w:rsid w:val="005F2CB1"/>
    <w:rsid w:val="0067795E"/>
    <w:rsid w:val="00804714"/>
    <w:rsid w:val="008426A4"/>
    <w:rsid w:val="008647CB"/>
    <w:rsid w:val="0089799C"/>
    <w:rsid w:val="008C1E7E"/>
    <w:rsid w:val="008D371C"/>
    <w:rsid w:val="00AA60A6"/>
    <w:rsid w:val="00AC032E"/>
    <w:rsid w:val="00B35DE5"/>
    <w:rsid w:val="00B81B34"/>
    <w:rsid w:val="00CA4E05"/>
    <w:rsid w:val="00D22341"/>
    <w:rsid w:val="00D26338"/>
    <w:rsid w:val="00D35C0A"/>
    <w:rsid w:val="00E144DC"/>
    <w:rsid w:val="00E5225B"/>
    <w:rsid w:val="00F55593"/>
    <w:rsid w:val="00FE1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B3CD4"/>
  <w15:docId w15:val="{CCF03E78-50B6-4DD0-8559-F14F3A9AA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89B"/>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5163">
      <w:bodyDiv w:val="1"/>
      <w:marLeft w:val="0"/>
      <w:marRight w:val="0"/>
      <w:marTop w:val="0"/>
      <w:marBottom w:val="0"/>
      <w:divBdr>
        <w:top w:val="none" w:sz="0" w:space="0" w:color="auto"/>
        <w:left w:val="none" w:sz="0" w:space="0" w:color="auto"/>
        <w:bottom w:val="none" w:sz="0" w:space="0" w:color="auto"/>
        <w:right w:val="none" w:sz="0" w:space="0" w:color="auto"/>
      </w:divBdr>
    </w:div>
    <w:div w:id="377322193">
      <w:bodyDiv w:val="1"/>
      <w:marLeft w:val="0"/>
      <w:marRight w:val="0"/>
      <w:marTop w:val="0"/>
      <w:marBottom w:val="0"/>
      <w:divBdr>
        <w:top w:val="none" w:sz="0" w:space="0" w:color="auto"/>
        <w:left w:val="none" w:sz="0" w:space="0" w:color="auto"/>
        <w:bottom w:val="none" w:sz="0" w:space="0" w:color="auto"/>
        <w:right w:val="none" w:sz="0" w:space="0" w:color="auto"/>
      </w:divBdr>
    </w:div>
    <w:div w:id="16825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02A8F-2025-434F-A28E-22FB2BF5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Hester</dc:creator>
  <cp:lastModifiedBy>Mary-Ann Domman</cp:lastModifiedBy>
  <cp:revision>24</cp:revision>
  <dcterms:created xsi:type="dcterms:W3CDTF">2015-05-21T15:30:00Z</dcterms:created>
  <dcterms:modified xsi:type="dcterms:W3CDTF">2021-08-23T07:19:00Z</dcterms:modified>
</cp:coreProperties>
</file>