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8" w:type="dxa"/>
        <w:tblInd w:w="93" w:type="dxa"/>
        <w:tblLayout w:type="fixed"/>
        <w:tblCellMar>
          <w:left w:w="10" w:type="dxa"/>
          <w:right w:w="10" w:type="dxa"/>
        </w:tblCellMar>
        <w:tblLook w:val="04A0" w:firstRow="1" w:lastRow="0" w:firstColumn="1" w:lastColumn="0" w:noHBand="0" w:noVBand="1"/>
      </w:tblPr>
      <w:tblGrid>
        <w:gridCol w:w="2709"/>
        <w:gridCol w:w="2551"/>
        <w:gridCol w:w="3828"/>
      </w:tblGrid>
      <w:tr w:rsidR="00393FB0" w14:paraId="2AC34EB8" w14:textId="77777777" w:rsidTr="00847BFF">
        <w:trPr>
          <w:trHeight w:val="336"/>
        </w:trPr>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7F0F67" w14:textId="77777777" w:rsidR="00393FB0" w:rsidRDefault="006954F4">
            <w:pPr>
              <w:ind w:left="567" w:hanging="567"/>
              <w:jc w:val="both"/>
              <w:rPr>
                <w:rFonts w:cs="Arial"/>
                <w:b/>
                <w:bCs/>
                <w:sz w:val="20"/>
                <w:szCs w:val="20"/>
                <w:lang w:eastAsia="en-GB"/>
              </w:rPr>
            </w:pPr>
            <w:r>
              <w:rPr>
                <w:rFonts w:cs="Arial"/>
                <w:b/>
                <w:bCs/>
                <w:sz w:val="20"/>
                <w:szCs w:val="20"/>
                <w:lang w:eastAsia="en-GB"/>
              </w:rPr>
              <w:t>Borough name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7EB6DC" w14:textId="77777777" w:rsidR="00393FB0" w:rsidRDefault="006954F4">
            <w:r>
              <w:rPr>
                <w:rFonts w:cs="Arial"/>
                <w:b/>
                <w:bCs/>
                <w:sz w:val="20"/>
                <w:szCs w:val="16"/>
                <w:lang w:eastAsia="en-GB"/>
              </w:rPr>
              <w:t xml:space="preserve">Top 5% earners: </w:t>
            </w:r>
            <w:r>
              <w:rPr>
                <w:rFonts w:eastAsia="Calibri" w:cs="Arial"/>
                <w:b/>
                <w:bCs/>
                <w:sz w:val="20"/>
                <w:szCs w:val="20"/>
              </w:rPr>
              <w:t>Ethnic Minorities</w:t>
            </w:r>
            <w:r>
              <w:rPr>
                <w:rFonts w:cs="Arial"/>
                <w:b/>
                <w:bCs/>
                <w:sz w:val="20"/>
                <w:szCs w:val="16"/>
                <w:lang w:eastAsia="en-GB"/>
              </w:rPr>
              <w:t xml:space="preserve"> (BVPI 11b)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0AF7" w14:textId="77777777" w:rsidR="00393FB0" w:rsidRDefault="006954F4">
            <w:pPr>
              <w:rPr>
                <w:rFonts w:cs="Arial"/>
                <w:b/>
                <w:bCs/>
                <w:sz w:val="20"/>
                <w:szCs w:val="16"/>
                <w:lang w:eastAsia="en-GB"/>
              </w:rPr>
            </w:pPr>
            <w:r>
              <w:rPr>
                <w:rFonts w:cs="Arial"/>
                <w:b/>
                <w:bCs/>
                <w:sz w:val="20"/>
                <w:szCs w:val="16"/>
                <w:lang w:eastAsia="en-GB"/>
              </w:rPr>
              <w:t>Link to authorities website for further information</w:t>
            </w:r>
            <w:r w:rsidR="004420A1">
              <w:rPr>
                <w:rFonts w:cs="Arial"/>
                <w:b/>
                <w:bCs/>
                <w:sz w:val="20"/>
                <w:szCs w:val="16"/>
                <w:lang w:eastAsia="en-GB"/>
              </w:rPr>
              <w:t xml:space="preserve"> – If provided</w:t>
            </w:r>
          </w:p>
        </w:tc>
      </w:tr>
      <w:tr w:rsidR="00847BFF" w14:paraId="5B172C90"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AFAA09" w14:textId="229BE9EC" w:rsidR="00847BFF" w:rsidRPr="00847BFF" w:rsidRDefault="00847BFF" w:rsidP="00847BFF">
            <w:pPr>
              <w:rPr>
                <w:rFonts w:cs="Arial"/>
                <w:color w:val="000000"/>
              </w:rPr>
            </w:pPr>
            <w:r w:rsidRPr="00847BFF">
              <w:rPr>
                <w:rFonts w:cs="Arial"/>
              </w:rPr>
              <w:t>Barnet</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1ADB4B" w14:textId="5670EB61" w:rsidR="00847BFF" w:rsidRPr="00847BFF" w:rsidRDefault="00847BFF" w:rsidP="00847BFF">
            <w:pPr>
              <w:jc w:val="right"/>
              <w:rPr>
                <w:rFonts w:cs="Arial"/>
                <w:color w:val="000000"/>
              </w:rPr>
            </w:pPr>
            <w:r w:rsidRPr="00847BFF">
              <w:rPr>
                <w:rFonts w:cs="Arial"/>
              </w:rPr>
              <w:t>26.32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C167" w14:textId="77777777" w:rsidR="00847BFF" w:rsidRDefault="00847BFF" w:rsidP="00847BFF">
            <w:pPr>
              <w:ind w:left="567" w:hanging="567"/>
              <w:jc w:val="center"/>
              <w:rPr>
                <w:rFonts w:cs="Arial"/>
                <w:sz w:val="20"/>
                <w:szCs w:val="20"/>
                <w:lang w:eastAsia="en-GB"/>
              </w:rPr>
            </w:pPr>
          </w:p>
        </w:tc>
      </w:tr>
      <w:tr w:rsidR="00847BFF" w14:paraId="46DAF976"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15673C" w14:textId="5269C44C" w:rsidR="00847BFF" w:rsidRPr="00847BFF" w:rsidRDefault="00847BFF" w:rsidP="00847BFF">
            <w:pPr>
              <w:rPr>
                <w:rFonts w:cs="Arial"/>
                <w:color w:val="000000"/>
              </w:rPr>
            </w:pPr>
            <w:r w:rsidRPr="00847BFF">
              <w:rPr>
                <w:rFonts w:cs="Arial"/>
              </w:rPr>
              <w:t>Brent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261F46" w14:textId="4502BFE8" w:rsidR="00847BFF" w:rsidRPr="00847BFF" w:rsidRDefault="00847BFF" w:rsidP="00847BFF">
            <w:pPr>
              <w:jc w:val="right"/>
              <w:rPr>
                <w:rFonts w:cs="Arial"/>
                <w:color w:val="000000"/>
              </w:rPr>
            </w:pPr>
            <w:r w:rsidRPr="00847BFF">
              <w:rPr>
                <w:rFonts w:cs="Arial"/>
              </w:rPr>
              <w:t>30.60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75ED" w14:textId="77777777" w:rsidR="00847BFF" w:rsidRDefault="00847BFF" w:rsidP="00847BFF">
            <w:pPr>
              <w:ind w:left="567" w:hanging="567"/>
              <w:jc w:val="center"/>
              <w:rPr>
                <w:rFonts w:cs="Arial"/>
                <w:sz w:val="20"/>
                <w:szCs w:val="20"/>
                <w:lang w:eastAsia="en-GB"/>
              </w:rPr>
            </w:pPr>
          </w:p>
        </w:tc>
      </w:tr>
      <w:tr w:rsidR="00847BFF" w14:paraId="0920B143" w14:textId="77777777" w:rsidTr="00BB0129">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A10114" w14:textId="3E9C6EFA" w:rsidR="00847BFF" w:rsidRPr="00847BFF" w:rsidRDefault="00847BFF" w:rsidP="00847BFF">
            <w:pPr>
              <w:rPr>
                <w:rFonts w:cs="Arial"/>
                <w:color w:val="000000"/>
              </w:rPr>
            </w:pPr>
            <w:bookmarkStart w:id="0" w:name="_GoBack" w:colFirst="2" w:colLast="2"/>
            <w:r w:rsidRPr="00847BFF">
              <w:rPr>
                <w:rFonts w:cs="Arial"/>
              </w:rPr>
              <w:t>Ealing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B3349C" w14:textId="1588EEB1" w:rsidR="00847BFF" w:rsidRPr="00847BFF" w:rsidRDefault="00847BFF" w:rsidP="00847BFF">
            <w:pPr>
              <w:jc w:val="right"/>
              <w:rPr>
                <w:rFonts w:cs="Arial"/>
                <w:color w:val="000000"/>
              </w:rPr>
            </w:pPr>
            <w:r w:rsidRPr="00847BFF">
              <w:rPr>
                <w:rFonts w:cs="Arial"/>
              </w:rPr>
              <w:t>17.16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5FE11" w14:textId="77777777" w:rsidR="00847BFF" w:rsidRDefault="00847BFF" w:rsidP="00BB0129">
            <w:pPr>
              <w:jc w:val="center"/>
              <w:rPr>
                <w:rFonts w:cs="Arial"/>
                <w:sz w:val="20"/>
                <w:szCs w:val="20"/>
                <w:lang w:eastAsia="en-GB"/>
              </w:rPr>
            </w:pPr>
          </w:p>
        </w:tc>
      </w:tr>
      <w:bookmarkEnd w:id="0"/>
      <w:tr w:rsidR="00847BFF" w14:paraId="6BB13DCA"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3D1E12" w14:textId="125A3EB8" w:rsidR="00847BFF" w:rsidRPr="00847BFF" w:rsidRDefault="00847BFF" w:rsidP="00847BFF">
            <w:pPr>
              <w:rPr>
                <w:rFonts w:cs="Arial"/>
                <w:color w:val="000000"/>
              </w:rPr>
            </w:pPr>
            <w:r w:rsidRPr="00847BFF">
              <w:rPr>
                <w:rFonts w:cs="Arial"/>
              </w:rPr>
              <w:t>Royal Greenwich</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B7845D" w14:textId="4139B3BF" w:rsidR="00847BFF" w:rsidRPr="00847BFF" w:rsidRDefault="00847BFF" w:rsidP="00847BFF">
            <w:pPr>
              <w:jc w:val="right"/>
              <w:rPr>
                <w:rFonts w:cs="Arial"/>
                <w:color w:val="000000"/>
              </w:rPr>
            </w:pPr>
            <w:r w:rsidRPr="00847BFF">
              <w:rPr>
                <w:rFonts w:cs="Arial"/>
              </w:rPr>
              <w:t>15.80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A5DF" w14:textId="77777777" w:rsidR="00847BFF" w:rsidRDefault="00847BFF" w:rsidP="00847BFF">
            <w:pPr>
              <w:ind w:left="567" w:hanging="567"/>
              <w:jc w:val="center"/>
              <w:rPr>
                <w:rFonts w:cs="Arial"/>
                <w:sz w:val="20"/>
                <w:szCs w:val="20"/>
                <w:lang w:eastAsia="en-GB"/>
              </w:rPr>
            </w:pPr>
          </w:p>
        </w:tc>
      </w:tr>
      <w:tr w:rsidR="00847BFF" w14:paraId="2F8528CA"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9C702A" w14:textId="2B24E0C7" w:rsidR="00847BFF" w:rsidRPr="00847BFF" w:rsidRDefault="00847BFF" w:rsidP="00847BFF">
            <w:pPr>
              <w:rPr>
                <w:rFonts w:cs="Arial"/>
                <w:color w:val="000000"/>
              </w:rPr>
            </w:pPr>
            <w:r w:rsidRPr="00847BFF">
              <w:rPr>
                <w:rFonts w:cs="Arial"/>
              </w:rPr>
              <w:t>Hackney</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879F73" w14:textId="5DB1901C" w:rsidR="00847BFF" w:rsidRPr="00847BFF" w:rsidRDefault="00847BFF" w:rsidP="00847BFF">
            <w:pPr>
              <w:jc w:val="right"/>
              <w:rPr>
                <w:rFonts w:cs="Arial"/>
                <w:color w:val="000000"/>
              </w:rPr>
            </w:pPr>
            <w:r w:rsidRPr="00847BFF">
              <w:rPr>
                <w:rFonts w:cs="Arial"/>
              </w:rPr>
              <w:t>27.01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CE5A" w14:textId="77777777" w:rsidR="00847BFF" w:rsidRDefault="00847BFF" w:rsidP="00847BFF">
            <w:pPr>
              <w:ind w:left="567" w:hanging="567"/>
              <w:jc w:val="center"/>
              <w:rPr>
                <w:rFonts w:cs="Arial"/>
                <w:sz w:val="20"/>
                <w:szCs w:val="20"/>
                <w:lang w:eastAsia="en-GB"/>
              </w:rPr>
            </w:pPr>
          </w:p>
        </w:tc>
      </w:tr>
      <w:tr w:rsidR="00847BFF" w14:paraId="632EB918"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7A9BE9" w14:textId="40CFF428" w:rsidR="00847BFF" w:rsidRPr="00847BFF" w:rsidRDefault="00847BFF" w:rsidP="00847BFF">
            <w:pPr>
              <w:rPr>
                <w:rFonts w:cs="Arial"/>
                <w:color w:val="000000"/>
              </w:rPr>
            </w:pPr>
            <w:r w:rsidRPr="00847BFF">
              <w:rPr>
                <w:rFonts w:cs="Arial"/>
              </w:rPr>
              <w:t>Haringey</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BBFAE8" w14:textId="7FF26752" w:rsidR="00847BFF" w:rsidRPr="00847BFF" w:rsidRDefault="00847BFF" w:rsidP="00847BFF">
            <w:pPr>
              <w:jc w:val="right"/>
              <w:rPr>
                <w:rFonts w:cs="Arial"/>
                <w:color w:val="000000"/>
              </w:rPr>
            </w:pPr>
            <w:r w:rsidRPr="00847BFF">
              <w:rPr>
                <w:rFonts w:cs="Arial"/>
              </w:rPr>
              <w:t>18.80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57823" w14:textId="77777777" w:rsidR="00847BFF" w:rsidRDefault="00847BFF" w:rsidP="00847BFF">
            <w:pPr>
              <w:ind w:left="567" w:hanging="567"/>
              <w:jc w:val="center"/>
              <w:rPr>
                <w:rFonts w:cs="Arial"/>
                <w:sz w:val="20"/>
                <w:szCs w:val="20"/>
                <w:lang w:eastAsia="en-GB"/>
              </w:rPr>
            </w:pPr>
          </w:p>
        </w:tc>
      </w:tr>
      <w:tr w:rsidR="00847BFF" w14:paraId="7EDB7CB1"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7FBA85" w14:textId="04D66F69" w:rsidR="00847BFF" w:rsidRPr="00847BFF" w:rsidRDefault="00847BFF" w:rsidP="00847BFF">
            <w:pPr>
              <w:rPr>
                <w:rFonts w:cs="Arial"/>
                <w:color w:val="000000"/>
              </w:rPr>
            </w:pPr>
            <w:r w:rsidRPr="00847BFF">
              <w:rPr>
                <w:rFonts w:cs="Arial"/>
              </w:rPr>
              <w:t>Hillingdon</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2329E7" w14:textId="1172BD3D" w:rsidR="00847BFF" w:rsidRPr="00847BFF" w:rsidRDefault="00847BFF" w:rsidP="00847BFF">
            <w:pPr>
              <w:jc w:val="right"/>
              <w:rPr>
                <w:rFonts w:cs="Arial"/>
                <w:color w:val="000000"/>
              </w:rPr>
            </w:pPr>
            <w:r w:rsidRPr="00847BFF">
              <w:rPr>
                <w:rFonts w:cs="Arial"/>
              </w:rPr>
              <w:t>13.50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B557D" w14:textId="77777777" w:rsidR="00847BFF" w:rsidRDefault="00847BFF" w:rsidP="00847BFF">
            <w:pPr>
              <w:ind w:left="567" w:hanging="567"/>
              <w:jc w:val="center"/>
              <w:rPr>
                <w:rFonts w:cs="Arial"/>
                <w:sz w:val="20"/>
                <w:szCs w:val="20"/>
                <w:lang w:eastAsia="en-GB"/>
              </w:rPr>
            </w:pPr>
          </w:p>
        </w:tc>
      </w:tr>
      <w:tr w:rsidR="00847BFF" w14:paraId="201BF2D5"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4B7BCD" w14:textId="317CD08F" w:rsidR="00847BFF" w:rsidRPr="00847BFF" w:rsidRDefault="00847BFF" w:rsidP="00847BFF">
            <w:pPr>
              <w:rPr>
                <w:rFonts w:cs="Arial"/>
                <w:color w:val="000000"/>
              </w:rPr>
            </w:pPr>
            <w:r w:rsidRPr="00847BFF">
              <w:rPr>
                <w:rFonts w:cs="Arial"/>
              </w:rPr>
              <w:t>Hounslow</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D937B8" w14:textId="5F0A9DF9" w:rsidR="00847BFF" w:rsidRPr="00847BFF" w:rsidRDefault="00181A62" w:rsidP="00847BFF">
            <w:pPr>
              <w:jc w:val="right"/>
              <w:rPr>
                <w:rFonts w:cs="Arial"/>
                <w:color w:val="000000"/>
              </w:rPr>
            </w:pPr>
            <w:r>
              <w:rPr>
                <w:rFonts w:cs="Arial"/>
              </w:rPr>
              <w:t>22.88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7C49" w14:textId="77777777" w:rsidR="00847BFF" w:rsidRDefault="00847BFF" w:rsidP="00847BFF">
            <w:pPr>
              <w:ind w:left="567" w:hanging="567"/>
              <w:jc w:val="center"/>
              <w:rPr>
                <w:rFonts w:cs="Arial"/>
                <w:sz w:val="20"/>
                <w:szCs w:val="20"/>
                <w:lang w:eastAsia="en-GB"/>
              </w:rPr>
            </w:pPr>
          </w:p>
        </w:tc>
      </w:tr>
      <w:tr w:rsidR="00847BFF" w14:paraId="7A8FE3E5"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FA7F3" w14:textId="1C59C762" w:rsidR="00847BFF" w:rsidRPr="00847BFF" w:rsidRDefault="00847BFF" w:rsidP="00847BFF">
            <w:pPr>
              <w:rPr>
                <w:rFonts w:cs="Arial"/>
                <w:color w:val="000000"/>
              </w:rPr>
            </w:pPr>
            <w:r w:rsidRPr="00847BFF">
              <w:rPr>
                <w:rFonts w:cs="Arial"/>
              </w:rPr>
              <w:t>Lambeth</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1AF590" w14:textId="1A4A8E26" w:rsidR="00847BFF" w:rsidRPr="00847BFF" w:rsidRDefault="00847BFF" w:rsidP="00847BFF">
            <w:pPr>
              <w:jc w:val="right"/>
              <w:rPr>
                <w:rFonts w:cs="Arial"/>
                <w:color w:val="000000"/>
              </w:rPr>
            </w:pPr>
            <w:r w:rsidRPr="00847BFF">
              <w:rPr>
                <w:rFonts w:cs="Arial"/>
              </w:rPr>
              <w:t>21.40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5887" w14:textId="77777777" w:rsidR="00847BFF" w:rsidRDefault="00847BFF" w:rsidP="00847BFF">
            <w:pPr>
              <w:ind w:left="567" w:hanging="567"/>
              <w:jc w:val="center"/>
              <w:rPr>
                <w:rFonts w:cs="Arial"/>
                <w:sz w:val="20"/>
                <w:szCs w:val="20"/>
                <w:lang w:eastAsia="en-GB"/>
              </w:rPr>
            </w:pPr>
          </w:p>
        </w:tc>
      </w:tr>
      <w:tr w:rsidR="00847BFF" w14:paraId="26FADC21"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26B283" w14:textId="3B42AE61" w:rsidR="00847BFF" w:rsidRPr="00847BFF" w:rsidRDefault="00847BFF" w:rsidP="00847BFF">
            <w:pPr>
              <w:rPr>
                <w:rFonts w:cs="Arial"/>
                <w:color w:val="000000"/>
              </w:rPr>
            </w:pPr>
            <w:r w:rsidRPr="00847BFF">
              <w:rPr>
                <w:rFonts w:cs="Arial"/>
              </w:rPr>
              <w:t>Newham</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9B4233" w14:textId="393C14C2" w:rsidR="00847BFF" w:rsidRPr="00847BFF" w:rsidRDefault="00847BFF" w:rsidP="00847BFF">
            <w:pPr>
              <w:jc w:val="right"/>
              <w:rPr>
                <w:rFonts w:cs="Arial"/>
                <w:color w:val="000000"/>
              </w:rPr>
            </w:pPr>
            <w:r w:rsidRPr="00847BFF">
              <w:rPr>
                <w:rFonts w:cs="Arial"/>
              </w:rPr>
              <w:t>20.36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8D0B" w14:textId="77777777" w:rsidR="00847BFF" w:rsidRDefault="00847BFF" w:rsidP="00847BFF">
            <w:pPr>
              <w:ind w:left="567" w:hanging="567"/>
              <w:jc w:val="center"/>
              <w:rPr>
                <w:rFonts w:cs="Arial"/>
                <w:sz w:val="20"/>
                <w:szCs w:val="20"/>
                <w:lang w:eastAsia="en-GB"/>
              </w:rPr>
            </w:pPr>
          </w:p>
        </w:tc>
      </w:tr>
      <w:tr w:rsidR="00847BFF" w14:paraId="345F54BD"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D1D681" w14:textId="13616796" w:rsidR="00847BFF" w:rsidRPr="00847BFF" w:rsidRDefault="00847BFF" w:rsidP="00847BFF">
            <w:pPr>
              <w:rPr>
                <w:rFonts w:cs="Arial"/>
              </w:rPr>
            </w:pPr>
            <w:r w:rsidRPr="00847BFF">
              <w:rPr>
                <w:rFonts w:cs="Arial"/>
              </w:rPr>
              <w:t>Richmond upon Thames</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1ED926" w14:textId="50F51EDB" w:rsidR="00847BFF" w:rsidRPr="00847BFF" w:rsidRDefault="00847BFF" w:rsidP="00847BFF">
            <w:pPr>
              <w:jc w:val="right"/>
              <w:rPr>
                <w:rFonts w:cs="Arial"/>
                <w:color w:val="000000"/>
              </w:rPr>
            </w:pPr>
            <w:r w:rsidRPr="00847BFF">
              <w:rPr>
                <w:rFonts w:cs="Arial"/>
              </w:rPr>
              <w:t>12.30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D48D0" w14:textId="77777777" w:rsidR="00847BFF" w:rsidRDefault="00847BFF" w:rsidP="00847BFF">
            <w:pPr>
              <w:ind w:left="567" w:hanging="567"/>
              <w:jc w:val="center"/>
              <w:rPr>
                <w:rFonts w:cs="Arial"/>
                <w:sz w:val="20"/>
                <w:szCs w:val="20"/>
                <w:lang w:eastAsia="en-GB"/>
              </w:rPr>
            </w:pPr>
          </w:p>
        </w:tc>
      </w:tr>
      <w:tr w:rsidR="00847BFF" w14:paraId="2667507C"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867D83" w14:textId="1ACFB119" w:rsidR="00847BFF" w:rsidRPr="00847BFF" w:rsidRDefault="00847BFF" w:rsidP="00847BFF">
            <w:pPr>
              <w:rPr>
                <w:rFonts w:cs="Arial"/>
              </w:rPr>
            </w:pPr>
            <w:r w:rsidRPr="00847BFF">
              <w:rPr>
                <w:rFonts w:cs="Arial"/>
              </w:rPr>
              <w:t>Sutton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89D73E" w14:textId="66ADA33A" w:rsidR="00847BFF" w:rsidRPr="00847BFF" w:rsidRDefault="00847BFF" w:rsidP="00847BFF">
            <w:pPr>
              <w:jc w:val="right"/>
              <w:rPr>
                <w:rFonts w:cs="Arial"/>
                <w:color w:val="000000"/>
              </w:rPr>
            </w:pPr>
            <w:r w:rsidRPr="00847BFF">
              <w:rPr>
                <w:rFonts w:cs="Arial"/>
              </w:rPr>
              <w:t>4.88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3865" w14:textId="77777777" w:rsidR="00847BFF" w:rsidRDefault="00847BFF" w:rsidP="00847BFF">
            <w:pPr>
              <w:ind w:left="567" w:hanging="567"/>
              <w:jc w:val="center"/>
              <w:rPr>
                <w:rFonts w:cs="Arial"/>
                <w:sz w:val="20"/>
                <w:szCs w:val="20"/>
                <w:lang w:eastAsia="en-GB"/>
              </w:rPr>
            </w:pPr>
          </w:p>
        </w:tc>
      </w:tr>
      <w:tr w:rsidR="00847BFF" w14:paraId="1A319AB8"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59BCE" w14:textId="2CC9CA20" w:rsidR="00847BFF" w:rsidRPr="00847BFF" w:rsidRDefault="00847BFF" w:rsidP="00847BFF">
            <w:pPr>
              <w:rPr>
                <w:rFonts w:cs="Arial"/>
              </w:rPr>
            </w:pPr>
            <w:r w:rsidRPr="00847BFF">
              <w:rPr>
                <w:rFonts w:cs="Arial"/>
              </w:rPr>
              <w:t>Tower Hamlets</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F6F9F8" w14:textId="2E5BE8F3" w:rsidR="00847BFF" w:rsidRPr="00847BFF" w:rsidRDefault="00847BFF" w:rsidP="00847BFF">
            <w:pPr>
              <w:jc w:val="right"/>
              <w:rPr>
                <w:rFonts w:cs="Arial"/>
                <w:color w:val="000000"/>
              </w:rPr>
            </w:pPr>
            <w:r w:rsidRPr="00847BFF">
              <w:rPr>
                <w:rFonts w:cs="Arial"/>
              </w:rPr>
              <w:t>29.50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4130" w14:textId="77777777" w:rsidR="00847BFF" w:rsidRDefault="00847BFF" w:rsidP="00847BFF">
            <w:pPr>
              <w:ind w:left="567" w:hanging="567"/>
              <w:jc w:val="center"/>
              <w:rPr>
                <w:rFonts w:cs="Arial"/>
                <w:sz w:val="20"/>
                <w:szCs w:val="20"/>
                <w:lang w:eastAsia="en-GB"/>
              </w:rPr>
            </w:pPr>
          </w:p>
        </w:tc>
      </w:tr>
      <w:tr w:rsidR="00847BFF" w14:paraId="435BA126" w14:textId="77777777" w:rsidTr="00847BFF">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3AFBE0" w14:textId="545BF063" w:rsidR="00847BFF" w:rsidRPr="00847BFF" w:rsidRDefault="00847BFF" w:rsidP="00847BFF">
            <w:pPr>
              <w:rPr>
                <w:rFonts w:cs="Arial"/>
              </w:rPr>
            </w:pPr>
            <w:r w:rsidRPr="00847BFF">
              <w:rPr>
                <w:rFonts w:cs="Arial"/>
              </w:rPr>
              <w:t>Wandsworth</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DD94AB" w14:textId="170475F1" w:rsidR="00847BFF" w:rsidRPr="00847BFF" w:rsidRDefault="00847BFF" w:rsidP="00847BFF">
            <w:pPr>
              <w:jc w:val="right"/>
              <w:rPr>
                <w:rFonts w:cs="Arial"/>
                <w:color w:val="000000"/>
              </w:rPr>
            </w:pPr>
            <w:r w:rsidRPr="00847BFF">
              <w:rPr>
                <w:rFonts w:cs="Arial"/>
              </w:rPr>
              <w:t>12.30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4B3A" w14:textId="77777777" w:rsidR="00847BFF" w:rsidRDefault="00847BFF" w:rsidP="00847BFF">
            <w:pPr>
              <w:ind w:left="567" w:hanging="567"/>
              <w:jc w:val="center"/>
              <w:rPr>
                <w:rFonts w:cs="Arial"/>
                <w:sz w:val="20"/>
                <w:szCs w:val="20"/>
                <w:lang w:eastAsia="en-GB"/>
              </w:rPr>
            </w:pPr>
          </w:p>
        </w:tc>
      </w:tr>
    </w:tbl>
    <w:p w14:paraId="478EA392" w14:textId="77777777" w:rsidR="00847BFF" w:rsidRDefault="00847BFF"/>
    <w:tbl>
      <w:tblPr>
        <w:tblW w:w="8946" w:type="dxa"/>
        <w:tblInd w:w="93" w:type="dxa"/>
        <w:tblLayout w:type="fixed"/>
        <w:tblCellMar>
          <w:left w:w="10" w:type="dxa"/>
          <w:right w:w="10" w:type="dxa"/>
        </w:tblCellMar>
        <w:tblLook w:val="04A0" w:firstRow="1" w:lastRow="0" w:firstColumn="1" w:lastColumn="0" w:noHBand="0" w:noVBand="1"/>
      </w:tblPr>
      <w:tblGrid>
        <w:gridCol w:w="2567"/>
        <w:gridCol w:w="6379"/>
      </w:tblGrid>
      <w:tr w:rsidR="00393FB0" w14:paraId="04623D25" w14:textId="77777777" w:rsidTr="004420A1">
        <w:trPr>
          <w:trHeight w:val="240"/>
        </w:trPr>
        <w:tc>
          <w:tcPr>
            <w:tcW w:w="8946" w:type="dxa"/>
            <w:gridSpan w:val="2"/>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00DB9EA8" w14:textId="77777777" w:rsidR="00393FB0" w:rsidRDefault="006954F4">
            <w:pPr>
              <w:ind w:left="567" w:hanging="567"/>
              <w:jc w:val="center"/>
            </w:pPr>
            <w:r>
              <w:rPr>
                <w:rFonts w:cs="Arial"/>
                <w:b/>
                <w:sz w:val="24"/>
              </w:rPr>
              <w:t>Meta data:</w:t>
            </w:r>
          </w:p>
        </w:tc>
      </w:tr>
      <w:tr w:rsidR="00393FB0" w14:paraId="4DCA10F9" w14:textId="77777777" w:rsidTr="004420A1">
        <w:trPr>
          <w:trHeight w:val="240"/>
        </w:trPr>
        <w:tc>
          <w:tcPr>
            <w:tcW w:w="2567"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D06B11" w14:textId="77777777" w:rsidR="00393FB0" w:rsidRDefault="006954F4">
            <w:pPr>
              <w:ind w:left="567" w:hanging="567"/>
            </w:pPr>
            <w:r>
              <w:rPr>
                <w:rFonts w:cs="Arial"/>
                <w:b/>
                <w:sz w:val="20"/>
                <w:szCs w:val="20"/>
              </w:rPr>
              <w:t>Date period provided</w:t>
            </w:r>
            <w:r>
              <w:rPr>
                <w:rFonts w:cs="Arial"/>
                <w:sz w:val="20"/>
                <w:szCs w:val="20"/>
              </w:rPr>
              <w:t>:</w:t>
            </w:r>
          </w:p>
        </w:tc>
        <w:tc>
          <w:tcPr>
            <w:tcW w:w="6379" w:type="dxa"/>
            <w:tcBorders>
              <w:top w:val="single" w:sz="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83A1C" w14:textId="3A64C963" w:rsidR="00393FB0" w:rsidRDefault="006954F4" w:rsidP="00B87AB3">
            <w:pPr>
              <w:ind w:left="567" w:hanging="567"/>
              <w:rPr>
                <w:rFonts w:cs="Arial"/>
                <w:sz w:val="20"/>
                <w:szCs w:val="20"/>
              </w:rPr>
            </w:pPr>
            <w:r>
              <w:rPr>
                <w:rFonts w:cs="Arial"/>
                <w:sz w:val="20"/>
                <w:szCs w:val="20"/>
              </w:rPr>
              <w:t xml:space="preserve">Snapshot on 31 March </w:t>
            </w:r>
            <w:r w:rsidR="004420A1">
              <w:rPr>
                <w:rFonts w:cs="Arial"/>
                <w:sz w:val="20"/>
                <w:szCs w:val="20"/>
              </w:rPr>
              <w:t>20</w:t>
            </w:r>
            <w:r>
              <w:rPr>
                <w:rFonts w:cs="Arial"/>
                <w:sz w:val="20"/>
                <w:szCs w:val="20"/>
              </w:rPr>
              <w:t>1</w:t>
            </w:r>
            <w:r w:rsidR="00847BFF">
              <w:rPr>
                <w:rFonts w:cs="Arial"/>
                <w:sz w:val="20"/>
                <w:szCs w:val="20"/>
              </w:rPr>
              <w:t>8</w:t>
            </w:r>
          </w:p>
        </w:tc>
      </w:tr>
      <w:tr w:rsidR="00393FB0" w14:paraId="652CA660"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FA0143" w14:textId="77777777" w:rsidR="00393FB0" w:rsidRDefault="006954F4">
            <w:pPr>
              <w:ind w:left="49" w:hanging="49"/>
            </w:pPr>
            <w:r>
              <w:rPr>
                <w:rFonts w:cs="Arial"/>
                <w:b/>
                <w:color w:val="000000"/>
                <w:sz w:val="20"/>
                <w:szCs w:val="20"/>
              </w:rPr>
              <w:t>What does this indicator measure?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F5B42" w14:textId="77777777" w:rsidR="00393FB0" w:rsidRDefault="006954F4">
            <w:pPr>
              <w:autoSpaceDE w:val="0"/>
            </w:pPr>
            <w:r>
              <w:rPr>
                <w:rFonts w:cs="Arial"/>
                <w:sz w:val="20"/>
                <w:szCs w:val="20"/>
              </w:rPr>
              <w:t xml:space="preserve">This indicator measures the percentage of top-paid 5% of staff who are </w:t>
            </w:r>
            <w:r>
              <w:rPr>
                <w:rFonts w:eastAsia="Calibri" w:cs="Arial"/>
                <w:sz w:val="20"/>
                <w:szCs w:val="20"/>
              </w:rPr>
              <w:t>from an ethnic minority</w:t>
            </w:r>
            <w:r w:rsidR="004420A1">
              <w:rPr>
                <w:rFonts w:eastAsia="Calibri" w:cs="Arial"/>
                <w:sz w:val="20"/>
                <w:szCs w:val="20"/>
              </w:rPr>
              <w:t xml:space="preserve"> background</w:t>
            </w:r>
            <w:r>
              <w:rPr>
                <w:rFonts w:eastAsia="Calibri" w:cs="Arial"/>
                <w:sz w:val="20"/>
                <w:szCs w:val="20"/>
              </w:rPr>
              <w:t>.</w:t>
            </w:r>
          </w:p>
        </w:tc>
      </w:tr>
      <w:tr w:rsidR="00393FB0" w14:paraId="5066CBAA"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F7A1F0" w14:textId="77777777" w:rsidR="00393FB0" w:rsidRDefault="006954F4">
            <w:pPr>
              <w:ind w:left="49" w:hanging="49"/>
            </w:pPr>
            <w:r>
              <w:rPr>
                <w:rFonts w:cs="Arial"/>
                <w:b/>
                <w:bCs/>
                <w:color w:val="000000"/>
                <w:sz w:val="20"/>
                <w:szCs w:val="20"/>
                <w:lang w:eastAsia="en-GB"/>
              </w:rPr>
              <w:t>Purpose/aim</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0C7810" w14:textId="77777777" w:rsidR="00393FB0" w:rsidRDefault="006954F4">
            <w:pPr>
              <w:ind w:left="49" w:hanging="49"/>
              <w:rPr>
                <w:rFonts w:cs="Arial"/>
                <w:sz w:val="20"/>
                <w:szCs w:val="20"/>
              </w:rPr>
            </w:pPr>
            <w:r>
              <w:rPr>
                <w:rFonts w:cs="Arial"/>
                <w:sz w:val="20"/>
                <w:szCs w:val="20"/>
              </w:rPr>
              <w:t>To monitor outcomes of equal opportunities in local authorities</w:t>
            </w:r>
          </w:p>
        </w:tc>
      </w:tr>
      <w:tr w:rsidR="00393FB0" w14:paraId="57A61326"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00809" w14:textId="77777777" w:rsidR="00393FB0" w:rsidRDefault="006954F4">
            <w:pPr>
              <w:ind w:left="49" w:hanging="49"/>
              <w:rPr>
                <w:rFonts w:cs="Arial"/>
                <w:b/>
                <w:bCs/>
                <w:color w:val="000000"/>
                <w:sz w:val="20"/>
                <w:szCs w:val="20"/>
                <w:lang w:eastAsia="en-GB"/>
              </w:rPr>
            </w:pPr>
            <w:r>
              <w:rPr>
                <w:rFonts w:cs="Arial"/>
                <w:b/>
                <w:bCs/>
                <w:color w:val="000000"/>
                <w:sz w:val="20"/>
                <w:szCs w:val="20"/>
                <w:lang w:eastAsia="en-GB"/>
              </w:rPr>
              <w:t>Definition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60FB7E" w14:textId="77777777" w:rsidR="00393FB0" w:rsidRDefault="006954F4">
            <w:pPr>
              <w:autoSpaceDE w:val="0"/>
              <w:rPr>
                <w:rFonts w:eastAsia="Calibri" w:cs="Arial"/>
                <w:sz w:val="20"/>
                <w:szCs w:val="20"/>
              </w:rPr>
            </w:pPr>
            <w:r>
              <w:rPr>
                <w:rFonts w:eastAsia="Calibri" w:cs="Arial"/>
                <w:sz w:val="20"/>
                <w:szCs w:val="20"/>
              </w:rPr>
              <w:t>The ‘top-paid 5%’ are identified by ranking staff according to their gross FTE pay.</w:t>
            </w:r>
          </w:p>
          <w:p w14:paraId="439CC96B" w14:textId="77777777" w:rsidR="00393FB0" w:rsidRDefault="006954F4">
            <w:pPr>
              <w:autoSpaceDE w:val="0"/>
              <w:rPr>
                <w:rFonts w:eastAsia="Calibri" w:cs="Arial"/>
                <w:sz w:val="20"/>
                <w:szCs w:val="20"/>
              </w:rPr>
            </w:pPr>
            <w:r>
              <w:rPr>
                <w:rFonts w:eastAsia="Calibri" w:cs="Arial"/>
                <w:sz w:val="20"/>
                <w:szCs w:val="20"/>
              </w:rPr>
              <w:t>Apply to permanent staff only. Staff on fixed term contracts and temporary staff who have been employed by the authority for over a year should be considered permanent. Casual staff (i.e. those not employed on a regular basis but when a particular need arises) and those employed by outside contractors (e.g. private companies or a local authority owned company that has a separate corporate identity from that of the authority) are not counted under these indicators.</w:t>
            </w:r>
          </w:p>
          <w:p w14:paraId="70E7F3FF" w14:textId="77777777" w:rsidR="00393FB0" w:rsidRDefault="006954F4">
            <w:pPr>
              <w:autoSpaceDE w:val="0"/>
              <w:rPr>
                <w:rFonts w:eastAsia="Calibri" w:cs="Arial"/>
                <w:sz w:val="20"/>
                <w:szCs w:val="20"/>
              </w:rPr>
            </w:pPr>
            <w:r>
              <w:rPr>
                <w:rFonts w:eastAsia="Calibri" w:cs="Arial"/>
                <w:sz w:val="20"/>
                <w:szCs w:val="20"/>
              </w:rPr>
              <w:t>Exclude all staff in schools maintained by the LEA. Local authority adult education staff that are not employed by schools should be included in the calculation of the indicator in the same way as staff in other council departments. ‘Schools’ in this context means secondary schools and those catering for younger pupils.</w:t>
            </w:r>
          </w:p>
          <w:p w14:paraId="0D886D95" w14:textId="77777777" w:rsidR="00393FB0" w:rsidRDefault="006954F4">
            <w:pPr>
              <w:autoSpaceDE w:val="0"/>
              <w:rPr>
                <w:rFonts w:eastAsia="Calibri" w:cs="Arial"/>
                <w:sz w:val="20"/>
                <w:szCs w:val="20"/>
              </w:rPr>
            </w:pPr>
            <w:r>
              <w:rPr>
                <w:rFonts w:eastAsia="Calibri" w:cs="Arial"/>
                <w:sz w:val="20"/>
                <w:szCs w:val="20"/>
              </w:rPr>
              <w:t>For staff who are in multiple part-time employment add up the total number of hours worked, calculate the average hourly pay and then multiply that figure by the number of standard full-time working hours for the occupations concerned (e.g. 37 or 35).</w:t>
            </w:r>
          </w:p>
          <w:p w14:paraId="45E0AEFE" w14:textId="77777777" w:rsidR="00393FB0" w:rsidRDefault="006954F4">
            <w:pPr>
              <w:autoSpaceDE w:val="0"/>
            </w:pPr>
            <w:r>
              <w:rPr>
                <w:rFonts w:eastAsia="Calibri" w:cs="Arial"/>
                <w:sz w:val="20"/>
                <w:szCs w:val="20"/>
              </w:rPr>
              <w:t>Salaries should be based on gross pay (including London weighting, performance related pay, honoraria and market supplements) and excluding overtime and fringe benefits (such as leases of free cars, health insurance, PCs, mobiles and other non-cash benefits).</w:t>
            </w:r>
          </w:p>
        </w:tc>
      </w:tr>
      <w:tr w:rsidR="00393FB0" w14:paraId="7583C40A"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398095"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How calculated</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069D8F" w14:textId="77777777" w:rsidR="00393FB0" w:rsidRDefault="006954F4">
            <w:pPr>
              <w:autoSpaceDE w:val="0"/>
              <w:rPr>
                <w:rFonts w:cs="Arial"/>
                <w:sz w:val="20"/>
                <w:szCs w:val="20"/>
              </w:rPr>
            </w:pPr>
            <w:r>
              <w:rPr>
                <w:rFonts w:cs="Arial"/>
                <w:sz w:val="20"/>
                <w:szCs w:val="20"/>
              </w:rPr>
              <w:t>Rank all staff by gross pay including part-timers as the appropriate fraction of an FTE. Draw a line where you reach 5% of the FTEs counting down from the top (but if some people just below this point are on an identical salary to those just above it, include all people on that salary).</w:t>
            </w:r>
          </w:p>
          <w:p w14:paraId="6ED75116" w14:textId="77777777" w:rsidR="00393FB0" w:rsidRDefault="006954F4">
            <w:pPr>
              <w:autoSpaceDE w:val="0"/>
              <w:rPr>
                <w:rFonts w:cs="Arial"/>
                <w:sz w:val="20"/>
                <w:szCs w:val="20"/>
              </w:rPr>
            </w:pPr>
            <w:r>
              <w:rPr>
                <w:rFonts w:cs="Arial"/>
                <w:sz w:val="20"/>
                <w:szCs w:val="20"/>
              </w:rPr>
              <w:t>Then work out the percentage of FTEs that are from an ethnic minority, calculating part-timers pro-rata. E.g.</w:t>
            </w:r>
          </w:p>
          <w:p w14:paraId="554EA689" w14:textId="77777777" w:rsidR="00393FB0" w:rsidRDefault="006954F4">
            <w:pPr>
              <w:autoSpaceDE w:val="0"/>
              <w:rPr>
                <w:rFonts w:cs="Arial"/>
                <w:sz w:val="20"/>
                <w:szCs w:val="20"/>
              </w:rPr>
            </w:pPr>
            <w:r>
              <w:rPr>
                <w:rFonts w:cs="Arial"/>
                <w:sz w:val="20"/>
                <w:szCs w:val="20"/>
              </w:rPr>
              <w:t>Total staff 12,000 on 31st of March, of which 4,000 are half-time. So total staff in FTEs = 10,000 FTEs (8,000 full time + (4000 / 2)) 5% of 10,000 = 500 FTEs.</w:t>
            </w:r>
          </w:p>
          <w:p w14:paraId="4557C530" w14:textId="77777777" w:rsidR="00393FB0" w:rsidRDefault="006954F4">
            <w:pPr>
              <w:autoSpaceDE w:val="0"/>
              <w:rPr>
                <w:rFonts w:cs="Arial"/>
                <w:sz w:val="20"/>
                <w:szCs w:val="20"/>
              </w:rPr>
            </w:pPr>
            <w:r>
              <w:rPr>
                <w:rFonts w:cs="Arial"/>
                <w:sz w:val="20"/>
                <w:szCs w:val="20"/>
              </w:rPr>
              <w:t>480 full-time staff get £30,000 or more, of which 100 are ethnic minority; 40 half-time staff have jobs where they would get £30,000+ if they were full-time, of which 30 are ethnic minority.</w:t>
            </w:r>
          </w:p>
          <w:p w14:paraId="5334A019" w14:textId="77777777" w:rsidR="00393FB0" w:rsidRDefault="006954F4">
            <w:pPr>
              <w:autoSpaceDE w:val="0"/>
              <w:rPr>
                <w:rFonts w:cs="Arial"/>
                <w:sz w:val="20"/>
                <w:szCs w:val="20"/>
              </w:rPr>
            </w:pPr>
            <w:r>
              <w:rPr>
                <w:rFonts w:cs="Arial"/>
                <w:sz w:val="20"/>
                <w:szCs w:val="20"/>
              </w:rPr>
              <w:lastRenderedPageBreak/>
              <w:t>BV 11b = (100 + (30 / 2)) / 500 = 23.00% of senior jobs are held by people from an ethnic minority.)</w:t>
            </w:r>
          </w:p>
          <w:p w14:paraId="24EEBADF" w14:textId="77777777" w:rsidR="00393FB0" w:rsidRDefault="006954F4">
            <w:pPr>
              <w:autoSpaceDE w:val="0"/>
              <w:rPr>
                <w:rFonts w:cs="Arial"/>
                <w:sz w:val="20"/>
                <w:szCs w:val="20"/>
              </w:rPr>
            </w:pPr>
            <w:r>
              <w:rPr>
                <w:rFonts w:cs="Arial"/>
                <w:sz w:val="20"/>
                <w:szCs w:val="20"/>
              </w:rPr>
              <w:t>However, if the dividing point for the top 5% was £30,000 and there are 490 FTEs on more than £30,000 and 20 on exactly £30,000 then you would use 510 rather than 500 for the denominator of 11b, and the same logic would apply to the numerator.</w:t>
            </w:r>
          </w:p>
        </w:tc>
      </w:tr>
      <w:tr w:rsidR="00393FB0" w14:paraId="3378FAD6"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04BB54"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lastRenderedPageBreak/>
              <w:t>Data source</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935D8E" w14:textId="77777777" w:rsidR="00393FB0" w:rsidRDefault="006954F4">
            <w:pPr>
              <w:rPr>
                <w:rFonts w:cs="Arial"/>
                <w:sz w:val="20"/>
                <w:szCs w:val="20"/>
              </w:rPr>
            </w:pPr>
            <w:r>
              <w:rPr>
                <w:rFonts w:cs="Arial"/>
                <w:sz w:val="20"/>
                <w:szCs w:val="20"/>
              </w:rPr>
              <w:t>This data is voluntarily submitted by the boroughs themselves.</w:t>
            </w:r>
          </w:p>
        </w:tc>
      </w:tr>
      <w:tr w:rsidR="00393FB0" w14:paraId="7F121EBF" w14:textId="77777777" w:rsidTr="004420A1">
        <w:trPr>
          <w:trHeight w:val="240"/>
        </w:trPr>
        <w:tc>
          <w:tcPr>
            <w:tcW w:w="2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3BACF2" w14:textId="77777777" w:rsidR="00393FB0" w:rsidRPr="001F106B" w:rsidRDefault="006954F4" w:rsidP="001F106B">
            <w:pPr>
              <w:ind w:left="49" w:hanging="49"/>
              <w:rPr>
                <w:rFonts w:cs="Arial"/>
                <w:bCs/>
                <w:color w:val="000000"/>
                <w:sz w:val="20"/>
                <w:szCs w:val="20"/>
                <w:lang w:eastAsia="en-GB"/>
              </w:rPr>
            </w:pPr>
            <w:r w:rsidRPr="001F106B">
              <w:rPr>
                <w:rFonts w:cs="Arial"/>
                <w:bCs/>
                <w:color w:val="000000"/>
                <w:sz w:val="20"/>
                <w:szCs w:val="20"/>
                <w:lang w:eastAsia="en-GB"/>
              </w:rPr>
              <w:t>Data quality</w:t>
            </w:r>
          </w:p>
        </w:tc>
        <w:tc>
          <w:tcPr>
            <w:tcW w:w="63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66AB82" w14:textId="77777777" w:rsidR="00393FB0" w:rsidRDefault="006954F4">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74CE9422" w14:textId="77777777" w:rsidR="004420A1" w:rsidRDefault="004420A1">
            <w:pPr>
              <w:rPr>
                <w:rFonts w:cs="Arial"/>
                <w:sz w:val="20"/>
                <w:szCs w:val="20"/>
              </w:rPr>
            </w:pPr>
          </w:p>
          <w:p w14:paraId="3415CA7F" w14:textId="77777777" w:rsidR="00393FB0" w:rsidRDefault="006954F4">
            <w:pPr>
              <w:rPr>
                <w:rFonts w:cs="Arial"/>
                <w:sz w:val="20"/>
                <w:szCs w:val="20"/>
              </w:rPr>
            </w:pPr>
            <w:r>
              <w:rPr>
                <w:rFonts w:cs="Arial"/>
                <w:sz w:val="20"/>
                <w:szCs w:val="20"/>
              </w:rPr>
              <w:t>No external quality assurance has been conducted on the data.</w:t>
            </w:r>
          </w:p>
          <w:p w14:paraId="43064493" w14:textId="77777777" w:rsidR="004420A1" w:rsidRDefault="004420A1">
            <w:pPr>
              <w:rPr>
                <w:rFonts w:cs="Arial"/>
                <w:sz w:val="20"/>
                <w:szCs w:val="20"/>
              </w:rPr>
            </w:pPr>
          </w:p>
          <w:p w14:paraId="62819E75" w14:textId="77777777" w:rsidR="00393FB0" w:rsidRDefault="006954F4">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21A8CD4A" w14:textId="77777777" w:rsidR="004420A1" w:rsidRDefault="004420A1">
            <w:pPr>
              <w:rPr>
                <w:rFonts w:cs="Arial"/>
                <w:sz w:val="20"/>
                <w:szCs w:val="20"/>
              </w:rPr>
            </w:pPr>
          </w:p>
          <w:p w14:paraId="63D8611A" w14:textId="77777777" w:rsidR="00393FB0" w:rsidRDefault="006954F4">
            <w:pPr>
              <w:rPr>
                <w:rFonts w:cs="Arial"/>
                <w:sz w:val="20"/>
                <w:szCs w:val="20"/>
              </w:rPr>
            </w:pPr>
            <w:r>
              <w:rPr>
                <w:rFonts w:cs="Arial"/>
                <w:sz w:val="20"/>
                <w:szCs w:val="20"/>
              </w:rPr>
              <w:t>Performance should not be league tabled for the reasons above and are collected as indicative indicators or good practice.</w:t>
            </w:r>
          </w:p>
        </w:tc>
      </w:tr>
    </w:tbl>
    <w:p w14:paraId="753292B3" w14:textId="77777777" w:rsidR="00393FB0" w:rsidRDefault="00393FB0"/>
    <w:sectPr w:rsidR="00393F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A448" w14:textId="77777777" w:rsidR="003B49B7" w:rsidRDefault="003B49B7">
      <w:r>
        <w:separator/>
      </w:r>
    </w:p>
  </w:endnote>
  <w:endnote w:type="continuationSeparator" w:id="0">
    <w:p w14:paraId="50CE8E2C" w14:textId="77777777" w:rsidR="003B49B7" w:rsidRDefault="003B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2C61" w14:textId="77777777" w:rsidR="003B49B7" w:rsidRDefault="003B49B7">
      <w:r>
        <w:rPr>
          <w:color w:val="000000"/>
        </w:rPr>
        <w:separator/>
      </w:r>
    </w:p>
  </w:footnote>
  <w:footnote w:type="continuationSeparator" w:id="0">
    <w:p w14:paraId="08639E7D" w14:textId="77777777" w:rsidR="003B49B7" w:rsidRDefault="003B4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3FB0"/>
    <w:rsid w:val="00154B13"/>
    <w:rsid w:val="00181A62"/>
    <w:rsid w:val="001F106B"/>
    <w:rsid w:val="00393FB0"/>
    <w:rsid w:val="003B49B7"/>
    <w:rsid w:val="004420A1"/>
    <w:rsid w:val="006954F4"/>
    <w:rsid w:val="00847BFF"/>
    <w:rsid w:val="00866FAB"/>
    <w:rsid w:val="008927E2"/>
    <w:rsid w:val="0089696B"/>
    <w:rsid w:val="008D5A5C"/>
    <w:rsid w:val="00B87AB3"/>
    <w:rsid w:val="00BA74D9"/>
    <w:rsid w:val="00BB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BC43"/>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13</cp:revision>
  <dcterms:created xsi:type="dcterms:W3CDTF">2015-05-21T15:33:00Z</dcterms:created>
  <dcterms:modified xsi:type="dcterms:W3CDTF">2019-07-16T13:29:00Z</dcterms:modified>
</cp:coreProperties>
</file>