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98" w:rsidRDefault="00527798" w:rsidP="003F752B">
      <w:pPr>
        <w:pStyle w:val="Heading3"/>
      </w:pPr>
      <w:bookmarkStart w:id="0" w:name="_GoBack"/>
      <w:bookmarkEnd w:id="0"/>
      <w:r>
        <w:rPr>
          <w:noProof/>
          <w:lang w:eastAsia="en-GB"/>
        </w:rPr>
        <w:drawing>
          <wp:anchor distT="0" distB="0" distL="114300" distR="114300" simplePos="0" relativeHeight="251659264" behindDoc="0" locked="0" layoutInCell="1" allowOverlap="1" wp14:anchorId="4C2E4B7B" wp14:editId="27129B01">
            <wp:simplePos x="0" y="0"/>
            <wp:positionH relativeFrom="column">
              <wp:posOffset>4603115</wp:posOffset>
            </wp:positionH>
            <wp:positionV relativeFrom="paragraph">
              <wp:posOffset>-317500</wp:posOffset>
            </wp:positionV>
            <wp:extent cx="1833245" cy="874395"/>
            <wp:effectExtent l="0" t="0" r="0" b="1905"/>
            <wp:wrapSquare wrapText="bothSides"/>
            <wp:docPr id="4" name="Picture 4" descr="london_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don_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3245" cy="874395"/>
                    </a:xfrm>
                    <a:prstGeom prst="rect">
                      <a:avLst/>
                    </a:prstGeom>
                    <a:noFill/>
                  </pic:spPr>
                </pic:pic>
              </a:graphicData>
            </a:graphic>
            <wp14:sizeRelH relativeFrom="page">
              <wp14:pctWidth>0</wp14:pctWidth>
            </wp14:sizeRelH>
            <wp14:sizeRelV relativeFrom="page">
              <wp14:pctHeight>0</wp14:pctHeight>
            </wp14:sizeRelV>
          </wp:anchor>
        </w:drawing>
      </w:r>
      <w:r>
        <w:t>Briefing note for SYV seminar on 8 June 2018</w:t>
      </w:r>
    </w:p>
    <w:p w:rsidR="008A489E" w:rsidRDefault="008A489E" w:rsidP="003F752B">
      <w:pPr>
        <w:pStyle w:val="Heading3"/>
      </w:pPr>
      <w:r>
        <w:t>Overview</w:t>
      </w:r>
    </w:p>
    <w:p w:rsidR="00E661B4" w:rsidRDefault="00FB4D1E" w:rsidP="00E661B4">
      <w:r>
        <w:t xml:space="preserve">While youth homicide remains very rare in London, there has nonetheless been a marked </w:t>
      </w:r>
      <w:r w:rsidR="001F3C38">
        <w:t xml:space="preserve">statistical </w:t>
      </w:r>
      <w:r>
        <w:t>increase in frequency since 2016. Last year, the number of under-25s murdered, usually in fatal stabbings, increased by 83% to 35. Between January and May this year, at least 60 homicides, many of them under-25s and related to gang culture, h</w:t>
      </w:r>
      <w:r w:rsidR="003F752B">
        <w:t xml:space="preserve">ave been committed in London.  </w:t>
      </w:r>
    </w:p>
    <w:p w:rsidR="00E661B4" w:rsidRPr="00E661B4" w:rsidRDefault="00E661B4" w:rsidP="00E661B4">
      <w:r w:rsidRPr="00E661B4">
        <w:t>The London Knife Crime Strategy which was launched in June 2017 sets out the Mayor’s plan for a partnership approach to tackling knife crime.</w:t>
      </w:r>
    </w:p>
    <w:p w:rsidR="00037AA6" w:rsidRDefault="00E661B4">
      <w:r>
        <w:t xml:space="preserve">London Directors of </w:t>
      </w:r>
      <w:r w:rsidR="001F4D5D">
        <w:t>Children’s Services</w:t>
      </w:r>
      <w:r>
        <w:t xml:space="preserve"> and Heads of Community Safety have been gathering local approaches in response to the increase in serious knife crime.</w:t>
      </w:r>
    </w:p>
    <w:p w:rsidR="003F752B" w:rsidRDefault="003F752B" w:rsidP="003F752B">
      <w:pPr>
        <w:pStyle w:val="Heading3"/>
      </w:pPr>
      <w:r>
        <w:t>Public Health and Youth Violence</w:t>
      </w:r>
    </w:p>
    <w:p w:rsidR="0017763B" w:rsidRDefault="003F752B" w:rsidP="003F752B">
      <w:r w:rsidRPr="00037AA6">
        <w:t xml:space="preserve">The causes of youth violence are multifactorial and include familial, social, </w:t>
      </w:r>
      <w:r w:rsidR="00D750C6">
        <w:t xml:space="preserve">and </w:t>
      </w:r>
      <w:r w:rsidRPr="00037AA6">
        <w:t>economic</w:t>
      </w:r>
      <w:r w:rsidR="0017763B">
        <w:t xml:space="preserve"> </w:t>
      </w:r>
      <w:r w:rsidRPr="00037AA6">
        <w:t xml:space="preserve">factors. </w:t>
      </w:r>
      <w:r w:rsidR="0017763B">
        <w:t>While the potential</w:t>
      </w:r>
      <w:r w:rsidRPr="00037AA6">
        <w:t xml:space="preserve"> influence </w:t>
      </w:r>
      <w:r w:rsidR="0017763B">
        <w:t>that</w:t>
      </w:r>
      <w:r w:rsidRPr="00037AA6">
        <w:t xml:space="preserve"> parents, family members, and </w:t>
      </w:r>
      <w:r w:rsidR="0017763B">
        <w:t>other</w:t>
      </w:r>
      <w:r w:rsidRPr="00037AA6">
        <w:t xml:space="preserve"> adults can</w:t>
      </w:r>
      <w:r w:rsidR="0017763B">
        <w:t xml:space="preserve"> have in pushing a young person </w:t>
      </w:r>
      <w:r w:rsidRPr="00037AA6">
        <w:t xml:space="preserve">toward </w:t>
      </w:r>
      <w:r w:rsidR="0017763B">
        <w:t xml:space="preserve">violence is important, </w:t>
      </w:r>
      <w:r w:rsidRPr="00037AA6">
        <w:t>the influence of school</w:t>
      </w:r>
      <w:r w:rsidR="0017763B">
        <w:t>s</w:t>
      </w:r>
      <w:r w:rsidRPr="00037AA6">
        <w:t xml:space="preserve"> and </w:t>
      </w:r>
      <w:r w:rsidR="0017763B">
        <w:t xml:space="preserve">in particular of peer </w:t>
      </w:r>
      <w:r w:rsidR="00800091">
        <w:t>groups</w:t>
      </w:r>
      <w:r w:rsidR="0017763B">
        <w:t xml:space="preserve"> is </w:t>
      </w:r>
      <w:r w:rsidRPr="00037AA6">
        <w:t xml:space="preserve">also </w:t>
      </w:r>
      <w:r w:rsidR="0017763B">
        <w:t>significant in shaping</w:t>
      </w:r>
      <w:r w:rsidRPr="00037AA6">
        <w:t xml:space="preserve"> </w:t>
      </w:r>
      <w:r w:rsidR="0017763B">
        <w:t xml:space="preserve">the </w:t>
      </w:r>
      <w:r w:rsidRPr="00037AA6">
        <w:t xml:space="preserve">attitudes and behaviours of children toward violence. </w:t>
      </w:r>
    </w:p>
    <w:p w:rsidR="00D750C6" w:rsidRDefault="007A5119" w:rsidP="003F752B">
      <w:r>
        <w:t>Those who perpetrate violence or experience violence are often subject to si</w:t>
      </w:r>
      <w:r w:rsidR="00800091">
        <w:t>gnificant health inequalities and t</w:t>
      </w:r>
      <w:r>
        <w:t>here are</w:t>
      </w:r>
      <w:r w:rsidR="00D750C6">
        <w:t xml:space="preserve"> frequently some underlying mental and physical health factors, as well as issues related to the wider-detriments of health – such as housing, unemployment, domestic</w:t>
      </w:r>
      <w:r>
        <w:t xml:space="preserve"> violence and substance misuse.</w:t>
      </w:r>
      <w:r w:rsidR="00FF339F" w:rsidRPr="00FF339F">
        <w:t xml:space="preserve"> </w:t>
      </w:r>
    </w:p>
    <w:p w:rsidR="002F301E" w:rsidRDefault="002F301E" w:rsidP="002F301E">
      <w:pPr>
        <w:pStyle w:val="Heading2"/>
      </w:pPr>
      <w:r>
        <w:t xml:space="preserve">Why is </w:t>
      </w:r>
      <w:r w:rsidR="00D008E4">
        <w:t>a ‘Public Health Approach’</w:t>
      </w:r>
      <w:r>
        <w:t xml:space="preserve"> important and why are people talking about it?</w:t>
      </w:r>
    </w:p>
    <w:p w:rsidR="002F301E" w:rsidRDefault="002F301E" w:rsidP="002F301E">
      <w:r>
        <w:t>V</w:t>
      </w:r>
      <w:r w:rsidRPr="00F775FB">
        <w:t xml:space="preserve">iolence </w:t>
      </w:r>
      <w:r w:rsidR="001F3C38">
        <w:t>has</w:t>
      </w:r>
      <w:r w:rsidRPr="00F775FB">
        <w:t xml:space="preserve"> a devastating impact on individuals, families and communities. The World Health Organisation acknowledges that “violence of all sorts is strongly assoc</w:t>
      </w:r>
      <w:r>
        <w:t xml:space="preserve">iated with social determinants”, </w:t>
      </w:r>
      <w:r w:rsidRPr="00F775FB">
        <w:t xml:space="preserve">therefore </w:t>
      </w:r>
      <w:r>
        <w:t>highlighting that</w:t>
      </w:r>
      <w:r w:rsidRPr="00F775FB">
        <w:t xml:space="preserve"> </w:t>
      </w:r>
      <w:r>
        <w:t xml:space="preserve">a </w:t>
      </w:r>
      <w:r w:rsidRPr="00F775FB">
        <w:t xml:space="preserve">different approach to tackling the problem of violence needs </w:t>
      </w:r>
      <w:r w:rsidR="00D008E4">
        <w:t xml:space="preserve">to </w:t>
      </w:r>
      <w:r w:rsidRPr="00F775FB">
        <w:t>be developed.</w:t>
      </w:r>
    </w:p>
    <w:p w:rsidR="002F301E" w:rsidRDefault="002F301E" w:rsidP="002F301E">
      <w:r w:rsidRPr="00F775FB">
        <w:t>Rather than taking a procedural justice approach dealing with the consequences, working with partners to better underst</w:t>
      </w:r>
      <w:r>
        <w:t>and the root causes of violence,</w:t>
      </w:r>
      <w:r w:rsidRPr="00F775FB">
        <w:t xml:space="preserve"> yi</w:t>
      </w:r>
      <w:r>
        <w:t xml:space="preserve">elding a </w:t>
      </w:r>
      <w:r w:rsidRPr="002F301E">
        <w:rPr>
          <w:u w:val="single"/>
        </w:rPr>
        <w:t>whole-system response</w:t>
      </w:r>
      <w:r>
        <w:t>, has met with success in a number of high profile cases</w:t>
      </w:r>
      <w:r w:rsidR="00CD4599">
        <w:t xml:space="preserve"> – some are detailed below</w:t>
      </w:r>
      <w:r>
        <w:t xml:space="preserve">. </w:t>
      </w:r>
    </w:p>
    <w:p w:rsidR="002F301E" w:rsidRDefault="002F301E" w:rsidP="002F301E">
      <w:r>
        <w:t>This is what is meant by a ‘Public Health approach</w:t>
      </w:r>
      <w:r w:rsidR="00D008E4">
        <w:t>’ to violence</w:t>
      </w:r>
      <w:r>
        <w:t xml:space="preserve">: developments in public health methodologies mean that integrated multi-agency working, with a focus on prevention and </w:t>
      </w:r>
      <w:r w:rsidR="00D008E4">
        <w:t xml:space="preserve">the </w:t>
      </w:r>
      <w:r>
        <w:t xml:space="preserve">wider determinants </w:t>
      </w:r>
      <w:r w:rsidR="00D008E4">
        <w:t xml:space="preserve">of health that sit </w:t>
      </w:r>
      <w:r>
        <w:t xml:space="preserve">outside the direct remit of the health system (such as deprivation) have become much more </w:t>
      </w:r>
      <w:r w:rsidR="00D008E4">
        <w:t>common</w:t>
      </w:r>
      <w:r>
        <w:t xml:space="preserve">. </w:t>
      </w:r>
    </w:p>
    <w:p w:rsidR="002F301E" w:rsidRDefault="002F301E" w:rsidP="002F301E">
      <w:r>
        <w:t>While</w:t>
      </w:r>
      <w:r w:rsidR="00CD4599">
        <w:t xml:space="preserve"> it must not be forgotten that</w:t>
      </w:r>
      <w:r>
        <w:t xml:space="preserve"> violence has a health aspect, both in terms of cause and consequence, it is this whole-system approach, most commonly associated with public health, which is most </w:t>
      </w:r>
      <w:r w:rsidR="00D008E4">
        <w:t>effective</w:t>
      </w:r>
      <w:r>
        <w:t xml:space="preserve"> for long-term violence reduction.</w:t>
      </w:r>
    </w:p>
    <w:p w:rsidR="00E661B4" w:rsidRDefault="00E661B4" w:rsidP="002F301E">
      <w:r>
        <w:t>At its core a public health approach is an acknowledgement that no issue relating to violence has a single aspect or cause and that no single agency, service or organisation has all the answers.</w:t>
      </w:r>
    </w:p>
    <w:p w:rsidR="001F3C38" w:rsidRDefault="001F3C38" w:rsidP="002F301E"/>
    <w:p w:rsidR="001F3C38" w:rsidRDefault="001F3C38" w:rsidP="002F301E">
      <w:r>
        <w:t>A Public Health approach has 6 broad criteria:</w:t>
      </w:r>
    </w:p>
    <w:p w:rsidR="001F3C38" w:rsidRDefault="001F3C38" w:rsidP="00527798">
      <w:pPr>
        <w:pStyle w:val="ListParagraph"/>
        <w:numPr>
          <w:ilvl w:val="0"/>
          <w:numId w:val="9"/>
        </w:numPr>
      </w:pPr>
      <w:r>
        <w:t>It is focussed on a defined population</w:t>
      </w:r>
    </w:p>
    <w:p w:rsidR="001F3C38" w:rsidRDefault="001F3C38" w:rsidP="00527798">
      <w:pPr>
        <w:pStyle w:val="ListParagraph"/>
        <w:numPr>
          <w:ilvl w:val="0"/>
          <w:numId w:val="9"/>
        </w:numPr>
      </w:pPr>
      <w:r>
        <w:t>It is established with and for communities</w:t>
      </w:r>
    </w:p>
    <w:p w:rsidR="001F3C38" w:rsidRDefault="001F3C38" w:rsidP="00527798">
      <w:pPr>
        <w:pStyle w:val="ListParagraph"/>
        <w:numPr>
          <w:ilvl w:val="0"/>
          <w:numId w:val="9"/>
        </w:numPr>
      </w:pPr>
      <w:r>
        <w:t xml:space="preserve">It is not </w:t>
      </w:r>
      <w:r w:rsidR="00527798">
        <w:t>constrained</w:t>
      </w:r>
      <w:r>
        <w:t xml:space="preserve"> by organisational or professional </w:t>
      </w:r>
      <w:r w:rsidR="00527798">
        <w:t>boundaries</w:t>
      </w:r>
    </w:p>
    <w:p w:rsidR="001F3C38" w:rsidRDefault="001F3C38" w:rsidP="00527798">
      <w:pPr>
        <w:pStyle w:val="ListParagraph"/>
        <w:numPr>
          <w:ilvl w:val="0"/>
          <w:numId w:val="9"/>
        </w:numPr>
      </w:pPr>
      <w:r>
        <w:t>It is focused on generating long term, as well as short term, solutions</w:t>
      </w:r>
    </w:p>
    <w:p w:rsidR="001F3C38" w:rsidRDefault="001F3C38" w:rsidP="00527798">
      <w:pPr>
        <w:pStyle w:val="ListParagraph"/>
        <w:numPr>
          <w:ilvl w:val="0"/>
          <w:numId w:val="9"/>
        </w:numPr>
      </w:pPr>
      <w:r>
        <w:t>It is based on data and intelligence</w:t>
      </w:r>
    </w:p>
    <w:p w:rsidR="001F3C38" w:rsidRDefault="001F3C38" w:rsidP="00527798">
      <w:pPr>
        <w:pStyle w:val="ListParagraph"/>
        <w:numPr>
          <w:ilvl w:val="0"/>
          <w:numId w:val="9"/>
        </w:numPr>
      </w:pPr>
      <w:r>
        <w:t>It is rooted in evidence of effective practice</w:t>
      </w:r>
    </w:p>
    <w:p w:rsidR="001F3C38" w:rsidRDefault="002F301E" w:rsidP="002F301E">
      <w:r>
        <w:t>Ultimately, c</w:t>
      </w:r>
      <w:r w:rsidRPr="00F775FB">
        <w:t>hanging a culture of violence takes time,</w:t>
      </w:r>
      <w:r>
        <w:t xml:space="preserve"> as does strengthening</w:t>
      </w:r>
      <w:r w:rsidRPr="00F775FB">
        <w:t xml:space="preserve"> collaboration and commitment from partners within Local </w:t>
      </w:r>
      <w:r>
        <w:t>Government</w:t>
      </w:r>
      <w:r w:rsidRPr="00F775FB">
        <w:t>, Police, the wider criminal justice system, health and voluntary sector organisations.</w:t>
      </w:r>
      <w:r>
        <w:t xml:space="preserve"> </w:t>
      </w:r>
      <w:r w:rsidR="001F3C38">
        <w:t>A public health approach is not solely delivered by a public health team, or funded by the public health grant, or any one organisation, but is a shared endeavour.</w:t>
      </w:r>
    </w:p>
    <w:p w:rsidR="00D1344C" w:rsidRPr="00D1344C" w:rsidRDefault="00D1344C" w:rsidP="00D1344C">
      <w:pPr>
        <w:pStyle w:val="Heading2"/>
      </w:pPr>
      <w:r w:rsidRPr="00D1344C">
        <w:t>Case Studies</w:t>
      </w:r>
    </w:p>
    <w:p w:rsidR="00D1344C" w:rsidRPr="00A279D5" w:rsidRDefault="00D1344C" w:rsidP="00D1344C">
      <w:pPr>
        <w:pStyle w:val="Heading3"/>
      </w:pPr>
      <w:r w:rsidRPr="00A279D5">
        <w:t xml:space="preserve">Health &amp; Violent </w:t>
      </w:r>
      <w:r>
        <w:t>Crime/Youth Gangs – Glasgow</w:t>
      </w:r>
    </w:p>
    <w:p w:rsidR="00484DD7" w:rsidRDefault="00484DD7" w:rsidP="00484DD7">
      <w:r w:rsidRPr="00484DD7">
        <w:t>The Violence Reduction Unit</w:t>
      </w:r>
      <w:r>
        <w:t xml:space="preserve"> (VRU)</w:t>
      </w:r>
      <w:r w:rsidRPr="00484DD7">
        <w:t> was established by Strathclyde Police in 2005 as a reaction to the extremely high levels of violent crime in Glasgow</w:t>
      </w:r>
      <w:r>
        <w:t>, and it was the first major initiative of its kind in the UK to adopt</w:t>
      </w:r>
      <w:r w:rsidRPr="00484DD7">
        <w:t xml:space="preserve"> a </w:t>
      </w:r>
      <w:hyperlink r:id="rId10" w:tooltip="Public health" w:history="1">
        <w:r w:rsidRPr="00484DD7">
          <w:t>public health</w:t>
        </w:r>
      </w:hyperlink>
      <w:r>
        <w:t> approach.</w:t>
      </w:r>
      <w:r w:rsidR="0017601E">
        <w:t xml:space="preserve"> This programme was highly successful in driving down violence in Glasgow and has since been adopted across all of Scotland – this is considered one of the reasons why Scotland is largely unaffected by the recent increase in violent crime occurring in England and Wales.</w:t>
      </w:r>
    </w:p>
    <w:p w:rsidR="00484DD7" w:rsidRDefault="00484DD7" w:rsidP="00484DD7">
      <w:r>
        <w:t>The VRU’s</w:t>
      </w:r>
      <w:r w:rsidRPr="00484DD7">
        <w:t xml:space="preserve"> aims </w:t>
      </w:r>
      <w:r>
        <w:t>were</w:t>
      </w:r>
      <w:r w:rsidRPr="00484DD7">
        <w:t xml:space="preserve"> to reduce violent crime and behaviour</w:t>
      </w:r>
      <w:r>
        <w:t>,</w:t>
      </w:r>
      <w:r w:rsidRPr="00484DD7">
        <w:t xml:space="preserve"> </w:t>
      </w:r>
      <w:r>
        <w:t>achieving</w:t>
      </w:r>
      <w:r w:rsidRPr="00484DD7">
        <w:t xml:space="preserve"> long-term societal and attitudinal change by working with agencies in fields such as health, education and </w:t>
      </w:r>
      <w:hyperlink r:id="rId11" w:tooltip="Social work" w:history="1">
        <w:r w:rsidRPr="00484DD7">
          <w:t>social work</w:t>
        </w:r>
      </w:hyperlink>
      <w:r>
        <w:t xml:space="preserve">. </w:t>
      </w:r>
    </w:p>
    <w:p w:rsidR="000E2E08" w:rsidRDefault="00484DD7" w:rsidP="00484DD7">
      <w:r>
        <w:t xml:space="preserve">Significantly, </w:t>
      </w:r>
      <w:r w:rsidR="000E2E08">
        <w:t>a multi-agency approach was taken to</w:t>
      </w:r>
      <w:r w:rsidR="00B40124">
        <w:t xml:space="preserve"> initial</w:t>
      </w:r>
      <w:r w:rsidR="000E2E08">
        <w:t xml:space="preserve"> intelligence gathering and identification. It was only when gathering information from Schools, Social Services and the Police was it noted that </w:t>
      </w:r>
      <w:r w:rsidR="00B40124">
        <w:t xml:space="preserve">their lists of young people at risk of violence were all different, as different agencies looked at different criteria. </w:t>
      </w:r>
    </w:p>
    <w:p w:rsidR="00641430" w:rsidRPr="00641430" w:rsidRDefault="00641430" w:rsidP="00B40124">
      <w:pPr>
        <w:pStyle w:val="Heading4"/>
      </w:pPr>
      <w:r w:rsidRPr="00641430">
        <w:t xml:space="preserve">Violence Reduction Unit – Key Themes </w:t>
      </w:r>
    </w:p>
    <w:p w:rsidR="000E2E08" w:rsidRDefault="00641430" w:rsidP="000E2E08">
      <w:r>
        <w:t>The VRU’s ‘Public Health’ approach to violence reducti</w:t>
      </w:r>
      <w:r w:rsidR="000E2E08">
        <w:t>on included several key themes:</w:t>
      </w:r>
    </w:p>
    <w:p w:rsidR="00641430" w:rsidRDefault="00641430" w:rsidP="00641430">
      <w:pPr>
        <w:pStyle w:val="ListParagraph"/>
        <w:numPr>
          <w:ilvl w:val="0"/>
          <w:numId w:val="1"/>
        </w:numPr>
      </w:pPr>
      <w:r>
        <w:t>A&amp;E focus</w:t>
      </w:r>
    </w:p>
    <w:p w:rsidR="00641430" w:rsidRDefault="00641430" w:rsidP="00641430">
      <w:r>
        <w:t>Throughout the course of the programme, the measure of violent crime, and thus the measure of success in violence reduction, was the number of coming through A&amp;E with knife related injuries. In this way, there was at least a tacit acknowledgement that police figures are not accurate (in Glasgow, it was estimated that only 30% of violence was reported).</w:t>
      </w:r>
    </w:p>
    <w:p w:rsidR="00641430" w:rsidRDefault="00641430" w:rsidP="00641430">
      <w:r>
        <w:t>It was in Glasgow’s hospitals that initial interventions were made</w:t>
      </w:r>
      <w:r w:rsidR="000E2E08">
        <w:t xml:space="preserve"> with those involved in violence and gang-culture. This entailed some training for nurses, to help them identify and begin engagement with those involved.</w:t>
      </w:r>
    </w:p>
    <w:p w:rsidR="000E2E08" w:rsidRDefault="00641430" w:rsidP="00641430">
      <w:pPr>
        <w:pStyle w:val="ListParagraph"/>
        <w:numPr>
          <w:ilvl w:val="0"/>
          <w:numId w:val="1"/>
        </w:numPr>
      </w:pPr>
      <w:r>
        <w:lastRenderedPageBreak/>
        <w:t xml:space="preserve">School focus </w:t>
      </w:r>
    </w:p>
    <w:p w:rsidR="00641430" w:rsidRDefault="000E2E08" w:rsidP="000E2E08">
      <w:r>
        <w:t>As part of the overarching aim to bring</w:t>
      </w:r>
      <w:r w:rsidR="00641430">
        <w:t xml:space="preserve"> the people who are m</w:t>
      </w:r>
      <w:r>
        <w:t>ost effected in to the solution, the VRU engaged with teachers and schools in the area. This involved arranging s</w:t>
      </w:r>
      <w:r w:rsidR="00641430">
        <w:t>peakers with lived experience to talk</w:t>
      </w:r>
      <w:r>
        <w:t xml:space="preserve"> to pupils</w:t>
      </w:r>
      <w:r w:rsidR="00641430">
        <w:t xml:space="preserve">, but </w:t>
      </w:r>
      <w:r>
        <w:t xml:space="preserve">especial </w:t>
      </w:r>
      <w:r w:rsidR="00641430">
        <w:t xml:space="preserve">emphasis </w:t>
      </w:r>
      <w:r>
        <w:t xml:space="preserve">was ultimately placed </w:t>
      </w:r>
      <w:r w:rsidR="00641430">
        <w:t>on listening to young people</w:t>
      </w:r>
      <w:r>
        <w:t xml:space="preserve"> to gain a better understanding of their difficulties as they saw them.</w:t>
      </w:r>
    </w:p>
    <w:p w:rsidR="00641430" w:rsidRDefault="000E2E08" w:rsidP="000E2E08">
      <w:r>
        <w:t xml:space="preserve">Notably, this also entailed a </w:t>
      </w:r>
      <w:r w:rsidR="00641430">
        <w:t>Zero Exclusion policy</w:t>
      </w:r>
      <w:r>
        <w:t xml:space="preserve"> across the city, with the e</w:t>
      </w:r>
      <w:r w:rsidR="00641430">
        <w:t>mphasis on keeping children in school</w:t>
      </w:r>
      <w:r>
        <w:t xml:space="preserve"> – and thus out of gang culture, which was the only alternative for many.</w:t>
      </w:r>
    </w:p>
    <w:p w:rsidR="00641430" w:rsidRDefault="00641430" w:rsidP="00641430">
      <w:pPr>
        <w:pStyle w:val="ListParagraph"/>
        <w:numPr>
          <w:ilvl w:val="0"/>
          <w:numId w:val="1"/>
        </w:numPr>
      </w:pPr>
      <w:r>
        <w:t>Focus on Early Years</w:t>
      </w:r>
    </w:p>
    <w:p w:rsidR="00641430" w:rsidRDefault="00B40124" w:rsidP="00B40124">
      <w:r>
        <w:t>As it was noted that children from troubled homes were more likely to engage with violent behaviour, i</w:t>
      </w:r>
      <w:r w:rsidR="00641430">
        <w:t>dentifying and paying attention to young children from troubled homes</w:t>
      </w:r>
      <w:r>
        <w:t xml:space="preserve"> was considered a priority by the Unit. Once identified, early interventions could then be made – including offers of support, counselling etc.</w:t>
      </w:r>
    </w:p>
    <w:p w:rsidR="00641430" w:rsidRDefault="00641430" w:rsidP="00641430">
      <w:pPr>
        <w:pStyle w:val="ListParagraph"/>
        <w:numPr>
          <w:ilvl w:val="0"/>
          <w:numId w:val="1"/>
        </w:numPr>
      </w:pPr>
      <w:r>
        <w:t>Focus on community</w:t>
      </w:r>
    </w:p>
    <w:p w:rsidR="00641430" w:rsidRDefault="00B40124" w:rsidP="00B40124">
      <w:r>
        <w:t>There was a clear focus on engagement with the community, both in terms of including the general</w:t>
      </w:r>
      <w:r w:rsidR="00E75FF3">
        <w:t xml:space="preserve"> public in the solution -</w:t>
      </w:r>
      <w:r>
        <w:t xml:space="preserve"> gathering intelligence on gang activity and violent behaviour on the ground, as well as </w:t>
      </w:r>
      <w:r w:rsidR="00E75FF3">
        <w:t>input in to possible solutions to keep young people out of violent behaviour – and to build trust. Together with a series of public events,</w:t>
      </w:r>
      <w:r>
        <w:t xml:space="preserve"> </w:t>
      </w:r>
      <w:r w:rsidR="00E75FF3">
        <w:t>i</w:t>
      </w:r>
      <w:r w:rsidR="00641430">
        <w:t>nvestment</w:t>
      </w:r>
      <w:r w:rsidR="00E75FF3">
        <w:t xml:space="preserve"> was</w:t>
      </w:r>
      <w:r w:rsidR="00641430">
        <w:t xml:space="preserve"> put into keeping community officers on the streets long-term to get to know people and build trust with communities</w:t>
      </w:r>
      <w:r w:rsidR="00E75FF3">
        <w:t>.</w:t>
      </w:r>
    </w:p>
    <w:p w:rsidR="00484DD7" w:rsidRDefault="00484DD7" w:rsidP="00641430">
      <w:pPr>
        <w:pStyle w:val="Heading4"/>
      </w:pPr>
      <w:r>
        <w:t>Enforcement</w:t>
      </w:r>
      <w:r w:rsidR="00A857EC">
        <w:t xml:space="preserve"> and Prevention</w:t>
      </w:r>
    </w:p>
    <w:p w:rsidR="00641430" w:rsidRDefault="00E75FF3" w:rsidP="00641430">
      <w:r>
        <w:t>The l</w:t>
      </w:r>
      <w:r w:rsidR="00641430">
        <w:t>aunch of ‘Community Initiative to Reduce Violence</w:t>
      </w:r>
      <w:r>
        <w:t>’</w:t>
      </w:r>
      <w:r w:rsidR="00641430">
        <w:t xml:space="preserve"> (CIRV)</w:t>
      </w:r>
      <w:r>
        <w:t xml:space="preserve"> in 2011 very much represented the culmination of work since 2005. From here, the VRU </w:t>
      </w:r>
      <w:r w:rsidR="0017601E">
        <w:t>ultimately settled</w:t>
      </w:r>
      <w:r>
        <w:t xml:space="preserve"> in to two key parts: Enforcement; and Prevention.</w:t>
      </w:r>
    </w:p>
    <w:p w:rsidR="00D1344C" w:rsidRDefault="00E75FF3" w:rsidP="00E75FF3">
      <w:pPr>
        <w:pStyle w:val="ListParagraph"/>
        <w:numPr>
          <w:ilvl w:val="0"/>
          <w:numId w:val="1"/>
        </w:numPr>
      </w:pPr>
      <w:r>
        <w:t xml:space="preserve">Prevention </w:t>
      </w:r>
    </w:p>
    <w:p w:rsidR="00D1344C" w:rsidRDefault="00D1344C" w:rsidP="00E75FF3">
      <w:pPr>
        <w:pStyle w:val="ListParagraph"/>
        <w:numPr>
          <w:ilvl w:val="1"/>
          <w:numId w:val="1"/>
        </w:numPr>
      </w:pPr>
      <w:r>
        <w:t>Offer help</w:t>
      </w:r>
    </w:p>
    <w:p w:rsidR="00D1344C" w:rsidRDefault="00E75FF3" w:rsidP="00E75FF3">
      <w:pPr>
        <w:pStyle w:val="ListParagraph"/>
        <w:numPr>
          <w:ilvl w:val="2"/>
          <w:numId w:val="1"/>
        </w:numPr>
      </w:pPr>
      <w:r>
        <w:t xml:space="preserve">Identified young people considered at risk were offered help and support via a collection of services – jobs and other employment </w:t>
      </w:r>
      <w:r w:rsidR="00D1344C">
        <w:t>services, counselling, housing, schools and education</w:t>
      </w:r>
      <w:r w:rsidR="0017601E">
        <w:t>, or health services.</w:t>
      </w:r>
    </w:p>
    <w:p w:rsidR="00D1344C" w:rsidRDefault="00D1344C" w:rsidP="00E75FF3">
      <w:pPr>
        <w:pStyle w:val="ListParagraph"/>
        <w:numPr>
          <w:ilvl w:val="1"/>
          <w:numId w:val="1"/>
        </w:numPr>
      </w:pPr>
      <w:r>
        <w:t>‘Exit pathways’</w:t>
      </w:r>
    </w:p>
    <w:p w:rsidR="0017601E" w:rsidRDefault="00E75FF3" w:rsidP="0017601E">
      <w:pPr>
        <w:pStyle w:val="ListParagraph"/>
        <w:numPr>
          <w:ilvl w:val="2"/>
          <w:numId w:val="1"/>
        </w:numPr>
      </w:pPr>
      <w:r>
        <w:t>For those who were already involved in gang culture or violent behaviour, help was offered through carefully tailored ‘Exit Pathways’. I</w:t>
      </w:r>
      <w:r w:rsidR="00D1344C">
        <w:t xml:space="preserve">f </w:t>
      </w:r>
      <w:r>
        <w:t xml:space="preserve">this help was </w:t>
      </w:r>
      <w:r w:rsidR="00D1344C">
        <w:t>accepted</w:t>
      </w:r>
      <w:r>
        <w:t xml:space="preserve">, then services would intervene to develop </w:t>
      </w:r>
      <w:r w:rsidR="0017601E">
        <w:t>a</w:t>
      </w:r>
      <w:r>
        <w:t xml:space="preserve"> programme for the individual</w:t>
      </w:r>
      <w:r w:rsidR="0017601E">
        <w:t>. However, i</w:t>
      </w:r>
      <w:r w:rsidR="00D1344C">
        <w:t>f</w:t>
      </w:r>
      <w:r w:rsidR="0017601E">
        <w:t xml:space="preserve"> this offer was</w:t>
      </w:r>
      <w:r w:rsidR="00D1344C">
        <w:t xml:space="preserve"> refuse</w:t>
      </w:r>
      <w:r w:rsidR="0017601E">
        <w:t>d</w:t>
      </w:r>
      <w:r w:rsidR="00D1344C">
        <w:t xml:space="preserve">, </w:t>
      </w:r>
      <w:r w:rsidR="0017601E">
        <w:t>a zero tolerance approach was adopted.</w:t>
      </w:r>
    </w:p>
    <w:p w:rsidR="0017601E" w:rsidRDefault="0017601E" w:rsidP="0017601E">
      <w:pPr>
        <w:pStyle w:val="ListParagraph"/>
        <w:numPr>
          <w:ilvl w:val="0"/>
          <w:numId w:val="1"/>
        </w:numPr>
      </w:pPr>
      <w:r>
        <w:t xml:space="preserve">Enforcement </w:t>
      </w:r>
    </w:p>
    <w:p w:rsidR="0017601E" w:rsidRDefault="00E362C9" w:rsidP="0017601E">
      <w:pPr>
        <w:pStyle w:val="ListParagraph"/>
        <w:numPr>
          <w:ilvl w:val="1"/>
          <w:numId w:val="1"/>
        </w:numPr>
      </w:pPr>
      <w:r>
        <w:t>Increased sentences</w:t>
      </w:r>
      <w:r w:rsidR="0017601E">
        <w:t xml:space="preserve"> for knife crime from 2 years to 4</w:t>
      </w:r>
    </w:p>
    <w:p w:rsidR="00D1344C" w:rsidRDefault="00E362C9" w:rsidP="0017601E">
      <w:pPr>
        <w:pStyle w:val="ListParagraph"/>
        <w:numPr>
          <w:ilvl w:val="1"/>
          <w:numId w:val="1"/>
        </w:numPr>
      </w:pPr>
      <w:r>
        <w:t>Possession of a knife results</w:t>
      </w:r>
      <w:r w:rsidR="0017601E">
        <w:t xml:space="preserve"> in being kept in custody and not liberated until trial</w:t>
      </w:r>
    </w:p>
    <w:p w:rsidR="00D1344C" w:rsidRDefault="00D1344C" w:rsidP="00D1344C">
      <w:r>
        <w:t xml:space="preserve">Please see: </w:t>
      </w:r>
      <w:hyperlink r:id="rId12" w:history="1">
        <w:r w:rsidRPr="00263788">
          <w:rPr>
            <w:rStyle w:val="Hyperlink"/>
          </w:rPr>
          <w:t>http://www.actiononviolence.org.uk/sites/default/files/CIRV_2nd_year_report.pdf</w:t>
        </w:r>
      </w:hyperlink>
      <w:r>
        <w:t xml:space="preserve"> </w:t>
      </w:r>
    </w:p>
    <w:p w:rsidR="00F775FB" w:rsidRDefault="00F775FB" w:rsidP="00D1344C">
      <w:pPr>
        <w:pStyle w:val="Heading3"/>
      </w:pPr>
      <w:r>
        <w:lastRenderedPageBreak/>
        <w:t>The West Midlands Violence Prevention Alliance</w:t>
      </w:r>
    </w:p>
    <w:p w:rsidR="00F775FB" w:rsidRDefault="00F775FB" w:rsidP="00F775FB">
      <w:r w:rsidRPr="00F775FB">
        <w:t>In June 2015 the Office of Polic</w:t>
      </w:r>
      <w:r>
        <w:t xml:space="preserve">e and Crime Commissioner (OPCC), the </w:t>
      </w:r>
      <w:r w:rsidRPr="00F775FB">
        <w:t>West Midlands Police</w:t>
      </w:r>
      <w:r>
        <w:t>, the West Midlands Combined Authority</w:t>
      </w:r>
      <w:r w:rsidRPr="00F775FB">
        <w:t xml:space="preserve"> and Public Health England launched the West Midlands V</w:t>
      </w:r>
      <w:r>
        <w:t xml:space="preserve">iolence Prevention Alliance (WMVPA). </w:t>
      </w:r>
    </w:p>
    <w:p w:rsidR="00F775FB" w:rsidRDefault="00F775FB" w:rsidP="00F775FB">
      <w:r w:rsidRPr="00F775FB">
        <w:t xml:space="preserve">By adopting a public health approach of identifying and addressing root causal factors, </w:t>
      </w:r>
      <w:r>
        <w:t>t</w:t>
      </w:r>
      <w:r w:rsidRPr="00F775FB">
        <w:t>he Alliance sought to influence, encourage and support partners in playing a part in preventing violence and abuse</w:t>
      </w:r>
      <w:r>
        <w:t>, improving</w:t>
      </w:r>
      <w:r w:rsidRPr="00F775FB">
        <w:t xml:space="preserve"> health, wellbeing and safety across </w:t>
      </w:r>
      <w:r>
        <w:t>the region</w:t>
      </w:r>
      <w:r w:rsidRPr="00F775FB">
        <w:t xml:space="preserve">. </w:t>
      </w:r>
    </w:p>
    <w:p w:rsidR="00F775FB" w:rsidRPr="00F775FB" w:rsidRDefault="00F775FB" w:rsidP="00F775FB">
      <w:r w:rsidRPr="00F775FB">
        <w:t>WMVPA partners do this through implementing evidence based interventions, as well as testing and evaluating new approaches.</w:t>
      </w:r>
    </w:p>
    <w:p w:rsidR="00F775FB" w:rsidRDefault="00F775FB" w:rsidP="00F775FB">
      <w:r>
        <w:t xml:space="preserve">The Alliance </w:t>
      </w:r>
      <w:r w:rsidR="0066095E">
        <w:t>has initially focused on</w:t>
      </w:r>
      <w:r>
        <w:t xml:space="preserve"> 4 priorities: </w:t>
      </w:r>
    </w:p>
    <w:p w:rsidR="00F775FB" w:rsidRDefault="00F775FB" w:rsidP="00F775FB">
      <w:pPr>
        <w:pStyle w:val="ListParagraph"/>
        <w:numPr>
          <w:ilvl w:val="0"/>
          <w:numId w:val="1"/>
        </w:numPr>
      </w:pPr>
      <w:r>
        <w:t xml:space="preserve">Advocacy: Identifying and supporting partners to become more preventative, using evidence and evaluating work including developing communications to reinforce messaging on shifting social norms and promoting prevention </w:t>
      </w:r>
    </w:p>
    <w:p w:rsidR="00764ED2" w:rsidRDefault="00764ED2" w:rsidP="00764ED2">
      <w:pPr>
        <w:ind w:left="360"/>
      </w:pPr>
      <w:r>
        <w:t>T</w:t>
      </w:r>
      <w:r w:rsidRPr="00764ED2">
        <w:t xml:space="preserve">he WMVPA </w:t>
      </w:r>
      <w:r>
        <w:t>have been</w:t>
      </w:r>
      <w:r w:rsidRPr="00764ED2">
        <w:t xml:space="preserve"> integral to influencing the work of the National Consensus Statement – a national commitment between the Home Office, Public Health England, NHS England and Policing. </w:t>
      </w:r>
      <w:r>
        <w:t>T</w:t>
      </w:r>
      <w:r w:rsidRPr="00764ED2">
        <w:t>he West Midlands Combined Authority</w:t>
      </w:r>
      <w:r>
        <w:t xml:space="preserve"> has also been central influencing the Public Sector Reform programme,</w:t>
      </w:r>
      <w:r w:rsidRPr="00764ED2">
        <w:t xml:space="preserve"> helping to articulate the necessity to work across the life course and develop the conversation around the return on investment of early intervention. </w:t>
      </w:r>
    </w:p>
    <w:p w:rsidR="00764ED2" w:rsidRDefault="00F775FB" w:rsidP="00764ED2">
      <w:pPr>
        <w:pStyle w:val="ListParagraph"/>
        <w:numPr>
          <w:ilvl w:val="0"/>
          <w:numId w:val="1"/>
        </w:numPr>
      </w:pPr>
      <w:r>
        <w:t xml:space="preserve">System Leadership: Developing the Alliance as a network of organisations and professionals who take responsibility for leadership across the wider public service system </w:t>
      </w:r>
    </w:p>
    <w:p w:rsidR="00764ED2" w:rsidRDefault="00764ED2" w:rsidP="00764ED2">
      <w:pPr>
        <w:ind w:left="360"/>
      </w:pPr>
      <w:r>
        <w:t>This has principally involved a series of events across for leaders and key influencers in the area. A particular success was the launch of ‘Craig’s Story’ -</w:t>
      </w:r>
      <w:r w:rsidRPr="0066095E">
        <w:t xml:space="preserve"> </w:t>
      </w:r>
      <w:r>
        <w:t>a</w:t>
      </w:r>
      <w:r w:rsidRPr="0066095E">
        <w:t xml:space="preserve"> part of the Alliance’s narrative, which showed the life course of an individual who had experienced violence and adversity throughout his life and highlighted the influence of early experience and their impact on future behaviours’ and outcomes.</w:t>
      </w:r>
    </w:p>
    <w:p w:rsidR="00F775FB" w:rsidRDefault="00F775FB" w:rsidP="00F775FB">
      <w:pPr>
        <w:pStyle w:val="ListParagraph"/>
        <w:numPr>
          <w:ilvl w:val="0"/>
          <w:numId w:val="1"/>
        </w:numPr>
      </w:pPr>
      <w:r>
        <w:t xml:space="preserve">Understanding Violence: Development of a surveillance system to collate and analyse data on injury as recorded by partners within the West Midlands </w:t>
      </w:r>
    </w:p>
    <w:p w:rsidR="00764ED2" w:rsidRDefault="00764ED2" w:rsidP="00764ED2">
      <w:pPr>
        <w:ind w:left="360"/>
      </w:pPr>
      <w:r>
        <w:t>Working with Public Health England, the Alliance has developed</w:t>
      </w:r>
      <w:r w:rsidRPr="0066095E">
        <w:t xml:space="preserve"> of a short-term surveillance system that collect</w:t>
      </w:r>
      <w:r>
        <w:t>s</w:t>
      </w:r>
      <w:r w:rsidRPr="0066095E">
        <w:t xml:space="preserve"> data on assault-related injuries from hospital emergency departments (ED) in line with the Department of Health guidance on Information Sharing to Tackle Violence</w:t>
      </w:r>
      <w:r>
        <w:t>. This is a first step in the development of a more long-term and comprehensive system, which will include other services such as ambulance dispatch and Police datasets.</w:t>
      </w:r>
    </w:p>
    <w:p w:rsidR="00F775FB" w:rsidRDefault="00F775FB" w:rsidP="00F775FB">
      <w:pPr>
        <w:pStyle w:val="ListParagraph"/>
        <w:numPr>
          <w:ilvl w:val="0"/>
          <w:numId w:val="1"/>
        </w:numPr>
      </w:pPr>
      <w:r>
        <w:t>Developing Primary Prevention: Working with others to identify and develop interventions specifically focusing on young people and domestic abuse.</w:t>
      </w:r>
    </w:p>
    <w:p w:rsidR="00764ED2" w:rsidRDefault="00764ED2" w:rsidP="00764ED2">
      <w:pPr>
        <w:ind w:left="360"/>
      </w:pPr>
      <w:r>
        <w:t>The Alliance has helped to develop a number of initiatives:</w:t>
      </w:r>
    </w:p>
    <w:p w:rsidR="00764ED2" w:rsidRDefault="00764ED2" w:rsidP="00764ED2">
      <w:pPr>
        <w:pStyle w:val="ListParagraph"/>
        <w:numPr>
          <w:ilvl w:val="1"/>
          <w:numId w:val="1"/>
        </w:numPr>
      </w:pPr>
      <w:r>
        <w:t>Mentors in Violence Prevention (MVP)</w:t>
      </w:r>
    </w:p>
    <w:p w:rsidR="00764ED2" w:rsidRDefault="00295F69" w:rsidP="00764ED2">
      <w:r>
        <w:lastRenderedPageBreak/>
        <w:t>The MVP is a peer mentor programme for schools. Able to be embedded throughout a school or college, the programme is focused on developing young people as leaders with the aim of promoting respect and positive relationships, whilst preventing violence and bullying. Notably, Scotland’s Violence Reduction Unit was commissioned to train staff to run MVP programmes in their schools.</w:t>
      </w:r>
    </w:p>
    <w:p w:rsidR="00764ED2" w:rsidRDefault="00764ED2" w:rsidP="00764ED2">
      <w:pPr>
        <w:pStyle w:val="ListParagraph"/>
        <w:numPr>
          <w:ilvl w:val="1"/>
          <w:numId w:val="1"/>
        </w:numPr>
      </w:pPr>
      <w:r w:rsidRPr="00764ED2">
        <w:t>Navigators Programme: Intervening in acute health settings and work in hospitals</w:t>
      </w:r>
    </w:p>
    <w:p w:rsidR="00295F69" w:rsidRDefault="00295F69" w:rsidP="00295F69">
      <w:r>
        <w:t>This initiative involves placing an Independent Domestic Violence Advisor at Queen Elizabeth and Heart of England Hospitals. With the aim of strengthening engagement and violence prevention across Health Services, this programme is focused on youth domestic and sexual violence.</w:t>
      </w:r>
    </w:p>
    <w:p w:rsidR="00764ED2" w:rsidRDefault="00764ED2" w:rsidP="00764ED2">
      <w:pPr>
        <w:pStyle w:val="ListParagraph"/>
        <w:numPr>
          <w:ilvl w:val="1"/>
          <w:numId w:val="1"/>
        </w:numPr>
      </w:pPr>
      <w:r w:rsidRPr="00764ED2">
        <w:t>IRIS: Responding earlier to domestic abuse in Primary Care</w:t>
      </w:r>
    </w:p>
    <w:p w:rsidR="00295F69" w:rsidRDefault="0029790C" w:rsidP="00295F69">
      <w:r>
        <w:t>IRIS is a national scheme for identifying victims of domestic abuse earlier in the primary care system</w:t>
      </w:r>
      <w:r>
        <w:rPr>
          <w:rStyle w:val="FootnoteReference"/>
        </w:rPr>
        <w:footnoteReference w:id="1"/>
      </w:r>
      <w:r>
        <w:t>.  In 2016, it was agreed to implement this programme within primary care in the area.</w:t>
      </w:r>
    </w:p>
    <w:p w:rsidR="00764ED2" w:rsidRDefault="00764ED2" w:rsidP="00764ED2">
      <w:pPr>
        <w:pStyle w:val="ListParagraph"/>
        <w:numPr>
          <w:ilvl w:val="1"/>
          <w:numId w:val="1"/>
        </w:numPr>
      </w:pPr>
      <w:r w:rsidRPr="00764ED2">
        <w:t>Domestic Violence Perpetrator Program</w:t>
      </w:r>
      <w:r>
        <w:t>me</w:t>
      </w:r>
    </w:p>
    <w:p w:rsidR="0066095E" w:rsidRDefault="00532699" w:rsidP="0066095E">
      <w:r>
        <w:t>The OPCC funded Domestic Violence Perpetrator Programme was launched in 2017. It offers a 26 week course to identified perpetrators across Birmingham, via a referral pathway that will enable to programme to change behaviour of the perpetrator while also monitoring and supporting the victim (and any children involved).</w:t>
      </w:r>
    </w:p>
    <w:p w:rsidR="0017601E" w:rsidRPr="00F775FB" w:rsidRDefault="0017601E" w:rsidP="0066095E">
      <w:r>
        <w:t xml:space="preserve">Please see: </w:t>
      </w:r>
      <w:hyperlink r:id="rId13" w:history="1">
        <w:r w:rsidRPr="0017601E">
          <w:rPr>
            <w:rStyle w:val="Hyperlink"/>
          </w:rPr>
          <w:t>http://violencepreventionalliance.org/wp-content/uploads/2015/03/Protecting-people-and-promoting-healthy-lives-in-the-West-Midlands_WMVPA-June-2015.pdf</w:t>
        </w:r>
      </w:hyperlink>
      <w:r w:rsidRPr="0017601E">
        <w:t xml:space="preserve"> ; </w:t>
      </w:r>
      <w:hyperlink r:id="rId14" w:history="1">
        <w:r w:rsidRPr="0017601E">
          <w:rPr>
            <w:rStyle w:val="Hyperlink"/>
          </w:rPr>
          <w:t>http://violencepreventionalliance.org/about/</w:t>
        </w:r>
      </w:hyperlink>
    </w:p>
    <w:p w:rsidR="00D1344C" w:rsidRDefault="00D1344C" w:rsidP="00D1344C">
      <w:pPr>
        <w:pStyle w:val="Heading3"/>
      </w:pPr>
      <w:r w:rsidRPr="00D1344C">
        <w:t>Hackney’s ‘public health’ approach</w:t>
      </w:r>
    </w:p>
    <w:p w:rsidR="00D1344C" w:rsidRDefault="00C35B0B" w:rsidP="00D1344C">
      <w:r>
        <w:t>Established in May 2018</w:t>
      </w:r>
      <w:r w:rsidR="00CD4599">
        <w:t xml:space="preserve"> as a direct response to the recent increase in violence</w:t>
      </w:r>
      <w:r>
        <w:t>, Hackney Council’s ‘Public Health’ appr</w:t>
      </w:r>
      <w:r w:rsidR="00CD4599">
        <w:t xml:space="preserve">oach </w:t>
      </w:r>
      <w:r>
        <w:t>includes 5 main elements:</w:t>
      </w:r>
    </w:p>
    <w:p w:rsidR="00C35B0B" w:rsidRDefault="00C35B0B" w:rsidP="00C35B0B">
      <w:pPr>
        <w:pStyle w:val="ListParagraph"/>
        <w:numPr>
          <w:ilvl w:val="0"/>
          <w:numId w:val="4"/>
        </w:numPr>
      </w:pPr>
      <w:r>
        <w:t>The Integrated Gangs Unit</w:t>
      </w:r>
    </w:p>
    <w:p w:rsidR="00C35B0B" w:rsidRDefault="00C35B0B" w:rsidP="00C35B0B">
      <w:r>
        <w:t xml:space="preserve">This unit brings together the Police, the council and other partners to divert people away from gangs. While the majority of the 150 people the unit deals with yearly are over the age of 25, it still takes a multi-agency approach that includes providing support, housing, education and mentoring, proving family support and embedding the probation service in their work. </w:t>
      </w:r>
    </w:p>
    <w:p w:rsidR="00C35B0B" w:rsidRDefault="00C35B0B" w:rsidP="00C35B0B">
      <w:pPr>
        <w:pStyle w:val="ListParagraph"/>
        <w:numPr>
          <w:ilvl w:val="0"/>
          <w:numId w:val="4"/>
        </w:numPr>
      </w:pPr>
      <w:r>
        <w:t>Early Intervention</w:t>
      </w:r>
    </w:p>
    <w:p w:rsidR="00C35B0B" w:rsidRDefault="00C35B0B" w:rsidP="00C35B0B">
      <w:r>
        <w:t>Hackney’s broad early intervention method involves a number of important local programmes. For example, the Young Black Men programme, launched by the Council in 2015, sets out to improve the health and professional outcomes, and reduce inequalities, for young black men in the area. This includes ways to improve educational attainment, ultimately leading young men away from violence.</w:t>
      </w:r>
    </w:p>
    <w:p w:rsidR="00C35B0B" w:rsidRDefault="00C35B0B" w:rsidP="00C35B0B">
      <w:r>
        <w:t xml:space="preserve">In addition, Hackney’s Children &amp; Families Service (CFS) is also developing a contextual safeguarding approach to address risk outside of the family context. This recognises the role that peer groups play </w:t>
      </w:r>
      <w:r>
        <w:lastRenderedPageBreak/>
        <w:t>in crime; young people face particular risks outside of a familial context, including peer abuse and sexual or criminal exploitation.</w:t>
      </w:r>
    </w:p>
    <w:p w:rsidR="00C35B0B" w:rsidRDefault="00C35B0B" w:rsidP="00C35B0B">
      <w:pPr>
        <w:pStyle w:val="ListParagraph"/>
        <w:numPr>
          <w:ilvl w:val="0"/>
          <w:numId w:val="4"/>
        </w:numPr>
      </w:pPr>
      <w:r>
        <w:t>Youth Justice</w:t>
      </w:r>
    </w:p>
    <w:p w:rsidR="00C35B0B" w:rsidRDefault="00B35579" w:rsidP="00C35B0B">
      <w:r>
        <w:t>Hackney seeks to incorporate the justice system in to their approach. For example, the Safer Young Hackney Board strategically coordinates the delivery of all youth crime and disorder related priorities across the borough, as well as proving oversight to the Youth Justice Partnership. By including the Board in this plan, they can ensure that youth crime priorities in the area are reflective of the ‘Public Health’ approach.</w:t>
      </w:r>
    </w:p>
    <w:p w:rsidR="00B35579" w:rsidRDefault="00B35579" w:rsidP="00B35579">
      <w:pPr>
        <w:pStyle w:val="ListParagraph"/>
        <w:numPr>
          <w:ilvl w:val="0"/>
          <w:numId w:val="4"/>
        </w:numPr>
      </w:pPr>
      <w:r>
        <w:t>The Young Hackney Service</w:t>
      </w:r>
    </w:p>
    <w:p w:rsidR="00B35579" w:rsidRDefault="00B35579" w:rsidP="00B35579">
      <w:r>
        <w:t>This service offers help and prevention services to young people aged 6-19 years. Specifically, this service is aimed at young people identified as being at risk of falling out of education and employment, as well as those who have offended or considered at risk of offending.</w:t>
      </w:r>
    </w:p>
    <w:p w:rsidR="00B35579" w:rsidRDefault="00B35579" w:rsidP="00B35579">
      <w:pPr>
        <w:pStyle w:val="ListParagraph"/>
        <w:numPr>
          <w:ilvl w:val="0"/>
          <w:numId w:val="4"/>
        </w:numPr>
      </w:pPr>
      <w:r>
        <w:t>Supporting Young People and Families</w:t>
      </w:r>
    </w:p>
    <w:p w:rsidR="00B35579" w:rsidRDefault="00B35579" w:rsidP="00B35579">
      <w:r>
        <w:t xml:space="preserve">Hackney also highlights the additional services they provide or support in the area. For example, the Fast Access and Screening Team (FAST) is a phone service for anyone concerned about the safety of a child or young person in the area; while professionals (teachers, GPs </w:t>
      </w:r>
      <w:proofErr w:type="spellStart"/>
      <w:r>
        <w:t>etc</w:t>
      </w:r>
      <w:proofErr w:type="spellEnd"/>
      <w:r>
        <w:t>) can refer young people to the Children and Young People’s Partnership Panel (CYPPP) for multiagency early help and support services.</w:t>
      </w:r>
    </w:p>
    <w:p w:rsidR="00B35579" w:rsidRDefault="00B35579" w:rsidP="00B35579">
      <w:r>
        <w:t xml:space="preserve">Notably, Hackney also highlights the work of </w:t>
      </w:r>
      <w:proofErr w:type="spellStart"/>
      <w:r>
        <w:t>Redthread</w:t>
      </w:r>
      <w:proofErr w:type="spellEnd"/>
      <w:r>
        <w:t xml:space="preserve">, who are set to start in </w:t>
      </w:r>
      <w:proofErr w:type="spellStart"/>
      <w:r>
        <w:t>Homerton</w:t>
      </w:r>
      <w:proofErr w:type="spellEnd"/>
      <w:r>
        <w:t xml:space="preserve"> Hospital in July 2018. </w:t>
      </w:r>
      <w:proofErr w:type="spellStart"/>
      <w:r>
        <w:t>Redthread</w:t>
      </w:r>
      <w:proofErr w:type="spellEnd"/>
      <w:r>
        <w:t xml:space="preserve"> support young people aged 11-25 who attend hospital as a result of serious violence, abuse or sexual assault</w:t>
      </w:r>
      <w:r w:rsidR="00896EF3">
        <w:t xml:space="preserve"> through hospital-based support workers. </w:t>
      </w:r>
      <w:proofErr w:type="spellStart"/>
      <w:r w:rsidR="00896EF3">
        <w:t>Redthread</w:t>
      </w:r>
      <w:proofErr w:type="spellEnd"/>
      <w:r w:rsidR="00896EF3">
        <w:t xml:space="preserve"> aims to help young people pursue positive change, move away from violence and better engage with their communities.</w:t>
      </w:r>
    </w:p>
    <w:p w:rsidR="0017601E" w:rsidRPr="00D1344C" w:rsidRDefault="0017601E" w:rsidP="00B35579">
      <w:r>
        <w:t xml:space="preserve">Please see: </w:t>
      </w:r>
      <w:hyperlink r:id="rId15" w:history="1">
        <w:r w:rsidRPr="00883516">
          <w:rPr>
            <w:rStyle w:val="Hyperlink"/>
          </w:rPr>
          <w:t>file://docserver/UsersFlderRedirect/JackEddy/Downloads/approach-to-violent-crime%20(1).pdf</w:t>
        </w:r>
      </w:hyperlink>
      <w:r>
        <w:t xml:space="preserve"> </w:t>
      </w:r>
    </w:p>
    <w:p w:rsidR="00D008E4" w:rsidRDefault="00D008E4" w:rsidP="00D008E4">
      <w:pPr>
        <w:pStyle w:val="Heading2"/>
      </w:pPr>
      <w:r>
        <w:t>Defining a Public Health approach to Youth Violence</w:t>
      </w:r>
    </w:p>
    <w:p w:rsidR="00D008E4" w:rsidRPr="0017763B" w:rsidRDefault="00D008E4" w:rsidP="00D008E4">
      <w:r w:rsidRPr="007A5119">
        <w:t>Tackling violence cannot be done through enforcement alone.</w:t>
      </w:r>
      <w:r>
        <w:t xml:space="preserve"> </w:t>
      </w:r>
      <w:r w:rsidRPr="00037AA6">
        <w:t xml:space="preserve">The </w:t>
      </w:r>
      <w:r>
        <w:t xml:space="preserve">inherent </w:t>
      </w:r>
      <w:r w:rsidRPr="00037AA6">
        <w:t>complexity of factors related to violence</w:t>
      </w:r>
      <w:r>
        <w:t xml:space="preserve"> therefore</w:t>
      </w:r>
      <w:r w:rsidRPr="00037AA6">
        <w:t xml:space="preserve"> </w:t>
      </w:r>
      <w:r>
        <w:t>means that any successful move towards violence reduction requires</w:t>
      </w:r>
      <w:r w:rsidRPr="00037AA6">
        <w:t xml:space="preserve"> a comprehensive </w:t>
      </w:r>
      <w:r>
        <w:t>approach, focused on early intervention and prevention, as well as multi-agency working.</w:t>
      </w:r>
    </w:p>
    <w:p w:rsidR="00D008E4" w:rsidRDefault="00D008E4" w:rsidP="00D008E4">
      <w:r>
        <w:t>The nature of the issue also means that the underlying reasons why a young person becomes involved in violence or gang related activity varies and must be taken on a case by case basis.</w:t>
      </w:r>
    </w:p>
    <w:p w:rsidR="00D008E4" w:rsidRDefault="00D008E4" w:rsidP="00B40124">
      <w:pPr>
        <w:pStyle w:val="Heading3"/>
      </w:pPr>
      <w:r>
        <w:t>Outline of a Public Health approach</w:t>
      </w:r>
    </w:p>
    <w:p w:rsidR="00D008E4" w:rsidRDefault="00D008E4" w:rsidP="00D008E4">
      <w:r>
        <w:t xml:space="preserve">From the case studies detailed above, a number of common factors become apparent. Broadly speaking, </w:t>
      </w:r>
      <w:r w:rsidR="00CD4599">
        <w:t>a successful ‘Public Health’ approach to violence</w:t>
      </w:r>
      <w:r>
        <w:t xml:space="preserve"> combines ‘zero </w:t>
      </w:r>
      <w:proofErr w:type="gramStart"/>
      <w:r>
        <w:t>tolerance’ ,</w:t>
      </w:r>
      <w:proofErr w:type="gramEnd"/>
      <w:r>
        <w:t xml:space="preserve"> with engagement and tailored support with a means to escape from the circumstances that has led to gang activity or violence . </w:t>
      </w:r>
    </w:p>
    <w:p w:rsidR="00D008E4" w:rsidRDefault="00D008E4" w:rsidP="00D008E4">
      <w:r>
        <w:lastRenderedPageBreak/>
        <w:t>This requires close cooperation and coordination between Local Authorities, Schools, the Police and emergency services, the NHS and the voluntary sector.</w:t>
      </w:r>
    </w:p>
    <w:p w:rsidR="00D008E4" w:rsidRDefault="00D008E4" w:rsidP="00B40124">
      <w:pPr>
        <w:pStyle w:val="Heading4"/>
      </w:pPr>
      <w:r>
        <w:t xml:space="preserve">Zero-Tolerance </w:t>
      </w:r>
    </w:p>
    <w:p w:rsidR="00F17DE8" w:rsidRDefault="00D008E4" w:rsidP="00F17DE8">
      <w:pPr>
        <w:rPr>
          <w:b/>
          <w:i/>
        </w:rPr>
      </w:pPr>
      <w:r w:rsidRPr="00423DB8">
        <w:rPr>
          <w:b/>
          <w:i/>
        </w:rPr>
        <w:t>Enforcement</w:t>
      </w:r>
    </w:p>
    <w:p w:rsidR="009D151C" w:rsidRDefault="009D151C" w:rsidP="009D151C">
      <w:r w:rsidRPr="00037AA6">
        <w:t>One of the first steps to preventing violence is to take knives</w:t>
      </w:r>
      <w:r>
        <w:t xml:space="preserve"> (and other stabbing weapons</w:t>
      </w:r>
      <w:r>
        <w:rPr>
          <w:rStyle w:val="FootnoteReference"/>
        </w:rPr>
        <w:footnoteReference w:id="2"/>
      </w:r>
      <w:r>
        <w:t>)</w:t>
      </w:r>
      <w:r w:rsidRPr="00037AA6">
        <w:t xml:space="preserve"> off </w:t>
      </w:r>
      <w:r>
        <w:t>the</w:t>
      </w:r>
      <w:r w:rsidRPr="00037AA6">
        <w:t xml:space="preserve"> streets and have tougher penalties to act as a deterrent. </w:t>
      </w:r>
      <w:r>
        <w:t>This can include increased sentencing for both possession and violence with a knife.</w:t>
      </w:r>
    </w:p>
    <w:p w:rsidR="00D008E4" w:rsidRPr="00F17DE8" w:rsidRDefault="00D008E4" w:rsidP="00F17DE8">
      <w:pPr>
        <w:rPr>
          <w:b/>
          <w:i/>
        </w:rPr>
      </w:pPr>
      <w:r w:rsidRPr="00F17DE8">
        <w:rPr>
          <w:b/>
          <w:i/>
        </w:rPr>
        <w:t>Limiting opportunity</w:t>
      </w:r>
    </w:p>
    <w:p w:rsidR="00D008E4" w:rsidRPr="00037AA6" w:rsidRDefault="00D008E4" w:rsidP="00D008E4">
      <w:r>
        <w:t xml:space="preserve">It is also important to </w:t>
      </w:r>
      <w:r w:rsidRPr="00037AA6">
        <w:t>limit the opportunities for violence to take place</w:t>
      </w:r>
      <w:r>
        <w:t>. This can be done by making i</w:t>
      </w:r>
      <w:r w:rsidRPr="00037AA6">
        <w:t>mprovements in street lighting, CCTV</w:t>
      </w:r>
      <w:r>
        <w:t xml:space="preserve"> coverage and police visibility.</w:t>
      </w:r>
      <w:r w:rsidR="00CD4599">
        <w:t xml:space="preserve"> Intelligence gathering and data analysis is vital in this regard.</w:t>
      </w:r>
    </w:p>
    <w:p w:rsidR="00D008E4" w:rsidRPr="00423DB8" w:rsidRDefault="00D008E4" w:rsidP="00B40124">
      <w:pPr>
        <w:pStyle w:val="Heading4"/>
      </w:pPr>
      <w:r>
        <w:t xml:space="preserve">Engagement and Support </w:t>
      </w:r>
    </w:p>
    <w:p w:rsidR="00D008E4" w:rsidRPr="00037AA6" w:rsidRDefault="00D008E4" w:rsidP="00D008E4">
      <w:pPr>
        <w:rPr>
          <w:b/>
          <w:bCs/>
          <w:i/>
          <w:iCs/>
        </w:rPr>
      </w:pPr>
      <w:r w:rsidRPr="00037AA6">
        <w:rPr>
          <w:b/>
          <w:bCs/>
          <w:i/>
          <w:iCs/>
        </w:rPr>
        <w:t>Intelligence and Community</w:t>
      </w:r>
    </w:p>
    <w:p w:rsidR="00D008E4" w:rsidRDefault="00D008E4" w:rsidP="00D008E4">
      <w:r>
        <w:t xml:space="preserve">It is </w:t>
      </w:r>
      <w:proofErr w:type="gramStart"/>
      <w:r w:rsidRPr="00037AA6">
        <w:t>key</w:t>
      </w:r>
      <w:proofErr w:type="gramEnd"/>
      <w:r w:rsidRPr="00037AA6">
        <w:t xml:space="preserve"> to incorporate local </w:t>
      </w:r>
      <w:r>
        <w:t xml:space="preserve">multi-agency </w:t>
      </w:r>
      <w:r w:rsidRPr="00037AA6">
        <w:t xml:space="preserve">intelligence on gang activity </w:t>
      </w:r>
      <w:r>
        <w:t xml:space="preserve">and </w:t>
      </w:r>
      <w:r>
        <w:rPr>
          <w:lang w:val="en-US"/>
        </w:rPr>
        <w:t>t</w:t>
      </w:r>
      <w:r w:rsidRPr="00037AA6">
        <w:rPr>
          <w:lang w:val="en-US"/>
        </w:rPr>
        <w:t xml:space="preserve">he community in the development of an effective local response to violent crime. </w:t>
      </w:r>
      <w:r w:rsidRPr="00037AA6">
        <w:t>Understanding the key issues, the extent of the problem – including where, when and how it is occurring, and by whom - and the impact on the local community is essential.</w:t>
      </w:r>
    </w:p>
    <w:p w:rsidR="00D008E4" w:rsidRPr="00037AA6" w:rsidRDefault="00D008E4" w:rsidP="00D008E4">
      <w:pPr>
        <w:rPr>
          <w:b/>
          <w:bCs/>
          <w:i/>
          <w:iCs/>
        </w:rPr>
      </w:pPr>
      <w:r w:rsidRPr="00037AA6">
        <w:rPr>
          <w:b/>
          <w:bCs/>
          <w:i/>
          <w:iCs/>
        </w:rPr>
        <w:t>Prevention and early intervention</w:t>
      </w:r>
    </w:p>
    <w:p w:rsidR="00D008E4" w:rsidRPr="00037AA6" w:rsidRDefault="00D008E4" w:rsidP="00D008E4">
      <w:r>
        <w:t>R</w:t>
      </w:r>
      <w:r w:rsidRPr="00037AA6">
        <w:t xml:space="preserve">ecognising the needs and the circumstances of particular young people that can lead to them offending requires </w:t>
      </w:r>
      <w:r>
        <w:t>work in schools to hold discussions and engage with those at risk. It is also important to engage</w:t>
      </w:r>
      <w:r w:rsidRPr="00037AA6">
        <w:t xml:space="preserve"> with employers to improve pathways into appre</w:t>
      </w:r>
      <w:r>
        <w:t>nticeships and jobs, and find</w:t>
      </w:r>
      <w:r w:rsidRPr="00037AA6">
        <w:t xml:space="preserve"> effective alternatives to custody </w:t>
      </w:r>
    </w:p>
    <w:p w:rsidR="00D008E4" w:rsidRPr="00037AA6" w:rsidRDefault="00D008E4" w:rsidP="00D008E4">
      <w:pPr>
        <w:rPr>
          <w:b/>
          <w:bCs/>
          <w:i/>
          <w:iCs/>
        </w:rPr>
      </w:pPr>
      <w:r w:rsidRPr="00037AA6">
        <w:rPr>
          <w:b/>
          <w:bCs/>
          <w:i/>
          <w:iCs/>
        </w:rPr>
        <w:t>Developing Routes Out</w:t>
      </w:r>
    </w:p>
    <w:p w:rsidR="00D008E4" w:rsidRPr="00037AA6" w:rsidRDefault="00D008E4" w:rsidP="00D008E4">
      <w:r w:rsidRPr="00037AA6">
        <w:t>It is important to recognise that sustained improvement is only brought about by lifestyle change.  A key element of an effective approach to youth violence is the development of an ‘exit pathways’ system for identified individuals.</w:t>
      </w:r>
    </w:p>
    <w:p w:rsidR="00D008E4" w:rsidRDefault="00D008E4" w:rsidP="00D008E4">
      <w:r>
        <w:t>T</w:t>
      </w:r>
      <w:r w:rsidRPr="00037AA6">
        <w:t xml:space="preserve">he </w:t>
      </w:r>
      <w:r>
        <w:t>effected young person must</w:t>
      </w:r>
      <w:r w:rsidRPr="00037AA6">
        <w:t xml:space="preserve"> understand the types of support on offer and for them to make clear, informed choices about their behavio</w:t>
      </w:r>
      <w:r>
        <w:t xml:space="preserve">ur and potential consequences. </w:t>
      </w:r>
    </w:p>
    <w:p w:rsidR="00037AA6" w:rsidRDefault="00037AA6" w:rsidP="00570DC9"/>
    <w:sectPr w:rsidR="00037A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2A" w:rsidRDefault="00CE182A" w:rsidP="00A421A6">
      <w:pPr>
        <w:spacing w:after="0" w:line="240" w:lineRule="auto"/>
      </w:pPr>
      <w:r>
        <w:separator/>
      </w:r>
    </w:p>
  </w:endnote>
  <w:endnote w:type="continuationSeparator" w:id="0">
    <w:p w:rsidR="00CE182A" w:rsidRDefault="00CE182A" w:rsidP="00A4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2A" w:rsidRDefault="00CE182A" w:rsidP="00A421A6">
      <w:pPr>
        <w:spacing w:after="0" w:line="240" w:lineRule="auto"/>
      </w:pPr>
      <w:r>
        <w:separator/>
      </w:r>
    </w:p>
  </w:footnote>
  <w:footnote w:type="continuationSeparator" w:id="0">
    <w:p w:rsidR="00CE182A" w:rsidRDefault="00CE182A" w:rsidP="00A421A6">
      <w:pPr>
        <w:spacing w:after="0" w:line="240" w:lineRule="auto"/>
      </w:pPr>
      <w:r>
        <w:continuationSeparator/>
      </w:r>
    </w:p>
  </w:footnote>
  <w:footnote w:id="1">
    <w:p w:rsidR="00CE182A" w:rsidRDefault="00CE182A">
      <w:pPr>
        <w:pStyle w:val="FootnoteText"/>
      </w:pPr>
      <w:r>
        <w:rPr>
          <w:rStyle w:val="FootnoteReference"/>
        </w:rPr>
        <w:footnoteRef/>
      </w:r>
      <w:r>
        <w:t xml:space="preserve"> </w:t>
      </w:r>
      <w:hyperlink r:id="rId1" w:history="1">
        <w:r w:rsidRPr="00883516">
          <w:rPr>
            <w:rStyle w:val="Hyperlink"/>
          </w:rPr>
          <w:t>http://www.irisdomesticviolence.org.uk</w:t>
        </w:r>
      </w:hyperlink>
      <w:r>
        <w:t xml:space="preserve"> </w:t>
      </w:r>
    </w:p>
  </w:footnote>
  <w:footnote w:id="2">
    <w:p w:rsidR="00CE182A" w:rsidRDefault="00CE182A" w:rsidP="009D151C">
      <w:pPr>
        <w:pStyle w:val="FootnoteText"/>
      </w:pPr>
      <w:r>
        <w:rPr>
          <w:rStyle w:val="FootnoteReference"/>
        </w:rPr>
        <w:footnoteRef/>
      </w:r>
      <w:r>
        <w:t xml:space="preserve"> It is important to remember that many  stabbings are not carried out with a knife - stats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246"/>
    <w:multiLevelType w:val="hybridMultilevel"/>
    <w:tmpl w:val="DF3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6A328A"/>
    <w:multiLevelType w:val="hybridMultilevel"/>
    <w:tmpl w:val="75801038"/>
    <w:lvl w:ilvl="0" w:tplc="B89EFE0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CE5E16"/>
    <w:multiLevelType w:val="hybridMultilevel"/>
    <w:tmpl w:val="A28C6B1C"/>
    <w:lvl w:ilvl="0" w:tplc="4D1469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021B8"/>
    <w:multiLevelType w:val="hybridMultilevel"/>
    <w:tmpl w:val="A52C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07126"/>
    <w:multiLevelType w:val="hybridMultilevel"/>
    <w:tmpl w:val="1B50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F26CAD"/>
    <w:multiLevelType w:val="multilevel"/>
    <w:tmpl w:val="DF9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521015"/>
    <w:multiLevelType w:val="hybridMultilevel"/>
    <w:tmpl w:val="8076A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BC544B"/>
    <w:multiLevelType w:val="hybridMultilevel"/>
    <w:tmpl w:val="D67CCB9C"/>
    <w:lvl w:ilvl="0" w:tplc="83CC9B5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E37ADD"/>
    <w:multiLevelType w:val="multilevel"/>
    <w:tmpl w:val="97E4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6"/>
  </w:num>
  <w:num w:numId="5">
    <w:abstractNumId w:val="3"/>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5E"/>
    <w:rsid w:val="00037AA6"/>
    <w:rsid w:val="000E21C9"/>
    <w:rsid w:val="000E2E08"/>
    <w:rsid w:val="000E7139"/>
    <w:rsid w:val="00132D75"/>
    <w:rsid w:val="0017601E"/>
    <w:rsid w:val="0017763B"/>
    <w:rsid w:val="001F3C38"/>
    <w:rsid w:val="001F4D5D"/>
    <w:rsid w:val="00282C5E"/>
    <w:rsid w:val="00295F69"/>
    <w:rsid w:val="0029790C"/>
    <w:rsid w:val="002F301E"/>
    <w:rsid w:val="0036077D"/>
    <w:rsid w:val="003C0924"/>
    <w:rsid w:val="003F752B"/>
    <w:rsid w:val="00423DB8"/>
    <w:rsid w:val="00484DD7"/>
    <w:rsid w:val="004A7330"/>
    <w:rsid w:val="004B77DD"/>
    <w:rsid w:val="00527798"/>
    <w:rsid w:val="00532699"/>
    <w:rsid w:val="00570DC9"/>
    <w:rsid w:val="005C28DC"/>
    <w:rsid w:val="00641430"/>
    <w:rsid w:val="0066095E"/>
    <w:rsid w:val="00764ED2"/>
    <w:rsid w:val="0079127E"/>
    <w:rsid w:val="007A5119"/>
    <w:rsid w:val="00800091"/>
    <w:rsid w:val="00896EF3"/>
    <w:rsid w:val="008A3D5B"/>
    <w:rsid w:val="008A489E"/>
    <w:rsid w:val="009D151C"/>
    <w:rsid w:val="00A10D26"/>
    <w:rsid w:val="00A279D5"/>
    <w:rsid w:val="00A421A6"/>
    <w:rsid w:val="00A857EC"/>
    <w:rsid w:val="00AD09C7"/>
    <w:rsid w:val="00B35579"/>
    <w:rsid w:val="00B40124"/>
    <w:rsid w:val="00B75E2C"/>
    <w:rsid w:val="00BF2B81"/>
    <w:rsid w:val="00C35B0B"/>
    <w:rsid w:val="00CA401B"/>
    <w:rsid w:val="00CB26B6"/>
    <w:rsid w:val="00CD4599"/>
    <w:rsid w:val="00CE182A"/>
    <w:rsid w:val="00D008E4"/>
    <w:rsid w:val="00D1344C"/>
    <w:rsid w:val="00D750C6"/>
    <w:rsid w:val="00E362C9"/>
    <w:rsid w:val="00E661B4"/>
    <w:rsid w:val="00E75FF3"/>
    <w:rsid w:val="00E90E55"/>
    <w:rsid w:val="00F17DE8"/>
    <w:rsid w:val="00F274EF"/>
    <w:rsid w:val="00F775FB"/>
    <w:rsid w:val="00FB4D1E"/>
    <w:rsid w:val="00FC67C1"/>
    <w:rsid w:val="00FE2ED9"/>
    <w:rsid w:val="00FF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4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89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3D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5E"/>
    <w:pPr>
      <w:ind w:left="720"/>
      <w:contextualSpacing/>
    </w:pPr>
  </w:style>
  <w:style w:type="character" w:styleId="Hyperlink">
    <w:name w:val="Hyperlink"/>
    <w:basedOn w:val="DefaultParagraphFont"/>
    <w:uiPriority w:val="99"/>
    <w:unhideWhenUsed/>
    <w:rsid w:val="00570DC9"/>
    <w:rPr>
      <w:color w:val="0000FF" w:themeColor="hyperlink"/>
      <w:u w:val="single"/>
    </w:rPr>
  </w:style>
  <w:style w:type="character" w:customStyle="1" w:styleId="Heading2Char">
    <w:name w:val="Heading 2 Char"/>
    <w:basedOn w:val="DefaultParagraphFont"/>
    <w:link w:val="Heading2"/>
    <w:uiPriority w:val="9"/>
    <w:rsid w:val="008A4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4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48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3DB8"/>
    <w:rPr>
      <w:rFonts w:asciiTheme="majorHAnsi" w:eastAsiaTheme="majorEastAsia" w:hAnsiTheme="majorHAnsi" w:cstheme="majorBidi"/>
      <w:color w:val="243F60" w:themeColor="accent1" w:themeShade="7F"/>
    </w:rPr>
  </w:style>
  <w:style w:type="paragraph" w:styleId="NoSpacing">
    <w:name w:val="No Spacing"/>
    <w:uiPriority w:val="1"/>
    <w:qFormat/>
    <w:rsid w:val="00423DB8"/>
    <w:pPr>
      <w:spacing w:after="0" w:line="240" w:lineRule="auto"/>
    </w:pPr>
  </w:style>
  <w:style w:type="paragraph" w:styleId="FootnoteText">
    <w:name w:val="footnote text"/>
    <w:basedOn w:val="Normal"/>
    <w:link w:val="FootnoteTextChar"/>
    <w:uiPriority w:val="99"/>
    <w:semiHidden/>
    <w:unhideWhenUsed/>
    <w:rsid w:val="00A42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1A6"/>
    <w:rPr>
      <w:sz w:val="20"/>
      <w:szCs w:val="20"/>
    </w:rPr>
  </w:style>
  <w:style w:type="character" w:styleId="FootnoteReference">
    <w:name w:val="footnote reference"/>
    <w:basedOn w:val="DefaultParagraphFont"/>
    <w:uiPriority w:val="99"/>
    <w:semiHidden/>
    <w:unhideWhenUsed/>
    <w:rsid w:val="00A421A6"/>
    <w:rPr>
      <w:vertAlign w:val="superscript"/>
    </w:rPr>
  </w:style>
  <w:style w:type="paragraph" w:styleId="BalloonText">
    <w:name w:val="Balloon Text"/>
    <w:basedOn w:val="Normal"/>
    <w:link w:val="BalloonTextChar"/>
    <w:uiPriority w:val="99"/>
    <w:semiHidden/>
    <w:unhideWhenUsed/>
    <w:rsid w:val="0089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4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89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3D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5E"/>
    <w:pPr>
      <w:ind w:left="720"/>
      <w:contextualSpacing/>
    </w:pPr>
  </w:style>
  <w:style w:type="character" w:styleId="Hyperlink">
    <w:name w:val="Hyperlink"/>
    <w:basedOn w:val="DefaultParagraphFont"/>
    <w:uiPriority w:val="99"/>
    <w:unhideWhenUsed/>
    <w:rsid w:val="00570DC9"/>
    <w:rPr>
      <w:color w:val="0000FF" w:themeColor="hyperlink"/>
      <w:u w:val="single"/>
    </w:rPr>
  </w:style>
  <w:style w:type="character" w:customStyle="1" w:styleId="Heading2Char">
    <w:name w:val="Heading 2 Char"/>
    <w:basedOn w:val="DefaultParagraphFont"/>
    <w:link w:val="Heading2"/>
    <w:uiPriority w:val="9"/>
    <w:rsid w:val="008A4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4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48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3DB8"/>
    <w:rPr>
      <w:rFonts w:asciiTheme="majorHAnsi" w:eastAsiaTheme="majorEastAsia" w:hAnsiTheme="majorHAnsi" w:cstheme="majorBidi"/>
      <w:color w:val="243F60" w:themeColor="accent1" w:themeShade="7F"/>
    </w:rPr>
  </w:style>
  <w:style w:type="paragraph" w:styleId="NoSpacing">
    <w:name w:val="No Spacing"/>
    <w:uiPriority w:val="1"/>
    <w:qFormat/>
    <w:rsid w:val="00423DB8"/>
    <w:pPr>
      <w:spacing w:after="0" w:line="240" w:lineRule="auto"/>
    </w:pPr>
  </w:style>
  <w:style w:type="paragraph" w:styleId="FootnoteText">
    <w:name w:val="footnote text"/>
    <w:basedOn w:val="Normal"/>
    <w:link w:val="FootnoteTextChar"/>
    <w:uiPriority w:val="99"/>
    <w:semiHidden/>
    <w:unhideWhenUsed/>
    <w:rsid w:val="00A42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1A6"/>
    <w:rPr>
      <w:sz w:val="20"/>
      <w:szCs w:val="20"/>
    </w:rPr>
  </w:style>
  <w:style w:type="character" w:styleId="FootnoteReference">
    <w:name w:val="footnote reference"/>
    <w:basedOn w:val="DefaultParagraphFont"/>
    <w:uiPriority w:val="99"/>
    <w:semiHidden/>
    <w:unhideWhenUsed/>
    <w:rsid w:val="00A421A6"/>
    <w:rPr>
      <w:vertAlign w:val="superscript"/>
    </w:rPr>
  </w:style>
  <w:style w:type="paragraph" w:styleId="BalloonText">
    <w:name w:val="Balloon Text"/>
    <w:basedOn w:val="Normal"/>
    <w:link w:val="BalloonTextChar"/>
    <w:uiPriority w:val="99"/>
    <w:semiHidden/>
    <w:unhideWhenUsed/>
    <w:rsid w:val="0089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96184">
      <w:bodyDiv w:val="1"/>
      <w:marLeft w:val="0"/>
      <w:marRight w:val="0"/>
      <w:marTop w:val="0"/>
      <w:marBottom w:val="0"/>
      <w:divBdr>
        <w:top w:val="none" w:sz="0" w:space="0" w:color="auto"/>
        <w:left w:val="none" w:sz="0" w:space="0" w:color="auto"/>
        <w:bottom w:val="none" w:sz="0" w:space="0" w:color="auto"/>
        <w:right w:val="none" w:sz="0" w:space="0" w:color="auto"/>
      </w:divBdr>
    </w:div>
    <w:div w:id="16363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olencepreventionalliance.org/wp-content/uploads/2015/03/Protecting-people-and-promoting-healthy-lives-in-the-West-Midlands_WMVPA-June-201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tiononviolence.org.uk/sites/default/files/CIRV_2nd_year_repor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ocial_work" TargetMode="External"/><Relationship Id="rId5" Type="http://schemas.openxmlformats.org/officeDocument/2006/relationships/settings" Target="settings.xml"/><Relationship Id="rId15" Type="http://schemas.openxmlformats.org/officeDocument/2006/relationships/hyperlink" Target="file://docserver/UsersFlderRedirect/JackEddy/Downloads/approach-to-violent-crime%20(1).pdf" TargetMode="External"/><Relationship Id="rId10" Type="http://schemas.openxmlformats.org/officeDocument/2006/relationships/hyperlink" Target="https://en.wikipedia.org/wiki/Public_healt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violencepreventionalliance.org/abou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risdomesticviole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B3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F851-0E18-48D8-98A9-5839D524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8BA533FA</Template>
  <TotalTime>0</TotalTime>
  <Pages>7</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Eddy</dc:creator>
  <cp:lastModifiedBy>Rangan Momen</cp:lastModifiedBy>
  <cp:revision>2</cp:revision>
  <cp:lastPrinted>2018-06-08T07:51:00Z</cp:lastPrinted>
  <dcterms:created xsi:type="dcterms:W3CDTF">2018-07-05T12:51:00Z</dcterms:created>
  <dcterms:modified xsi:type="dcterms:W3CDTF">2018-07-05T12:51:00Z</dcterms:modified>
</cp:coreProperties>
</file>