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254BDA78" w14:textId="77777777" w:rsidTr="00AC4090">
        <w:trPr>
          <w:cantSplit/>
          <w:trHeight w:val="624"/>
        </w:trPr>
        <w:sdt>
          <w:sdtPr>
            <w:id w:val="-360744209"/>
            <w:placeholder>
              <w:docPart w:val="D725DE22322A48E9A3D1AECE9FA4BEA3"/>
            </w:placeholder>
            <w:date w:fullDate="2017-02-27T00:00:00Z">
              <w:dateFormat w:val="dddd dd MMMM yyyy"/>
              <w:lid w:val="en-GB"/>
              <w:storeMappedDataAs w:val="dateTime"/>
              <w:calendar w:val="gregorian"/>
            </w:date>
          </w:sdtPr>
          <w:sdtEndPr/>
          <w:sdtContent>
            <w:tc>
              <w:tcPr>
                <w:tcW w:w="10148" w:type="dxa"/>
                <w:shd w:val="clear" w:color="auto" w:fill="522380" w:themeFill="accent1"/>
                <w:vAlign w:val="bottom"/>
              </w:tcPr>
              <w:p w14:paraId="3E462D7D" w14:textId="107D207A" w:rsidR="00AC4090" w:rsidRPr="00514B1B" w:rsidRDefault="003B6A31" w:rsidP="00805495">
                <w:pPr>
                  <w:pStyle w:val="DocDate"/>
                  <w:spacing w:line="300" w:lineRule="auto"/>
                  <w:jc w:val="both"/>
                </w:pPr>
                <w:r>
                  <w:t>Monday 27 February 2017</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14:paraId="5AD82D52" w14:textId="77777777" w:rsidTr="00DA7526">
        <w:trPr>
          <w:cantSplit/>
          <w:trHeight w:hRule="exact" w:val="856"/>
        </w:trPr>
        <w:tc>
          <w:tcPr>
            <w:tcW w:w="397" w:type="dxa"/>
            <w:tcBorders>
              <w:bottom w:val="single" w:sz="48" w:space="0" w:color="522380" w:themeColor="accent1"/>
            </w:tcBorders>
            <w:tcMar>
              <w:bottom w:w="425" w:type="dxa"/>
            </w:tcMar>
          </w:tcPr>
          <w:p w14:paraId="6A090110" w14:textId="77777777" w:rsidR="00EB21F3" w:rsidRPr="00F114E9" w:rsidRDefault="00FD093E" w:rsidP="00805495">
            <w:pPr>
              <w:pStyle w:val="Draft"/>
              <w:spacing w:line="300" w:lineRule="auto"/>
              <w:jc w:val="both"/>
            </w:pPr>
            <w:r>
              <w:rPr>
                <w:noProof/>
                <w:lang w:eastAsia="en-GB"/>
              </w:rPr>
              <mc:AlternateContent>
                <mc:Choice Requires="wps">
                  <w:drawing>
                    <wp:inline distT="0" distB="0" distL="0" distR="0" wp14:anchorId="0C1B6CF8" wp14:editId="13302B1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54D0C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14:paraId="767AA9FC" w14:textId="4DCCC534" w:rsidR="00EB21F3" w:rsidRPr="00F114E9" w:rsidRDefault="001D5F5A" w:rsidP="00805495">
            <w:pPr>
              <w:pStyle w:val="DocType"/>
              <w:framePr w:hSpace="0" w:wrap="auto" w:vAnchor="margin" w:yAlign="inline"/>
              <w:spacing w:line="300" w:lineRule="auto"/>
              <w:suppressOverlap w:val="0"/>
              <w:jc w:val="both"/>
            </w:pPr>
            <w:r>
              <w:rPr>
                <w:rFonts w:ascii="Arial" w:eastAsia="Times New Roman" w:hAnsi="Arial"/>
                <w:b w:val="0"/>
                <w:bCs/>
                <w:lang w:eastAsia="en-GB"/>
              </w:rPr>
              <w:t xml:space="preserve">Institute for </w:t>
            </w:r>
            <w:r w:rsidR="00A25E5E">
              <w:rPr>
                <w:rFonts w:ascii="Arial" w:eastAsia="Times New Roman" w:hAnsi="Arial"/>
                <w:b w:val="0"/>
                <w:bCs/>
                <w:lang w:eastAsia="en-GB"/>
              </w:rPr>
              <w:t>Apprenticeships</w:t>
            </w:r>
          </w:p>
        </w:tc>
      </w:tr>
      <w:tr w:rsidR="00EB21F3" w14:paraId="5BAB23B8" w14:textId="77777777" w:rsidTr="00DA7526">
        <w:trPr>
          <w:cantSplit/>
          <w:trHeight w:val="456"/>
        </w:trPr>
        <w:tc>
          <w:tcPr>
            <w:tcW w:w="397" w:type="dxa"/>
            <w:tcBorders>
              <w:top w:val="single" w:sz="48" w:space="0" w:color="522380" w:themeColor="accent1"/>
              <w:bottom w:val="single" w:sz="48" w:space="0" w:color="522380" w:themeColor="accent1"/>
            </w:tcBorders>
            <w:tcMar>
              <w:top w:w="539" w:type="dxa"/>
              <w:bottom w:w="482" w:type="dxa"/>
            </w:tcMar>
          </w:tcPr>
          <w:p w14:paraId="324F7789" w14:textId="77777777" w:rsidR="00EB21F3" w:rsidRPr="00EB21F3" w:rsidRDefault="00B84B8B" w:rsidP="00805495">
            <w:pPr>
              <w:pStyle w:val="GraphicLeft"/>
              <w:spacing w:line="300" w:lineRule="auto"/>
              <w:jc w:val="both"/>
            </w:pPr>
            <w:r>
              <w:rPr>
                <w:noProof/>
                <w:lang w:eastAsia="en-GB"/>
              </w:rPr>
              <mc:AlternateContent>
                <mc:Choice Requires="wps">
                  <w:drawing>
                    <wp:inline distT="0" distB="0" distL="0" distR="0" wp14:anchorId="39F26973" wp14:editId="23C434ED">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24177C"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2DA986F5" w14:textId="77777777" w:rsidR="00514B1B" w:rsidRPr="00EB21F3" w:rsidRDefault="009663E5" w:rsidP="00805495">
            <w:pPr>
              <w:pStyle w:val="DocTitle"/>
              <w:spacing w:line="300" w:lineRule="auto"/>
              <w:jc w:val="both"/>
            </w:pPr>
            <w:r w:rsidRPr="003D4916">
              <w:rPr>
                <w:rFonts w:cstheme="minorHAnsi"/>
              </w:rPr>
              <w:t>A response from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04FAF978" w14:textId="77777777" w:rsidTr="00EC4C97">
        <w:trPr>
          <w:trHeight w:hRule="exact" w:val="113"/>
        </w:trPr>
        <w:tc>
          <w:tcPr>
            <w:tcW w:w="397" w:type="dxa"/>
          </w:tcPr>
          <w:p w14:paraId="4F8624F5" w14:textId="77777777" w:rsidR="00B34F65" w:rsidRPr="00EA414C" w:rsidRDefault="00B34F65" w:rsidP="00805495">
            <w:pPr>
              <w:pStyle w:val="Spacer"/>
              <w:spacing w:line="300" w:lineRule="auto"/>
              <w:jc w:val="both"/>
            </w:pPr>
          </w:p>
        </w:tc>
        <w:tc>
          <w:tcPr>
            <w:tcW w:w="9384" w:type="dxa"/>
          </w:tcPr>
          <w:p w14:paraId="6844A00C" w14:textId="77777777" w:rsidR="00B34F65" w:rsidRPr="00EA414C" w:rsidRDefault="00B34F65" w:rsidP="00805495">
            <w:pPr>
              <w:pStyle w:val="Spacer"/>
              <w:spacing w:line="300" w:lineRule="auto"/>
              <w:jc w:val="both"/>
            </w:pPr>
          </w:p>
        </w:tc>
        <w:tc>
          <w:tcPr>
            <w:tcW w:w="396" w:type="dxa"/>
          </w:tcPr>
          <w:p w14:paraId="2BBCCC6B" w14:textId="77777777" w:rsidR="00B34F65" w:rsidRPr="00EA414C" w:rsidRDefault="00B34F65" w:rsidP="00805495">
            <w:pPr>
              <w:pStyle w:val="Spacer"/>
              <w:spacing w:line="300" w:lineRule="auto"/>
              <w:jc w:val="both"/>
            </w:pPr>
          </w:p>
        </w:tc>
      </w:tr>
      <w:tr w:rsidR="00B34F65" w:rsidRPr="00EA414C" w14:paraId="1F7E979B" w14:textId="77777777" w:rsidTr="00B34F65">
        <w:trPr>
          <w:trHeight w:val="283"/>
        </w:trPr>
        <w:tc>
          <w:tcPr>
            <w:tcW w:w="397" w:type="dxa"/>
          </w:tcPr>
          <w:p w14:paraId="2B4126D8" w14:textId="77777777" w:rsidR="00B34F65" w:rsidRPr="00EA414C" w:rsidRDefault="00B34F65" w:rsidP="00805495">
            <w:pPr>
              <w:pStyle w:val="TableTextLeft"/>
              <w:spacing w:line="300" w:lineRule="auto"/>
              <w:jc w:val="both"/>
            </w:pPr>
          </w:p>
        </w:tc>
        <w:tc>
          <w:tcPr>
            <w:tcW w:w="9384" w:type="dxa"/>
          </w:tcPr>
          <w:p w14:paraId="7D7BF36C" w14:textId="4DF3D341" w:rsidR="00EC4C97" w:rsidRPr="00E30DCF" w:rsidRDefault="009663E5" w:rsidP="004666DD">
            <w:pPr>
              <w:pStyle w:val="HighlightText"/>
              <w:spacing w:line="300" w:lineRule="auto"/>
              <w:jc w:val="both"/>
            </w:pPr>
            <w:r w:rsidRPr="00E30DCF">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and businesses.</w:t>
            </w:r>
            <w:r w:rsidR="001D0657" w:rsidRPr="00E30DCF">
              <w:rPr>
                <w:rFonts w:cstheme="minorHAnsi"/>
              </w:rPr>
              <w:t xml:space="preserve"> </w:t>
            </w:r>
            <w:r w:rsidR="00E30DCF" w:rsidRPr="00E30DCF">
              <w:rPr>
                <w:rFonts w:cstheme="minorHAnsi"/>
              </w:rPr>
              <w:t xml:space="preserve">London Councils welcomes the opportunity to comment on the </w:t>
            </w:r>
            <w:r w:rsidR="001D5F5A">
              <w:rPr>
                <w:rFonts w:cstheme="minorHAnsi"/>
              </w:rPr>
              <w:t>Government’s</w:t>
            </w:r>
            <w:r w:rsidR="005F0C68">
              <w:rPr>
                <w:rFonts w:cstheme="minorHAnsi"/>
              </w:rPr>
              <w:t xml:space="preserve"> </w:t>
            </w:r>
            <w:r w:rsidR="004666DD">
              <w:rPr>
                <w:rFonts w:cstheme="minorHAnsi"/>
              </w:rPr>
              <w:t xml:space="preserve">draft operational plan </w:t>
            </w:r>
            <w:r w:rsidR="001D5F5A">
              <w:rPr>
                <w:rFonts w:cstheme="minorHAnsi"/>
              </w:rPr>
              <w:t>for the Institute for Apprenticeships</w:t>
            </w:r>
            <w:r w:rsidR="00E30DCF" w:rsidRPr="00E30DCF">
              <w:rPr>
                <w:rFonts w:cstheme="minorHAnsi"/>
              </w:rPr>
              <w:t>.</w:t>
            </w:r>
            <w:r w:rsidR="005F0C68">
              <w:rPr>
                <w:rFonts w:cstheme="minorHAnsi"/>
              </w:rPr>
              <w:t xml:space="preserve"> </w:t>
            </w:r>
          </w:p>
        </w:tc>
        <w:tc>
          <w:tcPr>
            <w:tcW w:w="396" w:type="dxa"/>
          </w:tcPr>
          <w:p w14:paraId="173676F7" w14:textId="77777777" w:rsidR="00B34F65" w:rsidRPr="00EA414C" w:rsidRDefault="00B34F65" w:rsidP="00805495">
            <w:pPr>
              <w:pStyle w:val="TableTextLeft"/>
              <w:spacing w:line="300" w:lineRule="auto"/>
              <w:jc w:val="both"/>
            </w:pPr>
          </w:p>
        </w:tc>
      </w:tr>
      <w:tr w:rsidR="00B34F65" w:rsidRPr="00EA414C" w14:paraId="51EF5DC6" w14:textId="77777777" w:rsidTr="00BA013B">
        <w:trPr>
          <w:trHeight w:hRule="exact" w:val="108"/>
        </w:trPr>
        <w:tc>
          <w:tcPr>
            <w:tcW w:w="397" w:type="dxa"/>
          </w:tcPr>
          <w:p w14:paraId="568ADFC9" w14:textId="77777777" w:rsidR="00B34F65" w:rsidRPr="00EA414C" w:rsidRDefault="00B34F65" w:rsidP="00805495">
            <w:pPr>
              <w:pStyle w:val="Spacer"/>
              <w:spacing w:line="300" w:lineRule="auto"/>
              <w:jc w:val="both"/>
            </w:pPr>
          </w:p>
        </w:tc>
        <w:tc>
          <w:tcPr>
            <w:tcW w:w="9384" w:type="dxa"/>
          </w:tcPr>
          <w:p w14:paraId="28B810FD" w14:textId="77777777" w:rsidR="00B34F65" w:rsidRPr="00EA414C" w:rsidRDefault="00B34F65" w:rsidP="00805495">
            <w:pPr>
              <w:pStyle w:val="Spacer"/>
              <w:spacing w:line="300" w:lineRule="auto"/>
              <w:jc w:val="both"/>
            </w:pPr>
          </w:p>
        </w:tc>
        <w:tc>
          <w:tcPr>
            <w:tcW w:w="396" w:type="dxa"/>
          </w:tcPr>
          <w:p w14:paraId="38709420" w14:textId="77777777" w:rsidR="00B34F65" w:rsidRPr="00EA414C" w:rsidRDefault="00B34F65" w:rsidP="00805495">
            <w:pPr>
              <w:pStyle w:val="Spacer"/>
              <w:spacing w:line="300" w:lineRule="auto"/>
              <w:jc w:val="both"/>
            </w:pPr>
          </w:p>
        </w:tc>
      </w:tr>
    </w:tbl>
    <w:p w14:paraId="66ED6013" w14:textId="3F5E99B8" w:rsidR="00D71B39" w:rsidRDefault="00D71B39" w:rsidP="001D11E1">
      <w:pPr>
        <w:pStyle w:val="Heading1"/>
        <w:spacing w:before="200" w:after="200"/>
        <w:jc w:val="both"/>
      </w:pPr>
      <w:r>
        <w:t xml:space="preserve">1. </w:t>
      </w:r>
      <w:r w:rsidR="00E8079B">
        <w:t>Introduction</w:t>
      </w:r>
    </w:p>
    <w:p w14:paraId="596FB832" w14:textId="7BB16D71" w:rsidR="004666DD" w:rsidRDefault="004666DD" w:rsidP="00DA7526">
      <w:pPr>
        <w:spacing w:after="120" w:line="276" w:lineRule="auto"/>
        <w:rPr>
          <w:color w:val="auto"/>
          <w:sz w:val="22"/>
          <w:szCs w:val="22"/>
        </w:rPr>
      </w:pPr>
      <w:r>
        <w:rPr>
          <w:color w:val="auto"/>
          <w:sz w:val="22"/>
          <w:szCs w:val="22"/>
        </w:rPr>
        <w:t>London Councils welcomes the introduction of the Institute of Apprenticeships and the decision to ex</w:t>
      </w:r>
      <w:r w:rsidR="008D1A0E">
        <w:rPr>
          <w:color w:val="auto"/>
          <w:sz w:val="22"/>
          <w:szCs w:val="22"/>
        </w:rPr>
        <w:t>tend</w:t>
      </w:r>
      <w:r>
        <w:rPr>
          <w:color w:val="auto"/>
          <w:sz w:val="22"/>
          <w:szCs w:val="22"/>
        </w:rPr>
        <w:t xml:space="preserve"> its remit to cover technical education from 2018. The Sainsbury Review highlighted a number of key problems with the current approach to technical education, including that standards and qualifications were not always set by employers, often overlapped and were part of a complex system that young people and adults found difficult to navigate.</w:t>
      </w:r>
    </w:p>
    <w:p w14:paraId="3EB0DA04" w14:textId="21A8B361" w:rsidR="0080511E" w:rsidRDefault="0080511E" w:rsidP="00DA7526">
      <w:pPr>
        <w:spacing w:after="120" w:line="276" w:lineRule="auto"/>
        <w:rPr>
          <w:color w:val="auto"/>
          <w:sz w:val="22"/>
          <w:szCs w:val="22"/>
        </w:rPr>
      </w:pPr>
      <w:r>
        <w:rPr>
          <w:color w:val="auto"/>
          <w:sz w:val="22"/>
          <w:szCs w:val="22"/>
        </w:rPr>
        <w:t>The decision to develop a new system underpinned by greater employer engagement, the development of a fulfilling and attractive technical education offer, boosting achievement and closer integration between college-based and employment-based technical education is welcome.</w:t>
      </w:r>
    </w:p>
    <w:p w14:paraId="58CA8010" w14:textId="71557F67" w:rsidR="004666DD" w:rsidRDefault="004666DD" w:rsidP="001D11E1">
      <w:pPr>
        <w:pStyle w:val="Heading1"/>
        <w:spacing w:before="200" w:after="200"/>
      </w:pPr>
      <w:r>
        <w:t>2. Reforms to improve the quality of apprenticeships</w:t>
      </w:r>
    </w:p>
    <w:p w14:paraId="68E8A147" w14:textId="79C910AD" w:rsidR="006F6479" w:rsidRDefault="006F6479" w:rsidP="00DA7526">
      <w:pPr>
        <w:spacing w:after="120" w:line="276" w:lineRule="auto"/>
        <w:rPr>
          <w:color w:val="auto"/>
          <w:sz w:val="22"/>
          <w:szCs w:val="22"/>
        </w:rPr>
      </w:pPr>
      <w:r>
        <w:rPr>
          <w:color w:val="auto"/>
          <w:sz w:val="22"/>
          <w:szCs w:val="22"/>
        </w:rPr>
        <w:t>The draft operational plan is right to highlight the emerging challenges that the Institute will face</w:t>
      </w:r>
      <w:r w:rsidR="0080511E">
        <w:rPr>
          <w:color w:val="auto"/>
          <w:sz w:val="22"/>
          <w:szCs w:val="22"/>
        </w:rPr>
        <w:t xml:space="preserve"> in improving the quality of apprenticeships</w:t>
      </w:r>
      <w:r>
        <w:rPr>
          <w:color w:val="auto"/>
          <w:sz w:val="22"/>
          <w:szCs w:val="22"/>
        </w:rPr>
        <w:t xml:space="preserve">, one of the most significant of which is the transition from frameworks to standards and the gaps in </w:t>
      </w:r>
      <w:r w:rsidR="0080511E">
        <w:rPr>
          <w:color w:val="auto"/>
          <w:sz w:val="22"/>
          <w:szCs w:val="22"/>
        </w:rPr>
        <w:t xml:space="preserve">qualifications </w:t>
      </w:r>
      <w:r>
        <w:rPr>
          <w:color w:val="auto"/>
          <w:sz w:val="22"/>
          <w:szCs w:val="22"/>
        </w:rPr>
        <w:t xml:space="preserve">that result. London Councils recently surveyed </w:t>
      </w:r>
      <w:r w:rsidR="00D23254">
        <w:rPr>
          <w:color w:val="auto"/>
          <w:sz w:val="22"/>
          <w:szCs w:val="22"/>
        </w:rPr>
        <w:t>London</w:t>
      </w:r>
      <w:r>
        <w:rPr>
          <w:color w:val="auto"/>
          <w:sz w:val="22"/>
          <w:szCs w:val="22"/>
        </w:rPr>
        <w:t xml:space="preserve"> boroughs</w:t>
      </w:r>
      <w:r w:rsidR="00D23254">
        <w:rPr>
          <w:rStyle w:val="FootnoteReference"/>
          <w:sz w:val="22"/>
          <w:szCs w:val="22"/>
        </w:rPr>
        <w:footnoteReference w:id="2"/>
      </w:r>
      <w:r>
        <w:rPr>
          <w:color w:val="auto"/>
          <w:sz w:val="22"/>
          <w:szCs w:val="22"/>
        </w:rPr>
        <w:t xml:space="preserve"> on their preparations for the Apprenticeship Levy and 75% </w:t>
      </w:r>
      <w:r w:rsidR="00D23254">
        <w:rPr>
          <w:color w:val="auto"/>
          <w:sz w:val="22"/>
          <w:szCs w:val="22"/>
        </w:rPr>
        <w:t>identified</w:t>
      </w:r>
      <w:r>
        <w:rPr>
          <w:color w:val="auto"/>
          <w:sz w:val="22"/>
          <w:szCs w:val="22"/>
        </w:rPr>
        <w:t xml:space="preserve"> gaps in current standards that prevented them from hiring apprentices in key areas. Some of the areas highlighted included planning, social work, environmental health, oc</w:t>
      </w:r>
      <w:r w:rsidR="008B29BA">
        <w:rPr>
          <w:color w:val="auto"/>
          <w:sz w:val="22"/>
          <w:szCs w:val="22"/>
        </w:rPr>
        <w:t xml:space="preserve">cupational therapy, engineering, </w:t>
      </w:r>
      <w:r>
        <w:rPr>
          <w:color w:val="auto"/>
          <w:sz w:val="22"/>
          <w:szCs w:val="22"/>
        </w:rPr>
        <w:t>social care</w:t>
      </w:r>
      <w:r w:rsidR="008B29BA">
        <w:rPr>
          <w:color w:val="auto"/>
          <w:sz w:val="22"/>
          <w:szCs w:val="22"/>
        </w:rPr>
        <w:t xml:space="preserve"> and</w:t>
      </w:r>
      <w:r>
        <w:rPr>
          <w:color w:val="auto"/>
          <w:sz w:val="22"/>
          <w:szCs w:val="22"/>
        </w:rPr>
        <w:t xml:space="preserve"> a lack of degree-level apprenticeships</w:t>
      </w:r>
      <w:r w:rsidR="0032114A">
        <w:rPr>
          <w:color w:val="auto"/>
          <w:sz w:val="22"/>
          <w:szCs w:val="22"/>
        </w:rPr>
        <w:t>.</w:t>
      </w:r>
    </w:p>
    <w:p w14:paraId="6FFA50E0" w14:textId="6D8F3116" w:rsidR="0032114A" w:rsidRDefault="008B29BA" w:rsidP="00DA7526">
      <w:pPr>
        <w:spacing w:after="120" w:line="276" w:lineRule="auto"/>
        <w:rPr>
          <w:color w:val="auto"/>
          <w:sz w:val="22"/>
          <w:szCs w:val="22"/>
        </w:rPr>
      </w:pPr>
      <w:r>
        <w:rPr>
          <w:color w:val="auto"/>
          <w:sz w:val="22"/>
          <w:szCs w:val="22"/>
        </w:rPr>
        <w:t>T</w:t>
      </w:r>
      <w:r w:rsidR="0032114A">
        <w:rPr>
          <w:color w:val="auto"/>
          <w:sz w:val="22"/>
          <w:szCs w:val="22"/>
        </w:rPr>
        <w:t>railblazers have not always developed standards quickly enough to keep up with the transition. London Councils has previously called for government to look at ways of speeding up the trailblazer process, and we welcome the steps outlined in the operational plan. The proposals to allow trailblazers to submit their assessment plans al</w:t>
      </w:r>
      <w:r w:rsidR="00432661">
        <w:rPr>
          <w:color w:val="auto"/>
          <w:sz w:val="22"/>
          <w:szCs w:val="22"/>
        </w:rPr>
        <w:t>ongside the standard and to allow</w:t>
      </w:r>
      <w:r w:rsidR="0032114A">
        <w:rPr>
          <w:color w:val="auto"/>
          <w:sz w:val="22"/>
          <w:szCs w:val="22"/>
        </w:rPr>
        <w:t xml:space="preserve"> the trailblazer chair to participate in the approvals meeting should help to speed up the process.</w:t>
      </w:r>
    </w:p>
    <w:p w14:paraId="4947A95D" w14:textId="5DAD599F" w:rsidR="0071207C" w:rsidRDefault="0071207C" w:rsidP="00DA7526">
      <w:pPr>
        <w:spacing w:after="120" w:line="276" w:lineRule="auto"/>
        <w:rPr>
          <w:color w:val="auto"/>
          <w:sz w:val="22"/>
          <w:szCs w:val="22"/>
        </w:rPr>
      </w:pPr>
      <w:r>
        <w:rPr>
          <w:color w:val="auto"/>
          <w:sz w:val="22"/>
          <w:szCs w:val="22"/>
        </w:rPr>
        <w:lastRenderedPageBreak/>
        <w:t>Given that there are and will continue to be gaps in standards for the foreseeable</w:t>
      </w:r>
      <w:r w:rsidR="00FC5071">
        <w:rPr>
          <w:color w:val="auto"/>
          <w:sz w:val="22"/>
          <w:szCs w:val="22"/>
        </w:rPr>
        <w:t xml:space="preserve"> future, there is a case for extending the amount of time that employers have to spend</w:t>
      </w:r>
      <w:r w:rsidR="00432661">
        <w:rPr>
          <w:color w:val="auto"/>
          <w:sz w:val="22"/>
          <w:szCs w:val="22"/>
        </w:rPr>
        <w:t xml:space="preserve"> their Levy funds where gaps </w:t>
      </w:r>
      <w:r w:rsidR="00FC5071">
        <w:rPr>
          <w:color w:val="auto"/>
          <w:sz w:val="22"/>
          <w:szCs w:val="22"/>
        </w:rPr>
        <w:t>exist and new standards will not be approved before those funds will expire. While the 24 month period is sensible to encourage employers to spend their levy funds, it is important that employers don’t lose out through no fault of their own. It would be helpful for the Institute to monitor this issue as it develops its funding advice to government.</w:t>
      </w:r>
    </w:p>
    <w:p w14:paraId="7C2957B9" w14:textId="755A0D67" w:rsidR="0071207C" w:rsidRDefault="0032114A" w:rsidP="00DA7526">
      <w:pPr>
        <w:spacing w:after="120" w:line="276" w:lineRule="auto"/>
        <w:rPr>
          <w:color w:val="auto"/>
          <w:sz w:val="22"/>
          <w:szCs w:val="22"/>
        </w:rPr>
      </w:pPr>
      <w:r>
        <w:rPr>
          <w:color w:val="auto"/>
          <w:sz w:val="22"/>
          <w:szCs w:val="22"/>
        </w:rPr>
        <w:t xml:space="preserve">Industry-led Route Panels </w:t>
      </w:r>
      <w:r w:rsidR="00FC5071">
        <w:rPr>
          <w:color w:val="auto"/>
          <w:sz w:val="22"/>
          <w:szCs w:val="22"/>
        </w:rPr>
        <w:t>should be</w:t>
      </w:r>
      <w:r>
        <w:rPr>
          <w:color w:val="auto"/>
          <w:sz w:val="22"/>
          <w:szCs w:val="22"/>
        </w:rPr>
        <w:t xml:space="preserve"> developed in a collaborative way that ensures they do not become silos. </w:t>
      </w:r>
      <w:r w:rsidR="0071207C">
        <w:rPr>
          <w:rFonts w:ascii="Arial" w:hAnsi="Arial"/>
          <w:color w:val="auto"/>
          <w:sz w:val="22"/>
          <w:szCs w:val="22"/>
        </w:rPr>
        <w:t xml:space="preserve">As many of the technical routes have direct relevance to </w:t>
      </w:r>
      <w:r w:rsidR="0071207C" w:rsidRPr="00234FDD">
        <w:rPr>
          <w:rFonts w:ascii="Arial" w:hAnsi="Arial"/>
          <w:color w:val="auto"/>
          <w:sz w:val="22"/>
          <w:szCs w:val="22"/>
        </w:rPr>
        <w:t xml:space="preserve">local government </w:t>
      </w:r>
      <w:r w:rsidR="0071207C">
        <w:rPr>
          <w:rFonts w:ascii="Arial" w:hAnsi="Arial"/>
          <w:color w:val="auto"/>
          <w:sz w:val="22"/>
          <w:szCs w:val="22"/>
        </w:rPr>
        <w:t>services, particularly business and administration, protective services, childcare and education, social care</w:t>
      </w:r>
      <w:r w:rsidR="008B29BA">
        <w:rPr>
          <w:rFonts w:ascii="Arial" w:hAnsi="Arial"/>
          <w:color w:val="auto"/>
          <w:sz w:val="22"/>
          <w:szCs w:val="22"/>
        </w:rPr>
        <w:t xml:space="preserve">, and construction </w:t>
      </w:r>
      <w:r w:rsidR="0071207C">
        <w:rPr>
          <w:rFonts w:ascii="Arial" w:hAnsi="Arial"/>
          <w:color w:val="auto"/>
          <w:sz w:val="22"/>
          <w:szCs w:val="22"/>
        </w:rPr>
        <w:t>it is important there is local government representation on all of the relevant panels to ensure sufficient input from and consultation with the sector.</w:t>
      </w:r>
    </w:p>
    <w:p w14:paraId="5700A38C" w14:textId="1F3EF361" w:rsidR="00211160" w:rsidRDefault="00211160" w:rsidP="00DA7526">
      <w:pPr>
        <w:spacing w:after="120" w:line="276" w:lineRule="auto"/>
        <w:rPr>
          <w:color w:val="auto"/>
          <w:sz w:val="22"/>
          <w:szCs w:val="22"/>
        </w:rPr>
      </w:pPr>
      <w:r>
        <w:rPr>
          <w:color w:val="auto"/>
          <w:sz w:val="22"/>
          <w:szCs w:val="22"/>
        </w:rPr>
        <w:t>For similar reasons, in addition to introducing Relationship Managers aligned to each route, we believe there is also a case for creating a Relationship Manager for local government. As one of the largest employers in England, and with an interest across a number of the technical routes, it is crucial that the needs of our sector are understood and reflected in the development and assessment of qualifications. There is also an important role that a Relationship Manager could play working closely with local government to help map areas where there are gaps, or where existing qualifications have not kept up with the changing nature of key roles.</w:t>
      </w:r>
    </w:p>
    <w:p w14:paraId="74B027C1" w14:textId="3ED4ED48" w:rsidR="00145D05" w:rsidRDefault="00145D05" w:rsidP="001D11E1">
      <w:pPr>
        <w:pStyle w:val="Heading1"/>
        <w:spacing w:before="200" w:after="200"/>
      </w:pPr>
      <w:r>
        <w:t xml:space="preserve">3. </w:t>
      </w:r>
      <w:r w:rsidR="001B292F">
        <w:t xml:space="preserve">Regulating the quality of apprenticeship standards and assessments </w:t>
      </w:r>
    </w:p>
    <w:p w14:paraId="4D672C7E" w14:textId="4E187A10" w:rsidR="001C3D67" w:rsidRDefault="002C4496" w:rsidP="00DA7526">
      <w:pPr>
        <w:spacing w:after="120" w:line="276" w:lineRule="auto"/>
        <w:rPr>
          <w:color w:val="auto"/>
          <w:sz w:val="22"/>
          <w:szCs w:val="22"/>
        </w:rPr>
      </w:pPr>
      <w:r>
        <w:rPr>
          <w:color w:val="auto"/>
          <w:sz w:val="22"/>
          <w:szCs w:val="22"/>
        </w:rPr>
        <w:t>London Councils welcomes the proposals listed in this section to support the development of standards through trailblazers, to speed up the process and provide more transparency and information. We also welcome</w:t>
      </w:r>
      <w:r w:rsidR="001C3D67">
        <w:rPr>
          <w:color w:val="auto"/>
          <w:sz w:val="22"/>
          <w:szCs w:val="22"/>
        </w:rPr>
        <w:t xml:space="preserve"> the greater clarity </w:t>
      </w:r>
      <w:r w:rsidR="0071207C">
        <w:rPr>
          <w:color w:val="auto"/>
          <w:sz w:val="22"/>
          <w:szCs w:val="22"/>
        </w:rPr>
        <w:t xml:space="preserve">provided in the Operational Plan </w:t>
      </w:r>
      <w:r w:rsidR="001C3D67">
        <w:rPr>
          <w:color w:val="auto"/>
          <w:sz w:val="22"/>
          <w:szCs w:val="22"/>
        </w:rPr>
        <w:t>on how the Institute will advise government on apprenticeship funding. It is important that the Institute consult</w:t>
      </w:r>
      <w:r w:rsidR="0071207C">
        <w:rPr>
          <w:color w:val="auto"/>
          <w:sz w:val="22"/>
          <w:szCs w:val="22"/>
        </w:rPr>
        <w:t>s widely to inform this advice.</w:t>
      </w:r>
    </w:p>
    <w:p w14:paraId="1D81DDD3" w14:textId="725BE111" w:rsidR="00046970" w:rsidRDefault="00046970" w:rsidP="00DA7526">
      <w:pPr>
        <w:spacing w:after="120" w:line="276" w:lineRule="auto"/>
        <w:rPr>
          <w:rFonts w:ascii="Arial" w:hAnsi="Arial"/>
          <w:color w:val="auto"/>
          <w:sz w:val="22"/>
          <w:szCs w:val="22"/>
        </w:rPr>
      </w:pPr>
      <w:r>
        <w:rPr>
          <w:rFonts w:ascii="Arial" w:hAnsi="Arial"/>
          <w:color w:val="auto"/>
          <w:sz w:val="22"/>
          <w:szCs w:val="22"/>
        </w:rPr>
        <w:t xml:space="preserve">The Operational Plan indicates that the advice given to government on funding by the Institute will need to be </w:t>
      </w:r>
      <w:r w:rsidR="00432661">
        <w:rPr>
          <w:rFonts w:ascii="Arial" w:hAnsi="Arial"/>
          <w:color w:val="auto"/>
          <w:sz w:val="22"/>
          <w:szCs w:val="22"/>
        </w:rPr>
        <w:t>provided</w:t>
      </w:r>
      <w:r>
        <w:rPr>
          <w:rFonts w:ascii="Arial" w:hAnsi="Arial"/>
          <w:color w:val="auto"/>
          <w:sz w:val="22"/>
          <w:szCs w:val="22"/>
        </w:rPr>
        <w:t xml:space="preserve"> in the context of overall affordability. It is important that this context takes into account the financial position of the wider public sector, and local government in particular to ensure that we can continue to play a key role in apprenticeship creation in a sustainable way.</w:t>
      </w:r>
    </w:p>
    <w:p w14:paraId="71A82A55" w14:textId="49D63286" w:rsidR="00046970" w:rsidRDefault="00046970" w:rsidP="00DA7526">
      <w:pPr>
        <w:spacing w:after="120" w:line="276" w:lineRule="auto"/>
        <w:rPr>
          <w:color w:val="auto"/>
          <w:sz w:val="22"/>
          <w:szCs w:val="22"/>
        </w:rPr>
      </w:pPr>
      <w:r>
        <w:rPr>
          <w:color w:val="auto"/>
          <w:sz w:val="22"/>
          <w:szCs w:val="22"/>
        </w:rPr>
        <w:t>The removal of the Area Cost Adjustment (ACA) for London and the South East continues to cause concern and should be examined as part of the Institute’s advice on funding. Without the ACA, some apprenticeship standards may be placed in funding bands that reflect the cost of delivering training in the rest of England, but not in London, which has traditionally higher</w:t>
      </w:r>
      <w:r w:rsidR="00D23254">
        <w:rPr>
          <w:color w:val="auto"/>
          <w:sz w:val="22"/>
          <w:szCs w:val="22"/>
        </w:rPr>
        <w:t xml:space="preserve"> costs</w:t>
      </w:r>
      <w:r w:rsidR="000A3BAB">
        <w:rPr>
          <w:color w:val="auto"/>
          <w:sz w:val="22"/>
          <w:szCs w:val="22"/>
        </w:rPr>
        <w:t xml:space="preserve">, </w:t>
      </w:r>
      <w:r w:rsidR="00432661">
        <w:rPr>
          <w:color w:val="auto"/>
          <w:sz w:val="22"/>
          <w:szCs w:val="22"/>
        </w:rPr>
        <w:t xml:space="preserve">thereby </w:t>
      </w:r>
      <w:r>
        <w:rPr>
          <w:color w:val="auto"/>
          <w:sz w:val="22"/>
          <w:szCs w:val="22"/>
        </w:rPr>
        <w:t>disadvantaging employers in the capital.</w:t>
      </w:r>
      <w:r w:rsidR="00AF1E4F">
        <w:rPr>
          <w:color w:val="auto"/>
          <w:sz w:val="22"/>
          <w:szCs w:val="22"/>
        </w:rPr>
        <w:t xml:space="preserve"> Other government departments recognise the higher cost of delivering services in London and adjust funding allocations accordingly. Outer London boroughs typically need a 10% labour cost adjustment relative to base authorities, while Inner London boroughs typically need a 30% adjustment.</w:t>
      </w:r>
    </w:p>
    <w:p w14:paraId="7838BD29" w14:textId="3025B3A4" w:rsidR="0071207C" w:rsidRDefault="00046970" w:rsidP="00DA7526">
      <w:pPr>
        <w:spacing w:after="120" w:line="276" w:lineRule="auto"/>
        <w:rPr>
          <w:rFonts w:ascii="Arial" w:hAnsi="Arial"/>
          <w:color w:val="auto"/>
          <w:sz w:val="22"/>
          <w:szCs w:val="22"/>
        </w:rPr>
      </w:pPr>
      <w:r>
        <w:rPr>
          <w:color w:val="auto"/>
          <w:sz w:val="22"/>
          <w:szCs w:val="22"/>
        </w:rPr>
        <w:t xml:space="preserve">We also continue to have concerns regarding the future of the disadvantage uplift. </w:t>
      </w:r>
      <w:r w:rsidR="008B29BA">
        <w:rPr>
          <w:color w:val="auto"/>
          <w:sz w:val="22"/>
          <w:szCs w:val="22"/>
        </w:rPr>
        <w:t xml:space="preserve">Although we welcome a simplified version of the current system being retained for a year, </w:t>
      </w:r>
      <w:r>
        <w:rPr>
          <w:color w:val="auto"/>
          <w:sz w:val="22"/>
          <w:szCs w:val="22"/>
        </w:rPr>
        <w:t>in London there is a significant risk that the removal of both the disadvantage uplift and the ACA would make it considerably harder for young people from disadvantaged areas in the capital to access training opportunities.</w:t>
      </w:r>
      <w:r>
        <w:rPr>
          <w:rFonts w:ascii="Arial" w:hAnsi="Arial"/>
          <w:color w:val="auto"/>
          <w:sz w:val="22"/>
          <w:szCs w:val="22"/>
        </w:rPr>
        <w:t xml:space="preserve"> It</w:t>
      </w:r>
      <w:r w:rsidR="0071207C">
        <w:rPr>
          <w:rFonts w:ascii="Arial" w:hAnsi="Arial"/>
          <w:color w:val="auto"/>
          <w:sz w:val="22"/>
          <w:szCs w:val="22"/>
        </w:rPr>
        <w:t xml:space="preserve"> is vital that any new system considers this and provides a long-term solution</w:t>
      </w:r>
      <w:r w:rsidR="0026119E">
        <w:rPr>
          <w:rFonts w:ascii="Arial" w:hAnsi="Arial"/>
          <w:color w:val="auto"/>
          <w:sz w:val="22"/>
          <w:szCs w:val="22"/>
        </w:rPr>
        <w:t xml:space="preserve">; otherwise the government’s </w:t>
      </w:r>
      <w:r w:rsidR="0026119E">
        <w:rPr>
          <w:rFonts w:ascii="Arial" w:hAnsi="Arial"/>
          <w:color w:val="auto"/>
          <w:sz w:val="22"/>
          <w:szCs w:val="22"/>
        </w:rPr>
        <w:lastRenderedPageBreak/>
        <w:t>priorities of supporting greater social mobility and tackling disadvantage will not be met through the apprenticeship system</w:t>
      </w:r>
      <w:r w:rsidR="0071207C">
        <w:rPr>
          <w:rFonts w:ascii="Arial" w:hAnsi="Arial"/>
          <w:color w:val="auto"/>
          <w:sz w:val="22"/>
          <w:szCs w:val="22"/>
        </w:rPr>
        <w:t>.</w:t>
      </w:r>
      <w:r w:rsidR="0071207C" w:rsidRPr="0071207C">
        <w:rPr>
          <w:rFonts w:ascii="Arial" w:hAnsi="Arial"/>
          <w:color w:val="auto"/>
          <w:sz w:val="22"/>
          <w:szCs w:val="22"/>
        </w:rPr>
        <w:t xml:space="preserve"> </w:t>
      </w:r>
    </w:p>
    <w:p w14:paraId="32691B44" w14:textId="01200A9A" w:rsidR="00C31F59" w:rsidRDefault="000A3BAB" w:rsidP="00DA7526">
      <w:pPr>
        <w:spacing w:after="120" w:line="276" w:lineRule="auto"/>
        <w:rPr>
          <w:rFonts w:ascii="Arial" w:hAnsi="Arial"/>
          <w:color w:val="auto"/>
          <w:sz w:val="22"/>
          <w:szCs w:val="22"/>
        </w:rPr>
      </w:pPr>
      <w:r>
        <w:rPr>
          <w:rFonts w:ascii="Arial" w:hAnsi="Arial"/>
          <w:color w:val="auto"/>
          <w:sz w:val="22"/>
          <w:szCs w:val="22"/>
        </w:rPr>
        <w:t xml:space="preserve">London Councils welcomes the two approaches outlined for reviewing standards, which will include collating data on quality and impact by sectors, destination data and wage returns for learners, satisfaction levels and impact on skills gaps for employers and alignment to productivity challenges in the wider economy. The Institute should make this data publicly available to prospective apprentices in an accessible format. </w:t>
      </w:r>
      <w:r w:rsidR="00C31F59">
        <w:rPr>
          <w:rFonts w:ascii="Arial" w:hAnsi="Arial"/>
          <w:color w:val="auto"/>
          <w:sz w:val="22"/>
          <w:szCs w:val="22"/>
        </w:rPr>
        <w:t>This sort of data is currently lacking for many technical education courses and is a weakness within the system. Making this data publicly available will enable learners to draw on the right sort of information to make informed choices about their technical education route.</w:t>
      </w:r>
    </w:p>
    <w:p w14:paraId="6B5F5066" w14:textId="1E8E5DD6" w:rsidR="002C763A" w:rsidRDefault="002C763A" w:rsidP="001D11E1">
      <w:pPr>
        <w:pStyle w:val="Heading1"/>
        <w:spacing w:before="200" w:after="200"/>
      </w:pPr>
      <w:r>
        <w:t xml:space="preserve">4. </w:t>
      </w:r>
      <w:r w:rsidR="00FA6EA9">
        <w:t>Collaborating with partners to drive quality across the apprenticeships system</w:t>
      </w:r>
    </w:p>
    <w:p w14:paraId="099AB359" w14:textId="53F02156" w:rsidR="001C2C97" w:rsidRDefault="000F1B25" w:rsidP="00DA7526">
      <w:pPr>
        <w:spacing w:after="120" w:line="276" w:lineRule="auto"/>
        <w:rPr>
          <w:rFonts w:ascii="Arial" w:hAnsi="Arial"/>
          <w:color w:val="auto"/>
          <w:sz w:val="22"/>
          <w:szCs w:val="22"/>
        </w:rPr>
      </w:pPr>
      <w:r>
        <w:rPr>
          <w:rFonts w:ascii="Arial" w:hAnsi="Arial"/>
          <w:color w:val="auto"/>
          <w:sz w:val="22"/>
          <w:szCs w:val="22"/>
        </w:rPr>
        <w:t>The Apprenticeships Quality Improvement Group will be an important check on apprenticeship standards to ensure they are sufficiently rigorous, high quality and deliver value for money. As with other areas of the system, it is important that local government is represented on this group to ensure the suite of apprenticeship qualifications is working appropriately for the sector.</w:t>
      </w:r>
    </w:p>
    <w:p w14:paraId="7C0B132A" w14:textId="68C8D58D" w:rsidR="006F6479" w:rsidRDefault="006F6479" w:rsidP="001D11E1">
      <w:pPr>
        <w:pStyle w:val="Heading1"/>
        <w:spacing w:before="200" w:after="200"/>
      </w:pPr>
      <w:r>
        <w:t>5. Leading the reforms to technical education</w:t>
      </w:r>
    </w:p>
    <w:p w14:paraId="14D2545F" w14:textId="45435916" w:rsidR="006F6479" w:rsidRDefault="000F1B25" w:rsidP="00DA7526">
      <w:pPr>
        <w:spacing w:after="120" w:line="276" w:lineRule="auto"/>
        <w:rPr>
          <w:rFonts w:ascii="Arial" w:hAnsi="Arial"/>
          <w:color w:val="auto"/>
          <w:sz w:val="22"/>
          <w:szCs w:val="22"/>
        </w:rPr>
      </w:pPr>
      <w:r>
        <w:rPr>
          <w:color w:val="auto"/>
          <w:sz w:val="22"/>
          <w:szCs w:val="22"/>
        </w:rPr>
        <w:t xml:space="preserve">The introduction of the Post-16 Skills Plan </w:t>
      </w:r>
      <w:r w:rsidR="0026119E">
        <w:rPr>
          <w:color w:val="auto"/>
          <w:sz w:val="22"/>
          <w:szCs w:val="22"/>
        </w:rPr>
        <w:t>i</w:t>
      </w:r>
      <w:r>
        <w:rPr>
          <w:color w:val="auto"/>
          <w:sz w:val="22"/>
          <w:szCs w:val="22"/>
        </w:rPr>
        <w:t>s welcome</w:t>
      </w:r>
      <w:r w:rsidR="0026119E">
        <w:rPr>
          <w:color w:val="auto"/>
          <w:sz w:val="22"/>
          <w:szCs w:val="22"/>
        </w:rPr>
        <w:t>.  However,</w:t>
      </w:r>
      <w:r w:rsidR="00C31F59">
        <w:rPr>
          <w:color w:val="auto"/>
          <w:sz w:val="22"/>
          <w:szCs w:val="22"/>
        </w:rPr>
        <w:t xml:space="preserve"> t</w:t>
      </w:r>
      <w:r>
        <w:rPr>
          <w:color w:val="auto"/>
          <w:sz w:val="22"/>
          <w:szCs w:val="22"/>
        </w:rPr>
        <w:t>he decision to distil thousands of qualif</w:t>
      </w:r>
      <w:r w:rsidR="00DA7526">
        <w:rPr>
          <w:color w:val="auto"/>
          <w:sz w:val="22"/>
          <w:szCs w:val="22"/>
        </w:rPr>
        <w:t>ications into just 15 routes represents</w:t>
      </w:r>
      <w:r>
        <w:rPr>
          <w:color w:val="auto"/>
          <w:sz w:val="22"/>
          <w:szCs w:val="22"/>
        </w:rPr>
        <w:t xml:space="preserve"> a substantial change to the system. While it is hoped that this leads to a much simpler and straightforward process for learners and delivers better outcomes, there is still a question as to whether these 15 routes can realistically cover all job roles.</w:t>
      </w:r>
      <w:r w:rsidR="006F6479">
        <w:rPr>
          <w:color w:val="auto"/>
          <w:sz w:val="22"/>
          <w:szCs w:val="22"/>
        </w:rPr>
        <w:t xml:space="preserve"> </w:t>
      </w:r>
      <w:r w:rsidR="006F6479">
        <w:rPr>
          <w:rFonts w:ascii="Arial" w:hAnsi="Arial"/>
          <w:color w:val="auto"/>
          <w:sz w:val="22"/>
          <w:szCs w:val="22"/>
        </w:rPr>
        <w:t>Analysis from the Association of Employment and Learning Providers (AELP) has indicated that 57% of jobs in our economy fall outside the scope of the 15 routes</w:t>
      </w:r>
      <w:r w:rsidR="006F6479">
        <w:rPr>
          <w:rStyle w:val="FootnoteReference"/>
          <w:sz w:val="22"/>
          <w:szCs w:val="22"/>
        </w:rPr>
        <w:footnoteReference w:id="3"/>
      </w:r>
      <w:r w:rsidR="006F6479">
        <w:rPr>
          <w:rFonts w:ascii="Arial" w:hAnsi="Arial"/>
          <w:color w:val="auto"/>
          <w:sz w:val="22"/>
          <w:szCs w:val="22"/>
        </w:rPr>
        <w:t xml:space="preserve">. </w:t>
      </w:r>
    </w:p>
    <w:p w14:paraId="5BFC6B48" w14:textId="4E8BD0BF" w:rsidR="000F1B25" w:rsidRDefault="000F1B25" w:rsidP="00DA7526">
      <w:pPr>
        <w:spacing w:after="120" w:line="276" w:lineRule="auto"/>
        <w:rPr>
          <w:rFonts w:ascii="Arial" w:hAnsi="Arial"/>
          <w:color w:val="auto"/>
          <w:sz w:val="22"/>
          <w:szCs w:val="22"/>
        </w:rPr>
      </w:pPr>
      <w:r>
        <w:rPr>
          <w:rFonts w:ascii="Arial" w:hAnsi="Arial"/>
          <w:color w:val="auto"/>
          <w:sz w:val="22"/>
          <w:szCs w:val="22"/>
        </w:rPr>
        <w:t xml:space="preserve">In reviewing </w:t>
      </w:r>
      <w:r w:rsidR="00DA7526">
        <w:rPr>
          <w:rFonts w:ascii="Arial" w:hAnsi="Arial"/>
          <w:color w:val="auto"/>
          <w:sz w:val="22"/>
          <w:szCs w:val="22"/>
        </w:rPr>
        <w:t xml:space="preserve">the contents of </w:t>
      </w:r>
      <w:r>
        <w:rPr>
          <w:rFonts w:ascii="Arial" w:hAnsi="Arial"/>
          <w:color w:val="auto"/>
          <w:sz w:val="22"/>
          <w:szCs w:val="22"/>
        </w:rPr>
        <w:t>each of the 15 routes over a rolling three-year period, the Institute should also examine whether the</w:t>
      </w:r>
      <w:r w:rsidR="00DA7526">
        <w:rPr>
          <w:rFonts w:ascii="Arial" w:hAnsi="Arial"/>
          <w:color w:val="auto"/>
          <w:sz w:val="22"/>
          <w:szCs w:val="22"/>
        </w:rPr>
        <w:t>y</w:t>
      </w:r>
      <w:r>
        <w:rPr>
          <w:rFonts w:ascii="Arial" w:hAnsi="Arial"/>
          <w:color w:val="auto"/>
          <w:sz w:val="22"/>
          <w:szCs w:val="22"/>
        </w:rPr>
        <w:t xml:space="preserve"> remain the correct ones and</w:t>
      </w:r>
      <w:r w:rsidR="001D11E1">
        <w:rPr>
          <w:rFonts w:ascii="Arial" w:hAnsi="Arial"/>
          <w:color w:val="auto"/>
          <w:sz w:val="22"/>
          <w:szCs w:val="22"/>
        </w:rPr>
        <w:t>,</w:t>
      </w:r>
      <w:r>
        <w:rPr>
          <w:rFonts w:ascii="Arial" w:hAnsi="Arial"/>
          <w:color w:val="auto"/>
          <w:sz w:val="22"/>
          <w:szCs w:val="22"/>
        </w:rPr>
        <w:t xml:space="preserve"> </w:t>
      </w:r>
      <w:r w:rsidR="001D11E1">
        <w:rPr>
          <w:rFonts w:ascii="Arial" w:hAnsi="Arial"/>
          <w:color w:val="auto"/>
          <w:sz w:val="22"/>
          <w:szCs w:val="22"/>
        </w:rPr>
        <w:t xml:space="preserve">in time, </w:t>
      </w:r>
      <w:r>
        <w:rPr>
          <w:rFonts w:ascii="Arial" w:hAnsi="Arial"/>
          <w:color w:val="auto"/>
          <w:sz w:val="22"/>
          <w:szCs w:val="22"/>
        </w:rPr>
        <w:t>whether any need to be replaced, or additional routes added.</w:t>
      </w:r>
      <w:r w:rsidR="005E3DBB">
        <w:rPr>
          <w:rFonts w:ascii="Arial" w:hAnsi="Arial"/>
          <w:color w:val="auto"/>
          <w:sz w:val="22"/>
          <w:szCs w:val="22"/>
        </w:rPr>
        <w:t xml:space="preserve"> In light of the AELP analysis, clarity is also needed on how employers that fall outside of the 15 routes can interact with the Institute and continue to develop qualifications and pathways as appropriate.</w:t>
      </w:r>
    </w:p>
    <w:p w14:paraId="2E4C938B" w14:textId="72CFCB63" w:rsidR="005E3DBB" w:rsidRDefault="005E3DBB" w:rsidP="001D11E1">
      <w:pPr>
        <w:pStyle w:val="Heading1"/>
        <w:spacing w:before="200" w:after="200"/>
      </w:pPr>
      <w:r>
        <w:t>6. Implementing the new system</w:t>
      </w:r>
    </w:p>
    <w:p w14:paraId="4F63A6C5" w14:textId="450B139C" w:rsidR="0080511E" w:rsidRDefault="005E3DBB" w:rsidP="00DA7526">
      <w:pPr>
        <w:spacing w:after="120" w:line="276" w:lineRule="auto"/>
        <w:rPr>
          <w:rFonts w:ascii="Arial" w:hAnsi="Arial"/>
          <w:color w:val="auto"/>
          <w:sz w:val="22"/>
          <w:szCs w:val="22"/>
        </w:rPr>
      </w:pPr>
      <w:r>
        <w:rPr>
          <w:rFonts w:ascii="Arial" w:hAnsi="Arial"/>
          <w:color w:val="auto"/>
          <w:sz w:val="22"/>
          <w:szCs w:val="22"/>
        </w:rPr>
        <w:t>The list of the Institute’s aims for 2020 includes ambitions for “</w:t>
      </w:r>
      <w:r w:rsidRPr="0080511E">
        <w:rPr>
          <w:rFonts w:ascii="Arial" w:hAnsi="Arial"/>
          <w:i/>
          <w:color w:val="auto"/>
          <w:sz w:val="22"/>
          <w:szCs w:val="22"/>
        </w:rPr>
        <w:t xml:space="preserve">The Institute </w:t>
      </w:r>
      <w:r w:rsidR="00DA7526">
        <w:rPr>
          <w:rFonts w:ascii="Arial" w:hAnsi="Arial"/>
          <w:i/>
          <w:color w:val="auto"/>
          <w:sz w:val="22"/>
          <w:szCs w:val="22"/>
        </w:rPr>
        <w:t xml:space="preserve">[to play] </w:t>
      </w:r>
      <w:r w:rsidRPr="0080511E">
        <w:rPr>
          <w:rFonts w:ascii="Arial" w:hAnsi="Arial"/>
          <w:i/>
          <w:color w:val="auto"/>
          <w:sz w:val="22"/>
          <w:szCs w:val="22"/>
        </w:rPr>
        <w:t>a leading role alongside others to do more to celebrate learners’ successes</w:t>
      </w:r>
      <w:r>
        <w:rPr>
          <w:rFonts w:ascii="Arial" w:hAnsi="Arial"/>
          <w:color w:val="auto"/>
          <w:sz w:val="22"/>
          <w:szCs w:val="22"/>
        </w:rPr>
        <w:t>” and “</w:t>
      </w:r>
      <w:r w:rsidRPr="0080511E">
        <w:rPr>
          <w:rFonts w:ascii="Arial" w:hAnsi="Arial"/>
          <w:i/>
          <w:color w:val="auto"/>
          <w:sz w:val="22"/>
          <w:szCs w:val="22"/>
        </w:rPr>
        <w:t>Apprenticeships and technical education [to be] recognised as a highly prestigious alternative to the established academic route</w:t>
      </w:r>
      <w:r>
        <w:rPr>
          <w:rFonts w:ascii="Arial" w:hAnsi="Arial"/>
          <w:color w:val="auto"/>
          <w:sz w:val="22"/>
          <w:szCs w:val="22"/>
        </w:rPr>
        <w:t xml:space="preserve">”. </w:t>
      </w:r>
      <w:r w:rsidR="00DA7526">
        <w:rPr>
          <w:rFonts w:ascii="Arial" w:hAnsi="Arial"/>
          <w:color w:val="auto"/>
          <w:sz w:val="22"/>
          <w:szCs w:val="22"/>
        </w:rPr>
        <w:t xml:space="preserve">The last </w:t>
      </w:r>
      <w:proofErr w:type="gramStart"/>
      <w:r w:rsidR="00DA7526">
        <w:rPr>
          <w:rFonts w:ascii="Arial" w:hAnsi="Arial"/>
          <w:color w:val="auto"/>
          <w:sz w:val="22"/>
          <w:szCs w:val="22"/>
        </w:rPr>
        <w:t>aim, in particular, is challenging and while</w:t>
      </w:r>
      <w:proofErr w:type="gramEnd"/>
      <w:r w:rsidR="00DA7526">
        <w:rPr>
          <w:rFonts w:ascii="Arial" w:hAnsi="Arial"/>
          <w:color w:val="auto"/>
          <w:sz w:val="22"/>
          <w:szCs w:val="22"/>
        </w:rPr>
        <w:t xml:space="preserve"> some </w:t>
      </w:r>
      <w:r>
        <w:rPr>
          <w:rFonts w:ascii="Arial" w:hAnsi="Arial"/>
          <w:color w:val="auto"/>
          <w:sz w:val="22"/>
          <w:szCs w:val="22"/>
        </w:rPr>
        <w:t xml:space="preserve">employers, potential students and their families understand the benefits of apprenticeships, this is not universal. </w:t>
      </w:r>
    </w:p>
    <w:p w14:paraId="6CB06562" w14:textId="2F5AA235" w:rsidR="006F6479" w:rsidRDefault="0080511E" w:rsidP="00DA7526">
      <w:pPr>
        <w:spacing w:after="120" w:line="276" w:lineRule="auto"/>
        <w:rPr>
          <w:rFonts w:ascii="Arial" w:hAnsi="Arial"/>
          <w:color w:val="auto"/>
          <w:sz w:val="22"/>
          <w:szCs w:val="22"/>
        </w:rPr>
      </w:pPr>
      <w:r>
        <w:rPr>
          <w:color w:val="auto"/>
          <w:sz w:val="22"/>
          <w:szCs w:val="22"/>
        </w:rPr>
        <w:t xml:space="preserve">Polling commissioned for the 2015 Demos Commission on Apprenticeships found that most parents think apprenticeships are valuable, but not for their own children; that apprenticeships are more suitable </w:t>
      </w:r>
      <w:r>
        <w:rPr>
          <w:color w:val="auto"/>
          <w:sz w:val="22"/>
          <w:szCs w:val="22"/>
        </w:rPr>
        <w:lastRenderedPageBreak/>
        <w:t>for low achievers; and that apprenticeships help produce steady jobs, but are not a route to the top</w:t>
      </w:r>
      <w:r>
        <w:rPr>
          <w:rStyle w:val="FootnoteReference"/>
          <w:sz w:val="22"/>
          <w:szCs w:val="22"/>
        </w:rPr>
        <w:footnoteReference w:id="4"/>
      </w:r>
      <w:r>
        <w:rPr>
          <w:color w:val="auto"/>
          <w:sz w:val="22"/>
          <w:szCs w:val="22"/>
        </w:rPr>
        <w:t>. A 2016 study by Nationwide Building Society also found that almost 70% of British parents associated apprenticeships with the construction industry, while two-thirds would prefer their children to go to university</w:t>
      </w:r>
      <w:r>
        <w:rPr>
          <w:rStyle w:val="FootnoteReference"/>
          <w:sz w:val="22"/>
          <w:szCs w:val="22"/>
        </w:rPr>
        <w:footnoteReference w:id="5"/>
      </w:r>
      <w:r>
        <w:rPr>
          <w:color w:val="auto"/>
          <w:sz w:val="22"/>
          <w:szCs w:val="22"/>
        </w:rPr>
        <w:t>. London is also home to many BAME communities</w:t>
      </w:r>
      <w:r w:rsidR="00DA7526">
        <w:rPr>
          <w:color w:val="auto"/>
          <w:sz w:val="22"/>
          <w:szCs w:val="22"/>
        </w:rPr>
        <w:t>,</w:t>
      </w:r>
      <w:r>
        <w:rPr>
          <w:color w:val="auto"/>
          <w:sz w:val="22"/>
          <w:szCs w:val="22"/>
        </w:rPr>
        <w:t xml:space="preserve"> which include high proportions of parents valuing academic over technical education routes.</w:t>
      </w:r>
    </w:p>
    <w:p w14:paraId="228978AB" w14:textId="7BB84506" w:rsidR="0080511E" w:rsidRDefault="0080511E" w:rsidP="00DA7526">
      <w:pPr>
        <w:spacing w:after="120" w:line="276" w:lineRule="auto"/>
        <w:jc w:val="both"/>
        <w:rPr>
          <w:color w:val="auto"/>
          <w:sz w:val="22"/>
          <w:szCs w:val="22"/>
        </w:rPr>
      </w:pPr>
      <w:r>
        <w:rPr>
          <w:color w:val="auto"/>
          <w:sz w:val="22"/>
          <w:szCs w:val="22"/>
        </w:rPr>
        <w:t>If the Institute is to meet the two aims highlighted above</w:t>
      </w:r>
      <w:r w:rsidR="001D11E1">
        <w:rPr>
          <w:color w:val="auto"/>
          <w:sz w:val="22"/>
          <w:szCs w:val="22"/>
        </w:rPr>
        <w:t xml:space="preserve">, </w:t>
      </w:r>
      <w:r>
        <w:rPr>
          <w:color w:val="auto"/>
          <w:sz w:val="22"/>
          <w:szCs w:val="22"/>
        </w:rPr>
        <w:t xml:space="preserve">it will need to </w:t>
      </w:r>
      <w:r w:rsidR="001D11E1">
        <w:rPr>
          <w:color w:val="auto"/>
          <w:sz w:val="22"/>
          <w:szCs w:val="22"/>
        </w:rPr>
        <w:t xml:space="preserve">play a direct role in promoting </w:t>
      </w:r>
      <w:r>
        <w:rPr>
          <w:color w:val="auto"/>
          <w:sz w:val="22"/>
          <w:szCs w:val="22"/>
        </w:rPr>
        <w:t>apprenticeships as a positive and equal alternative to other forms of further and higher education. The government should therefore consider expanding the Institute’s remit to include promoting and communicating the benefits of apprenticeships and technical education.</w:t>
      </w:r>
    </w:p>
    <w:p w14:paraId="43BD821A" w14:textId="77777777" w:rsidR="00C31F59" w:rsidRDefault="00C31F59" w:rsidP="001D11E1">
      <w:pPr>
        <w:spacing w:after="200" w:line="276" w:lineRule="auto"/>
        <w:rPr>
          <w:rFonts w:ascii="Arial" w:hAnsi="Arial"/>
          <w:b/>
          <w:sz w:val="22"/>
          <w:szCs w:val="22"/>
        </w:rPr>
      </w:pPr>
    </w:p>
    <w:p w14:paraId="4056F5D6" w14:textId="598E8767" w:rsidR="001C2C97" w:rsidRPr="001C2C97" w:rsidRDefault="001C2C97" w:rsidP="001D11E1">
      <w:pPr>
        <w:spacing w:after="200" w:line="276" w:lineRule="auto"/>
        <w:rPr>
          <w:rFonts w:ascii="Arial" w:hAnsi="Arial"/>
          <w:b/>
          <w:sz w:val="22"/>
          <w:szCs w:val="22"/>
        </w:rPr>
      </w:pPr>
      <w:r w:rsidRPr="001C2C97">
        <w:rPr>
          <w:rFonts w:ascii="Arial" w:hAnsi="Arial"/>
          <w:b/>
          <w:sz w:val="22"/>
          <w:szCs w:val="22"/>
        </w:rPr>
        <w:t>Response submitted by:</w:t>
      </w:r>
    </w:p>
    <w:p w14:paraId="52E50356" w14:textId="2991A9E1" w:rsidR="001C2C97" w:rsidRPr="001C2C97" w:rsidRDefault="001C2C97" w:rsidP="001C2C97">
      <w:pPr>
        <w:contextualSpacing/>
        <w:rPr>
          <w:rFonts w:ascii="Arial" w:hAnsi="Arial"/>
          <w:b/>
          <w:sz w:val="22"/>
          <w:szCs w:val="22"/>
        </w:rPr>
      </w:pPr>
      <w:r w:rsidRPr="001C2C97">
        <w:rPr>
          <w:rFonts w:ascii="Arial" w:hAnsi="Arial"/>
          <w:sz w:val="22"/>
          <w:szCs w:val="22"/>
        </w:rPr>
        <w:t xml:space="preserve">Jamie Saddler, Principal Policy and Projects Officer, Economy, Culture and Tourism </w:t>
      </w:r>
    </w:p>
    <w:p w14:paraId="561DDE46" w14:textId="64D404F4" w:rsidR="001C2C97" w:rsidRDefault="001C2C97" w:rsidP="001D11E1">
      <w:pPr>
        <w:contextualSpacing/>
        <w:rPr>
          <w:rFonts w:ascii="Arial" w:hAnsi="Arial"/>
          <w:color w:val="auto"/>
          <w:sz w:val="22"/>
          <w:szCs w:val="22"/>
        </w:rPr>
      </w:pPr>
      <w:r w:rsidRPr="001C2C97">
        <w:rPr>
          <w:rFonts w:ascii="Arial" w:hAnsi="Arial"/>
          <w:sz w:val="22"/>
          <w:szCs w:val="22"/>
        </w:rPr>
        <w:t xml:space="preserve">(T: 020 7934 9916 e: </w:t>
      </w:r>
      <w:hyperlink r:id="rId9" w:history="1">
        <w:r w:rsidRPr="001C2C97">
          <w:rPr>
            <w:rStyle w:val="Hyperlink"/>
            <w:rFonts w:ascii="Arial" w:hAnsi="Arial"/>
            <w:color w:val="44546A" w:themeColor="text2"/>
            <w:sz w:val="22"/>
            <w:szCs w:val="22"/>
          </w:rPr>
          <w:t>jamie.saddler@londoncouncils.gov.uk</w:t>
        </w:r>
      </w:hyperlink>
      <w:r w:rsidRPr="001C2C97">
        <w:rPr>
          <w:rFonts w:ascii="Arial" w:hAnsi="Arial"/>
          <w:sz w:val="22"/>
          <w:szCs w:val="22"/>
        </w:rPr>
        <w:t>)</w:t>
      </w:r>
    </w:p>
    <w:sectPr w:rsidR="001C2C97" w:rsidSect="00873023">
      <w:headerReference w:type="default" r:id="rId10"/>
      <w:footerReference w:type="default" r:id="rId11"/>
      <w:headerReference w:type="first" r:id="rId12"/>
      <w:footerReference w:type="first" r:id="rId13"/>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0F30" w14:textId="77777777" w:rsidR="00AF1E4F" w:rsidRDefault="00AF1E4F" w:rsidP="00BA3ADD">
      <w:pPr>
        <w:spacing w:line="240" w:lineRule="auto"/>
      </w:pPr>
      <w:r>
        <w:separator/>
      </w:r>
    </w:p>
  </w:endnote>
  <w:endnote w:type="continuationSeparator" w:id="0">
    <w:p w14:paraId="0707A129" w14:textId="77777777" w:rsidR="00AF1E4F" w:rsidRDefault="00AF1E4F"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AF1E4F" w14:paraId="4D8681AC" w14:textId="77777777" w:rsidTr="006062EB">
      <w:trPr>
        <w:cantSplit/>
        <w:trHeight w:hRule="exact" w:val="907"/>
      </w:trPr>
      <w:tc>
        <w:tcPr>
          <w:tcW w:w="7943" w:type="dxa"/>
          <w:vAlign w:val="bottom"/>
        </w:tcPr>
        <w:p w14:paraId="0D71C81F" w14:textId="77777777" w:rsidR="00AF1E4F" w:rsidRPr="00B91EA0" w:rsidRDefault="00AF1E4F"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3B6A31">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3B6A31">
            <w:rPr>
              <w:b/>
              <w:noProof/>
              <w:color w:val="522380" w:themeColor="accent1"/>
              <w:sz w:val="22"/>
            </w:rPr>
            <w:t>4</w:t>
          </w:r>
          <w:r>
            <w:rPr>
              <w:b/>
              <w:noProof/>
              <w:color w:val="522380" w:themeColor="accent1"/>
              <w:sz w:val="22"/>
            </w:rPr>
            <w:fldChar w:fldCharType="end"/>
          </w:r>
        </w:p>
      </w:tc>
      <w:tc>
        <w:tcPr>
          <w:tcW w:w="2375" w:type="dxa"/>
          <w:vAlign w:val="bottom"/>
        </w:tcPr>
        <w:p w14:paraId="611714D1" w14:textId="77777777" w:rsidR="00AF1E4F" w:rsidRPr="00B91EA0" w:rsidRDefault="00AF1E4F" w:rsidP="006062EB">
          <w:pPr>
            <w:pStyle w:val="Footer"/>
            <w:jc w:val="right"/>
            <w:rPr>
              <w:b/>
              <w:color w:val="522380" w:themeColor="accent1"/>
              <w:sz w:val="22"/>
            </w:rPr>
          </w:pPr>
          <w:r>
            <w:rPr>
              <w:b/>
              <w:noProof/>
              <w:color w:val="522380" w:themeColor="accent1"/>
              <w:sz w:val="22"/>
              <w:lang w:eastAsia="en-GB"/>
            </w:rPr>
            <w:drawing>
              <wp:inline distT="0" distB="0" distL="0" distR="0" wp14:anchorId="6D05F12D" wp14:editId="180243FC">
                <wp:extent cx="113017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C2984F7" w14:textId="77777777" w:rsidR="00AF1E4F" w:rsidRDefault="00AF1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AF1E4F" w14:paraId="5F048FDC" w14:textId="77777777" w:rsidTr="009663E5">
      <w:trPr>
        <w:cantSplit/>
        <w:trHeight w:hRule="exact" w:val="907"/>
      </w:trPr>
      <w:tc>
        <w:tcPr>
          <w:tcW w:w="7943" w:type="dxa"/>
          <w:vAlign w:val="bottom"/>
        </w:tcPr>
        <w:p w14:paraId="5CCF1E10" w14:textId="77777777" w:rsidR="00AF1E4F" w:rsidRPr="00B91EA0" w:rsidRDefault="00AF1E4F"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3B6A31">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3B6A31">
            <w:rPr>
              <w:b/>
              <w:noProof/>
              <w:color w:val="522380" w:themeColor="accent1"/>
              <w:sz w:val="22"/>
            </w:rPr>
            <w:t>4</w:t>
          </w:r>
          <w:r>
            <w:rPr>
              <w:b/>
              <w:noProof/>
              <w:color w:val="522380" w:themeColor="accent1"/>
              <w:sz w:val="22"/>
            </w:rPr>
            <w:fldChar w:fldCharType="end"/>
          </w:r>
        </w:p>
      </w:tc>
      <w:tc>
        <w:tcPr>
          <w:tcW w:w="2375" w:type="dxa"/>
          <w:vAlign w:val="bottom"/>
        </w:tcPr>
        <w:p w14:paraId="10C1346A" w14:textId="77777777" w:rsidR="00AF1E4F" w:rsidRPr="00B91EA0" w:rsidRDefault="00AF1E4F" w:rsidP="009663E5">
          <w:pPr>
            <w:pStyle w:val="Footer"/>
            <w:jc w:val="right"/>
            <w:rPr>
              <w:b/>
              <w:color w:val="522380" w:themeColor="accent1"/>
              <w:sz w:val="22"/>
            </w:rPr>
          </w:pPr>
          <w:r>
            <w:rPr>
              <w:b/>
              <w:noProof/>
              <w:color w:val="522380" w:themeColor="accent1"/>
              <w:sz w:val="22"/>
              <w:lang w:eastAsia="en-GB"/>
            </w:rPr>
            <w:drawing>
              <wp:inline distT="0" distB="0" distL="0" distR="0" wp14:anchorId="29F6DF1C" wp14:editId="7ED9F05D">
                <wp:extent cx="113017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4D0FE475" w14:textId="77777777" w:rsidR="00AF1E4F" w:rsidRDefault="00AF1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DC6B" w14:textId="77777777" w:rsidR="00AF1E4F" w:rsidRPr="002C64EC" w:rsidRDefault="00AF1E4F" w:rsidP="00BA3ADD">
      <w:pPr>
        <w:spacing w:line="240" w:lineRule="auto"/>
        <w:rPr>
          <w:color w:val="E1DCEB" w:themeColor="accent2"/>
        </w:rPr>
      </w:pPr>
      <w:r w:rsidRPr="002C64EC">
        <w:rPr>
          <w:color w:val="E1DCEB" w:themeColor="accent2"/>
        </w:rPr>
        <w:separator/>
      </w:r>
    </w:p>
  </w:footnote>
  <w:footnote w:type="continuationSeparator" w:id="0">
    <w:p w14:paraId="1FA86A1D" w14:textId="77777777" w:rsidR="00AF1E4F" w:rsidRPr="002C64EC" w:rsidRDefault="00AF1E4F" w:rsidP="00BA3ADD">
      <w:pPr>
        <w:spacing w:line="240" w:lineRule="auto"/>
        <w:rPr>
          <w:color w:val="E1DCEB" w:themeColor="accent2"/>
        </w:rPr>
      </w:pPr>
      <w:r w:rsidRPr="002C64EC">
        <w:rPr>
          <w:color w:val="E1DCEB" w:themeColor="accent2"/>
        </w:rPr>
        <w:continuationSeparator/>
      </w:r>
    </w:p>
  </w:footnote>
  <w:footnote w:type="continuationNotice" w:id="1">
    <w:p w14:paraId="427AB89F" w14:textId="77777777" w:rsidR="00AF1E4F" w:rsidRDefault="00AF1E4F">
      <w:pPr>
        <w:spacing w:line="240" w:lineRule="auto"/>
      </w:pPr>
    </w:p>
  </w:footnote>
  <w:footnote w:id="2">
    <w:p w14:paraId="711FFFB3" w14:textId="3B2B3BD5" w:rsidR="00AF1E4F" w:rsidRDefault="00AF1E4F">
      <w:pPr>
        <w:pStyle w:val="FootnoteText"/>
      </w:pPr>
      <w:r>
        <w:rPr>
          <w:rStyle w:val="FootnoteReference"/>
        </w:rPr>
        <w:footnoteRef/>
      </w:r>
      <w:r>
        <w:t xml:space="preserve"> 29 out of 33 London boroughs responded to the survey</w:t>
      </w:r>
    </w:p>
  </w:footnote>
  <w:footnote w:id="3">
    <w:p w14:paraId="4CDA0FB0" w14:textId="77777777" w:rsidR="00AF1E4F" w:rsidRPr="00DA7526" w:rsidRDefault="00AF1E4F" w:rsidP="00DA7526">
      <w:pPr>
        <w:pStyle w:val="FootnoteText"/>
        <w:spacing w:before="0"/>
        <w:rPr>
          <w:sz w:val="16"/>
          <w:szCs w:val="16"/>
        </w:rPr>
      </w:pPr>
      <w:r w:rsidRPr="00DA7526">
        <w:rPr>
          <w:rStyle w:val="FootnoteReference"/>
          <w:sz w:val="16"/>
          <w:szCs w:val="16"/>
        </w:rPr>
        <w:footnoteRef/>
      </w:r>
      <w:r w:rsidRPr="00DA7526">
        <w:rPr>
          <w:sz w:val="16"/>
          <w:szCs w:val="16"/>
        </w:rPr>
        <w:t xml:space="preserve"> </w:t>
      </w:r>
      <w:hyperlink r:id="rId1" w:history="1">
        <w:r w:rsidRPr="00DA7526">
          <w:rPr>
            <w:rStyle w:val="Hyperlink"/>
            <w:sz w:val="16"/>
            <w:szCs w:val="16"/>
          </w:rPr>
          <w:t>https://www.aelp.org.uk/file/?id=2808&amp;type=item</w:t>
        </w:r>
      </w:hyperlink>
      <w:r w:rsidRPr="00DA7526">
        <w:rPr>
          <w:sz w:val="16"/>
          <w:szCs w:val="16"/>
        </w:rPr>
        <w:t xml:space="preserve"> </w:t>
      </w:r>
    </w:p>
  </w:footnote>
  <w:footnote w:id="4">
    <w:p w14:paraId="2B8EFCB3" w14:textId="77777777" w:rsidR="00AF1E4F" w:rsidRPr="00DA7526" w:rsidRDefault="00AF1E4F" w:rsidP="00DA7526">
      <w:pPr>
        <w:pStyle w:val="FootnoteText"/>
        <w:spacing w:before="0"/>
        <w:rPr>
          <w:sz w:val="16"/>
          <w:szCs w:val="16"/>
        </w:rPr>
      </w:pPr>
      <w:r w:rsidRPr="00DA7526">
        <w:rPr>
          <w:rStyle w:val="FootnoteReference"/>
          <w:sz w:val="16"/>
          <w:szCs w:val="16"/>
        </w:rPr>
        <w:footnoteRef/>
      </w:r>
      <w:r w:rsidRPr="00DA7526">
        <w:rPr>
          <w:sz w:val="16"/>
          <w:szCs w:val="16"/>
        </w:rPr>
        <w:t xml:space="preserve"> </w:t>
      </w:r>
      <w:hyperlink r:id="rId2" w:history="1">
        <w:r w:rsidRPr="00DA7526">
          <w:rPr>
            <w:rStyle w:val="Hyperlink"/>
            <w:sz w:val="16"/>
            <w:szCs w:val="16"/>
          </w:rPr>
          <w:t>https://www.demos.co.uk/files/476_1504_CoA_WEB_2_.pdf?1425489134</w:t>
        </w:r>
      </w:hyperlink>
      <w:r w:rsidRPr="00DA7526">
        <w:rPr>
          <w:sz w:val="16"/>
          <w:szCs w:val="16"/>
        </w:rPr>
        <w:t xml:space="preserve"> </w:t>
      </w:r>
    </w:p>
  </w:footnote>
  <w:footnote w:id="5">
    <w:p w14:paraId="278132E0" w14:textId="77777777" w:rsidR="00AF1E4F" w:rsidRPr="00C00E18" w:rsidRDefault="00AF1E4F" w:rsidP="00DA7526">
      <w:pPr>
        <w:pStyle w:val="FootnoteText"/>
        <w:spacing w:before="0"/>
        <w:ind w:left="0" w:firstLine="0"/>
        <w:rPr>
          <w:sz w:val="16"/>
          <w:szCs w:val="16"/>
        </w:rPr>
      </w:pPr>
      <w:r w:rsidRPr="00DA7526">
        <w:rPr>
          <w:rStyle w:val="FootnoteReference"/>
          <w:sz w:val="16"/>
          <w:szCs w:val="16"/>
        </w:rPr>
        <w:footnoteRef/>
      </w:r>
      <w:r w:rsidRPr="00DA7526">
        <w:rPr>
          <w:sz w:val="16"/>
          <w:szCs w:val="16"/>
        </w:rPr>
        <w:t xml:space="preserve"> </w:t>
      </w:r>
      <w:hyperlink r:id="rId3" w:history="1">
        <w:r w:rsidRPr="00DA7526">
          <w:rPr>
            <w:rStyle w:val="Hyperlink"/>
            <w:sz w:val="16"/>
            <w:szCs w:val="16"/>
          </w:rPr>
          <w:t>http://www.nationwide.co.uk/about/media-centre-and-specialist-areas/media-centre/press-releases/archive/2016/3/9-parents-still-prefer-their-children-to-attend-university-despite-benefits-of-apprenticeships</w:t>
        </w:r>
      </w:hyperlink>
      <w:r w:rsidRPr="00DA7526">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AF1E4F" w14:paraId="4B086CBE" w14:textId="77777777" w:rsidTr="00E253CF">
      <w:trPr>
        <w:cantSplit/>
        <w:trHeight w:val="624"/>
      </w:trPr>
      <w:tc>
        <w:tcPr>
          <w:tcW w:w="10148" w:type="dxa"/>
          <w:gridSpan w:val="2"/>
          <w:shd w:val="clear" w:color="auto" w:fill="522380" w:themeFill="accent1"/>
          <w:vAlign w:val="bottom"/>
        </w:tcPr>
        <w:p w14:paraId="1B9C0214" w14:textId="77777777" w:rsidR="00AF1E4F" w:rsidRPr="004F1C42" w:rsidRDefault="00AF1E4F"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3B6A31">
            <w:rPr>
              <w:noProof/>
              <w:color w:val="FFFFFF" w:themeColor="background1"/>
              <w:sz w:val="22"/>
            </w:rPr>
            <w:t>Wednesday 22 February 2017</w:t>
          </w:r>
          <w:r>
            <w:rPr>
              <w:color w:val="FFFFFF" w:themeColor="background1"/>
              <w:sz w:val="22"/>
            </w:rPr>
            <w:fldChar w:fldCharType="end"/>
          </w:r>
        </w:p>
      </w:tc>
    </w:tr>
    <w:tr w:rsidR="00AF1E4F" w14:paraId="6AE5CB4F" w14:textId="77777777" w:rsidTr="00554B6B">
      <w:trPr>
        <w:cantSplit/>
        <w:trHeight w:val="312"/>
      </w:trPr>
      <w:tc>
        <w:tcPr>
          <w:tcW w:w="8080" w:type="dxa"/>
          <w:vAlign w:val="bottom"/>
        </w:tcPr>
        <w:p w14:paraId="1D4086B3" w14:textId="77777777" w:rsidR="00AF1E4F" w:rsidRPr="005373FE" w:rsidRDefault="00AF1E4F"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3B6A31">
            <w:rPr>
              <w:b/>
              <w:noProof/>
              <w:color w:val="EC098D" w:themeColor="accent3"/>
              <w:sz w:val="24"/>
            </w:rPr>
            <w:t>Institute for Apprenticeships</w:t>
          </w:r>
          <w:r w:rsidRPr="005373FE">
            <w:rPr>
              <w:b/>
              <w:color w:val="EC098D" w:themeColor="accent3"/>
              <w:sz w:val="24"/>
            </w:rPr>
            <w:fldChar w:fldCharType="end"/>
          </w:r>
        </w:p>
      </w:tc>
      <w:tc>
        <w:tcPr>
          <w:tcW w:w="2068" w:type="dxa"/>
          <w:vAlign w:val="bottom"/>
        </w:tcPr>
        <w:p w14:paraId="4F7C340E" w14:textId="77777777" w:rsidR="00AF1E4F" w:rsidRPr="005373FE" w:rsidRDefault="00AF1E4F" w:rsidP="005373FE">
          <w:pPr>
            <w:pStyle w:val="Header"/>
            <w:jc w:val="right"/>
            <w:rPr>
              <w:b/>
              <w:color w:val="522380" w:themeColor="accent1"/>
              <w:sz w:val="24"/>
            </w:rPr>
          </w:pPr>
          <w:r w:rsidRPr="005373FE">
            <w:rPr>
              <w:b/>
              <w:color w:val="522380" w:themeColor="accent1"/>
              <w:sz w:val="24"/>
            </w:rPr>
            <w:t>London Councils</w:t>
          </w:r>
        </w:p>
      </w:tc>
    </w:tr>
    <w:tr w:rsidR="00AF1E4F" w14:paraId="2B2828FB" w14:textId="77777777" w:rsidTr="009663E5">
      <w:trPr>
        <w:cantSplit/>
        <w:trHeight w:hRule="exact" w:val="567"/>
      </w:trPr>
      <w:tc>
        <w:tcPr>
          <w:tcW w:w="10148" w:type="dxa"/>
          <w:gridSpan w:val="2"/>
          <w:vAlign w:val="bottom"/>
        </w:tcPr>
        <w:p w14:paraId="0CB587D2" w14:textId="77777777" w:rsidR="00AF1E4F" w:rsidRPr="005373FE" w:rsidRDefault="00AF1E4F" w:rsidP="00C13F09">
          <w:pPr>
            <w:pStyle w:val="NoSpacing"/>
            <w:rPr>
              <w:color w:val="522380" w:themeColor="accent1"/>
            </w:rPr>
          </w:pPr>
        </w:p>
      </w:tc>
    </w:tr>
  </w:tbl>
  <w:p w14:paraId="3EB8E6AC" w14:textId="77777777" w:rsidR="00AF1E4F" w:rsidRDefault="00AF1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AF1E4F" w14:paraId="6CB67AE7" w14:textId="77777777" w:rsidTr="00E253CF">
      <w:trPr>
        <w:cantSplit/>
        <w:trHeight w:val="624"/>
      </w:trPr>
      <w:tc>
        <w:tcPr>
          <w:tcW w:w="10148" w:type="dxa"/>
          <w:gridSpan w:val="2"/>
          <w:shd w:val="clear" w:color="auto" w:fill="522380" w:themeFill="accent1"/>
          <w:vAlign w:val="bottom"/>
        </w:tcPr>
        <w:p w14:paraId="43E96AE4" w14:textId="77777777" w:rsidR="00AF1E4F" w:rsidRPr="004F1C42" w:rsidRDefault="00AF1E4F" w:rsidP="009663E5">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3B6A31">
            <w:rPr>
              <w:noProof/>
              <w:color w:val="FFFFFF" w:themeColor="background1"/>
              <w:sz w:val="22"/>
            </w:rPr>
            <w:t>Monday 27 February 2017</w:t>
          </w:r>
          <w:r>
            <w:rPr>
              <w:color w:val="FFFFFF" w:themeColor="background1"/>
              <w:sz w:val="22"/>
            </w:rPr>
            <w:fldChar w:fldCharType="end"/>
          </w:r>
        </w:p>
      </w:tc>
    </w:tr>
    <w:tr w:rsidR="00AF1E4F" w14:paraId="0C1A24FB" w14:textId="77777777" w:rsidTr="00514B1B">
      <w:trPr>
        <w:cantSplit/>
        <w:trHeight w:hRule="exact" w:val="312"/>
      </w:trPr>
      <w:tc>
        <w:tcPr>
          <w:tcW w:w="8080" w:type="dxa"/>
          <w:vAlign w:val="bottom"/>
        </w:tcPr>
        <w:p w14:paraId="2F95D419" w14:textId="77777777" w:rsidR="00AF1E4F" w:rsidRPr="005373FE" w:rsidRDefault="00AF1E4F" w:rsidP="009663E5">
          <w:pPr>
            <w:pStyle w:val="Header"/>
            <w:rPr>
              <w:b/>
              <w:color w:val="EC098D" w:themeColor="accent3"/>
              <w:sz w:val="24"/>
            </w:rPr>
          </w:pPr>
        </w:p>
      </w:tc>
      <w:tc>
        <w:tcPr>
          <w:tcW w:w="2063" w:type="dxa"/>
          <w:vAlign w:val="bottom"/>
        </w:tcPr>
        <w:p w14:paraId="21F69761" w14:textId="77777777" w:rsidR="00AF1E4F" w:rsidRPr="005373FE" w:rsidRDefault="00AF1E4F" w:rsidP="009663E5">
          <w:pPr>
            <w:pStyle w:val="Header"/>
            <w:jc w:val="right"/>
            <w:rPr>
              <w:b/>
              <w:color w:val="522380" w:themeColor="accent1"/>
              <w:sz w:val="24"/>
            </w:rPr>
          </w:pPr>
          <w:r w:rsidRPr="005373FE">
            <w:rPr>
              <w:b/>
              <w:color w:val="522380" w:themeColor="accent1"/>
              <w:sz w:val="24"/>
            </w:rPr>
            <w:t>London Councils</w:t>
          </w:r>
        </w:p>
      </w:tc>
    </w:tr>
  </w:tbl>
  <w:p w14:paraId="62096243" w14:textId="77777777" w:rsidR="00AF1E4F" w:rsidRDefault="00AF1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D"/>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6B75536"/>
    <w:multiLevelType w:val="hybridMultilevel"/>
    <w:tmpl w:val="A29CE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8448D8"/>
    <w:multiLevelType w:val="hybridMultilevel"/>
    <w:tmpl w:val="ADF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A1A4C"/>
    <w:multiLevelType w:val="hybridMultilevel"/>
    <w:tmpl w:val="F330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87B86"/>
    <w:multiLevelType w:val="multilevel"/>
    <w:tmpl w:val="33D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505D9"/>
    <w:multiLevelType w:val="hybridMultilevel"/>
    <w:tmpl w:val="068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53871"/>
    <w:multiLevelType w:val="hybridMultilevel"/>
    <w:tmpl w:val="FD70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1F478A"/>
    <w:multiLevelType w:val="hybridMultilevel"/>
    <w:tmpl w:val="6C22D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2A3AD2"/>
    <w:multiLevelType w:val="hybridMultilevel"/>
    <w:tmpl w:val="B66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81DC8"/>
    <w:multiLevelType w:val="hybridMultilevel"/>
    <w:tmpl w:val="923A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37983"/>
    <w:multiLevelType w:val="hybridMultilevel"/>
    <w:tmpl w:val="F81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3185A"/>
    <w:multiLevelType w:val="hybridMultilevel"/>
    <w:tmpl w:val="9342F542"/>
    <w:lvl w:ilvl="0" w:tplc="50ECE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E05A7"/>
    <w:multiLevelType w:val="hybridMultilevel"/>
    <w:tmpl w:val="F46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64A9E"/>
    <w:multiLevelType w:val="hybridMultilevel"/>
    <w:tmpl w:val="563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33AA2"/>
    <w:multiLevelType w:val="hybridMultilevel"/>
    <w:tmpl w:val="18C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D2136"/>
    <w:multiLevelType w:val="hybridMultilevel"/>
    <w:tmpl w:val="A3A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6339D"/>
    <w:multiLevelType w:val="hybridMultilevel"/>
    <w:tmpl w:val="27624D62"/>
    <w:lvl w:ilvl="0" w:tplc="337445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29328F"/>
    <w:multiLevelType w:val="hybridMultilevel"/>
    <w:tmpl w:val="A29EF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3F2DAD"/>
    <w:multiLevelType w:val="hybridMultilevel"/>
    <w:tmpl w:val="E092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nsid w:val="5183474C"/>
    <w:multiLevelType w:val="hybridMultilevel"/>
    <w:tmpl w:val="C0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3">
    <w:nsid w:val="57983945"/>
    <w:multiLevelType w:val="multilevel"/>
    <w:tmpl w:val="8C6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B1700A"/>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58602B46"/>
    <w:multiLevelType w:val="hybridMultilevel"/>
    <w:tmpl w:val="5C02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BD015B"/>
    <w:multiLevelType w:val="hybridMultilevel"/>
    <w:tmpl w:val="151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7C4EFF"/>
    <w:multiLevelType w:val="hybridMultilevel"/>
    <w:tmpl w:val="8D14A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EE4D8F"/>
    <w:multiLevelType w:val="hybridMultilevel"/>
    <w:tmpl w:val="42F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2F0F03"/>
    <w:multiLevelType w:val="hybridMultilevel"/>
    <w:tmpl w:val="25F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41B5"/>
    <w:multiLevelType w:val="hybridMultilevel"/>
    <w:tmpl w:val="DCC408A4"/>
    <w:lvl w:ilvl="0" w:tplc="DD0EEC34">
      <w:start w:val="1"/>
      <w:numFmt w:val="bullet"/>
      <w:lvlText w:val="–"/>
      <w:lvlJc w:val="left"/>
      <w:pPr>
        <w:tabs>
          <w:tab w:val="num" w:pos="720"/>
        </w:tabs>
        <w:ind w:left="720" w:hanging="360"/>
      </w:pPr>
      <w:rPr>
        <w:rFonts w:ascii="Times New Roman" w:hAnsi="Times New Roman" w:hint="default"/>
      </w:rPr>
    </w:lvl>
    <w:lvl w:ilvl="1" w:tplc="09788342">
      <w:start w:val="1"/>
      <w:numFmt w:val="bullet"/>
      <w:lvlText w:val="–"/>
      <w:lvlJc w:val="left"/>
      <w:pPr>
        <w:tabs>
          <w:tab w:val="num" w:pos="1440"/>
        </w:tabs>
        <w:ind w:left="1440" w:hanging="360"/>
      </w:pPr>
      <w:rPr>
        <w:rFonts w:ascii="Times New Roman" w:hAnsi="Times New Roman" w:hint="default"/>
      </w:rPr>
    </w:lvl>
    <w:lvl w:ilvl="2" w:tplc="15C2F8BA" w:tentative="1">
      <w:start w:val="1"/>
      <w:numFmt w:val="bullet"/>
      <w:lvlText w:val="–"/>
      <w:lvlJc w:val="left"/>
      <w:pPr>
        <w:tabs>
          <w:tab w:val="num" w:pos="2160"/>
        </w:tabs>
        <w:ind w:left="2160" w:hanging="360"/>
      </w:pPr>
      <w:rPr>
        <w:rFonts w:ascii="Times New Roman" w:hAnsi="Times New Roman" w:hint="default"/>
      </w:rPr>
    </w:lvl>
    <w:lvl w:ilvl="3" w:tplc="8D36C0EA" w:tentative="1">
      <w:start w:val="1"/>
      <w:numFmt w:val="bullet"/>
      <w:lvlText w:val="–"/>
      <w:lvlJc w:val="left"/>
      <w:pPr>
        <w:tabs>
          <w:tab w:val="num" w:pos="2880"/>
        </w:tabs>
        <w:ind w:left="2880" w:hanging="360"/>
      </w:pPr>
      <w:rPr>
        <w:rFonts w:ascii="Times New Roman" w:hAnsi="Times New Roman" w:hint="default"/>
      </w:rPr>
    </w:lvl>
    <w:lvl w:ilvl="4" w:tplc="8BF84D46" w:tentative="1">
      <w:start w:val="1"/>
      <w:numFmt w:val="bullet"/>
      <w:lvlText w:val="–"/>
      <w:lvlJc w:val="left"/>
      <w:pPr>
        <w:tabs>
          <w:tab w:val="num" w:pos="3600"/>
        </w:tabs>
        <w:ind w:left="3600" w:hanging="360"/>
      </w:pPr>
      <w:rPr>
        <w:rFonts w:ascii="Times New Roman" w:hAnsi="Times New Roman" w:hint="default"/>
      </w:rPr>
    </w:lvl>
    <w:lvl w:ilvl="5" w:tplc="0B4A823C" w:tentative="1">
      <w:start w:val="1"/>
      <w:numFmt w:val="bullet"/>
      <w:lvlText w:val="–"/>
      <w:lvlJc w:val="left"/>
      <w:pPr>
        <w:tabs>
          <w:tab w:val="num" w:pos="4320"/>
        </w:tabs>
        <w:ind w:left="4320" w:hanging="360"/>
      </w:pPr>
      <w:rPr>
        <w:rFonts w:ascii="Times New Roman" w:hAnsi="Times New Roman" w:hint="default"/>
      </w:rPr>
    </w:lvl>
    <w:lvl w:ilvl="6" w:tplc="B47EC5C4" w:tentative="1">
      <w:start w:val="1"/>
      <w:numFmt w:val="bullet"/>
      <w:lvlText w:val="–"/>
      <w:lvlJc w:val="left"/>
      <w:pPr>
        <w:tabs>
          <w:tab w:val="num" w:pos="5040"/>
        </w:tabs>
        <w:ind w:left="5040" w:hanging="360"/>
      </w:pPr>
      <w:rPr>
        <w:rFonts w:ascii="Times New Roman" w:hAnsi="Times New Roman" w:hint="default"/>
      </w:rPr>
    </w:lvl>
    <w:lvl w:ilvl="7" w:tplc="AB2AF95E" w:tentative="1">
      <w:start w:val="1"/>
      <w:numFmt w:val="bullet"/>
      <w:lvlText w:val="–"/>
      <w:lvlJc w:val="left"/>
      <w:pPr>
        <w:tabs>
          <w:tab w:val="num" w:pos="5760"/>
        </w:tabs>
        <w:ind w:left="5760" w:hanging="360"/>
      </w:pPr>
      <w:rPr>
        <w:rFonts w:ascii="Times New Roman" w:hAnsi="Times New Roman" w:hint="default"/>
      </w:rPr>
    </w:lvl>
    <w:lvl w:ilvl="8" w:tplc="578C02F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2">
    <w:nsid w:val="742214A1"/>
    <w:multiLevelType w:val="hybridMultilevel"/>
    <w:tmpl w:val="20A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47753C"/>
    <w:multiLevelType w:val="hybridMultilevel"/>
    <w:tmpl w:val="93CE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93340F"/>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778C1775"/>
    <w:multiLevelType w:val="multilevel"/>
    <w:tmpl w:val="D2FA3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7D0A4A52"/>
    <w:multiLevelType w:val="hybridMultilevel"/>
    <w:tmpl w:val="CA5CDA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3F3E3B"/>
    <w:multiLevelType w:val="hybridMultilevel"/>
    <w:tmpl w:val="177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1"/>
  </w:num>
  <w:num w:numId="4">
    <w:abstractNumId w:val="7"/>
  </w:num>
  <w:num w:numId="5">
    <w:abstractNumId w:val="22"/>
  </w:num>
  <w:num w:numId="6">
    <w:abstractNumId w:val="14"/>
  </w:num>
  <w:num w:numId="7">
    <w:abstractNumId w:val="26"/>
  </w:num>
  <w:num w:numId="8">
    <w:abstractNumId w:val="11"/>
  </w:num>
  <w:num w:numId="9">
    <w:abstractNumId w:val="9"/>
  </w:num>
  <w:num w:numId="10">
    <w:abstractNumId w:val="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0"/>
  </w:num>
  <w:num w:numId="15">
    <w:abstractNumId w:val="10"/>
  </w:num>
  <w:num w:numId="16">
    <w:abstractNumId w:val="1"/>
  </w:num>
  <w:num w:numId="17">
    <w:abstractNumId w:val="1"/>
  </w:num>
  <w:num w:numId="18">
    <w:abstractNumId w:val="28"/>
  </w:num>
  <w:num w:numId="19">
    <w:abstractNumId w:val="35"/>
  </w:num>
  <w:num w:numId="20">
    <w:abstractNumId w:val="38"/>
  </w:num>
  <w:num w:numId="21">
    <w:abstractNumId w:val="34"/>
  </w:num>
  <w:num w:numId="22">
    <w:abstractNumId w:val="29"/>
  </w:num>
  <w:num w:numId="23">
    <w:abstractNumId w:val="3"/>
  </w:num>
  <w:num w:numId="24">
    <w:abstractNumId w:val="23"/>
  </w:num>
  <w:num w:numId="25">
    <w:abstractNumId w:val="15"/>
  </w:num>
  <w:num w:numId="26">
    <w:abstractNumId w:val="12"/>
  </w:num>
  <w:num w:numId="27">
    <w:abstractNumId w:val="13"/>
  </w:num>
  <w:num w:numId="28">
    <w:abstractNumId w:val="19"/>
  </w:num>
  <w:num w:numId="29">
    <w:abstractNumId w:val="18"/>
  </w:num>
  <w:num w:numId="30">
    <w:abstractNumId w:val="32"/>
  </w:num>
  <w:num w:numId="31">
    <w:abstractNumId w:val="16"/>
  </w:num>
  <w:num w:numId="32">
    <w:abstractNumId w:val="8"/>
  </w:num>
  <w:num w:numId="33">
    <w:abstractNumId w:val="33"/>
  </w:num>
  <w:num w:numId="34">
    <w:abstractNumId w:val="25"/>
  </w:num>
  <w:num w:numId="35">
    <w:abstractNumId w:val="27"/>
  </w:num>
  <w:num w:numId="36">
    <w:abstractNumId w:val="37"/>
  </w:num>
  <w:num w:numId="37">
    <w:abstractNumId w:val="4"/>
  </w:num>
  <w:num w:numId="38">
    <w:abstractNumId w:val="6"/>
  </w:num>
  <w:num w:numId="39">
    <w:abstractNumId w:val="21"/>
  </w:num>
  <w:num w:numId="40">
    <w:abstractNumId w:val="30"/>
  </w:num>
  <w:num w:numId="41">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lande Burgess">
    <w15:presenceInfo w15:providerId="Windows Live" w15:userId="08a1220c5002a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1714"/>
    <w:rsid w:val="00004A8A"/>
    <w:rsid w:val="00005A68"/>
    <w:rsid w:val="00006745"/>
    <w:rsid w:val="00007D97"/>
    <w:rsid w:val="0002522A"/>
    <w:rsid w:val="00026BEF"/>
    <w:rsid w:val="0004067C"/>
    <w:rsid w:val="0004144B"/>
    <w:rsid w:val="0004188F"/>
    <w:rsid w:val="000436A0"/>
    <w:rsid w:val="00045A24"/>
    <w:rsid w:val="00046970"/>
    <w:rsid w:val="00053C0D"/>
    <w:rsid w:val="000615F6"/>
    <w:rsid w:val="00062A54"/>
    <w:rsid w:val="0006457A"/>
    <w:rsid w:val="00065E35"/>
    <w:rsid w:val="00075B43"/>
    <w:rsid w:val="00090871"/>
    <w:rsid w:val="00090B9D"/>
    <w:rsid w:val="00091279"/>
    <w:rsid w:val="00096B2C"/>
    <w:rsid w:val="00096CAE"/>
    <w:rsid w:val="000A2F2F"/>
    <w:rsid w:val="000A3BAB"/>
    <w:rsid w:val="000B03B1"/>
    <w:rsid w:val="000B3DFB"/>
    <w:rsid w:val="000B4FA1"/>
    <w:rsid w:val="000B6410"/>
    <w:rsid w:val="000B6434"/>
    <w:rsid w:val="000C2625"/>
    <w:rsid w:val="000D4280"/>
    <w:rsid w:val="000D5BEB"/>
    <w:rsid w:val="000D5C83"/>
    <w:rsid w:val="000E2BA3"/>
    <w:rsid w:val="000E4D92"/>
    <w:rsid w:val="000E5125"/>
    <w:rsid w:val="000F0B51"/>
    <w:rsid w:val="000F1B25"/>
    <w:rsid w:val="000F4487"/>
    <w:rsid w:val="00114E02"/>
    <w:rsid w:val="00117998"/>
    <w:rsid w:val="00134DCC"/>
    <w:rsid w:val="0013598A"/>
    <w:rsid w:val="0014146A"/>
    <w:rsid w:val="00144483"/>
    <w:rsid w:val="00145D05"/>
    <w:rsid w:val="00151A5E"/>
    <w:rsid w:val="00152301"/>
    <w:rsid w:val="00154D1E"/>
    <w:rsid w:val="00155632"/>
    <w:rsid w:val="001605CB"/>
    <w:rsid w:val="0016210E"/>
    <w:rsid w:val="00163CF2"/>
    <w:rsid w:val="00166896"/>
    <w:rsid w:val="00175F65"/>
    <w:rsid w:val="001966F3"/>
    <w:rsid w:val="00196B98"/>
    <w:rsid w:val="001A2E52"/>
    <w:rsid w:val="001A51F3"/>
    <w:rsid w:val="001A6534"/>
    <w:rsid w:val="001B292F"/>
    <w:rsid w:val="001B37CB"/>
    <w:rsid w:val="001C088F"/>
    <w:rsid w:val="001C2C97"/>
    <w:rsid w:val="001C3D67"/>
    <w:rsid w:val="001C4302"/>
    <w:rsid w:val="001D01FC"/>
    <w:rsid w:val="001D0657"/>
    <w:rsid w:val="001D11E1"/>
    <w:rsid w:val="001D2182"/>
    <w:rsid w:val="001D45C3"/>
    <w:rsid w:val="001D5F5A"/>
    <w:rsid w:val="001D6DED"/>
    <w:rsid w:val="001E19E7"/>
    <w:rsid w:val="001E29E2"/>
    <w:rsid w:val="001F141E"/>
    <w:rsid w:val="001F1A5E"/>
    <w:rsid w:val="001F38AE"/>
    <w:rsid w:val="001F5A79"/>
    <w:rsid w:val="001F5E3A"/>
    <w:rsid w:val="001F662D"/>
    <w:rsid w:val="00211160"/>
    <w:rsid w:val="002129FD"/>
    <w:rsid w:val="0021493E"/>
    <w:rsid w:val="00214BAA"/>
    <w:rsid w:val="00214C7F"/>
    <w:rsid w:val="00215D21"/>
    <w:rsid w:val="002215E0"/>
    <w:rsid w:val="00225EC2"/>
    <w:rsid w:val="0022778A"/>
    <w:rsid w:val="00227FF3"/>
    <w:rsid w:val="00232A3F"/>
    <w:rsid w:val="00234FDD"/>
    <w:rsid w:val="00244200"/>
    <w:rsid w:val="00246075"/>
    <w:rsid w:val="00253ABA"/>
    <w:rsid w:val="00260B8A"/>
    <w:rsid w:val="0026119E"/>
    <w:rsid w:val="00267081"/>
    <w:rsid w:val="0027112D"/>
    <w:rsid w:val="00271513"/>
    <w:rsid w:val="00274C4E"/>
    <w:rsid w:val="00277139"/>
    <w:rsid w:val="0027754F"/>
    <w:rsid w:val="00280B0C"/>
    <w:rsid w:val="002839CE"/>
    <w:rsid w:val="00290A28"/>
    <w:rsid w:val="002A3188"/>
    <w:rsid w:val="002A47D9"/>
    <w:rsid w:val="002C4496"/>
    <w:rsid w:val="002C64EC"/>
    <w:rsid w:val="002C763A"/>
    <w:rsid w:val="002D1E75"/>
    <w:rsid w:val="002D46EA"/>
    <w:rsid w:val="002D52B4"/>
    <w:rsid w:val="002E7A45"/>
    <w:rsid w:val="002F0E5A"/>
    <w:rsid w:val="002F3CC9"/>
    <w:rsid w:val="0030062C"/>
    <w:rsid w:val="003047F0"/>
    <w:rsid w:val="00310E7E"/>
    <w:rsid w:val="00315227"/>
    <w:rsid w:val="0032114A"/>
    <w:rsid w:val="00326FF5"/>
    <w:rsid w:val="00327CB8"/>
    <w:rsid w:val="0034003C"/>
    <w:rsid w:val="00340358"/>
    <w:rsid w:val="00347B7E"/>
    <w:rsid w:val="00347E03"/>
    <w:rsid w:val="003511CF"/>
    <w:rsid w:val="003526B1"/>
    <w:rsid w:val="00352E15"/>
    <w:rsid w:val="0035486E"/>
    <w:rsid w:val="00356FD1"/>
    <w:rsid w:val="00361E83"/>
    <w:rsid w:val="00367F1D"/>
    <w:rsid w:val="00371FEE"/>
    <w:rsid w:val="003747C5"/>
    <w:rsid w:val="003750CF"/>
    <w:rsid w:val="00380BF9"/>
    <w:rsid w:val="003876CA"/>
    <w:rsid w:val="00392245"/>
    <w:rsid w:val="00397E5B"/>
    <w:rsid w:val="003A09D2"/>
    <w:rsid w:val="003B1AA4"/>
    <w:rsid w:val="003B27FE"/>
    <w:rsid w:val="003B6A31"/>
    <w:rsid w:val="003C656B"/>
    <w:rsid w:val="003D59BA"/>
    <w:rsid w:val="003E1B69"/>
    <w:rsid w:val="003F7EE7"/>
    <w:rsid w:val="00402D68"/>
    <w:rsid w:val="0041072E"/>
    <w:rsid w:val="00414E24"/>
    <w:rsid w:val="00415F4F"/>
    <w:rsid w:val="0041621E"/>
    <w:rsid w:val="00422E95"/>
    <w:rsid w:val="00430B03"/>
    <w:rsid w:val="00432661"/>
    <w:rsid w:val="00433360"/>
    <w:rsid w:val="00443780"/>
    <w:rsid w:val="0044453C"/>
    <w:rsid w:val="00445415"/>
    <w:rsid w:val="00446EBE"/>
    <w:rsid w:val="00461745"/>
    <w:rsid w:val="004666DD"/>
    <w:rsid w:val="0047543F"/>
    <w:rsid w:val="0047670C"/>
    <w:rsid w:val="00481913"/>
    <w:rsid w:val="004832C2"/>
    <w:rsid w:val="0048351F"/>
    <w:rsid w:val="004855A7"/>
    <w:rsid w:val="00485B13"/>
    <w:rsid w:val="00494844"/>
    <w:rsid w:val="004A0768"/>
    <w:rsid w:val="004B1A8A"/>
    <w:rsid w:val="004B5CE4"/>
    <w:rsid w:val="004C441A"/>
    <w:rsid w:val="004C49C9"/>
    <w:rsid w:val="004D018B"/>
    <w:rsid w:val="004E2AED"/>
    <w:rsid w:val="004E4550"/>
    <w:rsid w:val="004F1C42"/>
    <w:rsid w:val="004F2279"/>
    <w:rsid w:val="004F39E5"/>
    <w:rsid w:val="004F4E59"/>
    <w:rsid w:val="005002D0"/>
    <w:rsid w:val="00504F62"/>
    <w:rsid w:val="00513F2C"/>
    <w:rsid w:val="00514B1B"/>
    <w:rsid w:val="00517593"/>
    <w:rsid w:val="005229CC"/>
    <w:rsid w:val="00526D74"/>
    <w:rsid w:val="00531AC2"/>
    <w:rsid w:val="00533AF8"/>
    <w:rsid w:val="005373FE"/>
    <w:rsid w:val="005418AC"/>
    <w:rsid w:val="00545671"/>
    <w:rsid w:val="00554B6B"/>
    <w:rsid w:val="005567DA"/>
    <w:rsid w:val="00564544"/>
    <w:rsid w:val="00566077"/>
    <w:rsid w:val="005708E6"/>
    <w:rsid w:val="00571FBE"/>
    <w:rsid w:val="00575414"/>
    <w:rsid w:val="00577609"/>
    <w:rsid w:val="00592A10"/>
    <w:rsid w:val="00593F44"/>
    <w:rsid w:val="0059677B"/>
    <w:rsid w:val="005A155B"/>
    <w:rsid w:val="005A3D79"/>
    <w:rsid w:val="005A43C1"/>
    <w:rsid w:val="005A7BA6"/>
    <w:rsid w:val="005B1A55"/>
    <w:rsid w:val="005B52F9"/>
    <w:rsid w:val="005C4347"/>
    <w:rsid w:val="005C6304"/>
    <w:rsid w:val="005E20C1"/>
    <w:rsid w:val="005E3DBB"/>
    <w:rsid w:val="005E4160"/>
    <w:rsid w:val="005F0C68"/>
    <w:rsid w:val="005F36A3"/>
    <w:rsid w:val="005F419F"/>
    <w:rsid w:val="005F47EA"/>
    <w:rsid w:val="006062EB"/>
    <w:rsid w:val="006247E2"/>
    <w:rsid w:val="00635355"/>
    <w:rsid w:val="00637FB9"/>
    <w:rsid w:val="00641681"/>
    <w:rsid w:val="00644CAE"/>
    <w:rsid w:val="006511BB"/>
    <w:rsid w:val="00652555"/>
    <w:rsid w:val="00656F4A"/>
    <w:rsid w:val="006604F9"/>
    <w:rsid w:val="00665601"/>
    <w:rsid w:val="00667AF0"/>
    <w:rsid w:val="006727CB"/>
    <w:rsid w:val="00673813"/>
    <w:rsid w:val="006769B3"/>
    <w:rsid w:val="00685B85"/>
    <w:rsid w:val="006906A6"/>
    <w:rsid w:val="00692EB4"/>
    <w:rsid w:val="006940D4"/>
    <w:rsid w:val="00694DDE"/>
    <w:rsid w:val="00695326"/>
    <w:rsid w:val="0069789A"/>
    <w:rsid w:val="006A19FC"/>
    <w:rsid w:val="006A282E"/>
    <w:rsid w:val="006A76DE"/>
    <w:rsid w:val="006B0242"/>
    <w:rsid w:val="006B30F4"/>
    <w:rsid w:val="006B7CE3"/>
    <w:rsid w:val="006C43CB"/>
    <w:rsid w:val="006D0551"/>
    <w:rsid w:val="006D1AEB"/>
    <w:rsid w:val="006E0D02"/>
    <w:rsid w:val="006E4ABA"/>
    <w:rsid w:val="006E7AC8"/>
    <w:rsid w:val="006F6479"/>
    <w:rsid w:val="00706C89"/>
    <w:rsid w:val="0071207C"/>
    <w:rsid w:val="00712741"/>
    <w:rsid w:val="007249F1"/>
    <w:rsid w:val="00732213"/>
    <w:rsid w:val="00734733"/>
    <w:rsid w:val="00737683"/>
    <w:rsid w:val="00742739"/>
    <w:rsid w:val="00742AA4"/>
    <w:rsid w:val="0074373F"/>
    <w:rsid w:val="00744AA0"/>
    <w:rsid w:val="00744D36"/>
    <w:rsid w:val="00745716"/>
    <w:rsid w:val="00750AC3"/>
    <w:rsid w:val="0075498A"/>
    <w:rsid w:val="007557A5"/>
    <w:rsid w:val="00755B65"/>
    <w:rsid w:val="00756F93"/>
    <w:rsid w:val="00760B46"/>
    <w:rsid w:val="00761DB9"/>
    <w:rsid w:val="007629B5"/>
    <w:rsid w:val="007666BF"/>
    <w:rsid w:val="00772A1E"/>
    <w:rsid w:val="00774CD4"/>
    <w:rsid w:val="00781DC7"/>
    <w:rsid w:val="007837C1"/>
    <w:rsid w:val="00783E70"/>
    <w:rsid w:val="00785A1B"/>
    <w:rsid w:val="00786187"/>
    <w:rsid w:val="00791481"/>
    <w:rsid w:val="00793FB5"/>
    <w:rsid w:val="00794212"/>
    <w:rsid w:val="00797E69"/>
    <w:rsid w:val="007A0EC6"/>
    <w:rsid w:val="007A2F00"/>
    <w:rsid w:val="007A3930"/>
    <w:rsid w:val="007A3A60"/>
    <w:rsid w:val="007B2E3D"/>
    <w:rsid w:val="007B3315"/>
    <w:rsid w:val="007E3442"/>
    <w:rsid w:val="007F2CBD"/>
    <w:rsid w:val="007F7B12"/>
    <w:rsid w:val="00802DAB"/>
    <w:rsid w:val="0080511E"/>
    <w:rsid w:val="0080524D"/>
    <w:rsid w:val="00805495"/>
    <w:rsid w:val="008202B4"/>
    <w:rsid w:val="0082054E"/>
    <w:rsid w:val="0082211A"/>
    <w:rsid w:val="00825F48"/>
    <w:rsid w:val="0083244F"/>
    <w:rsid w:val="00834D2A"/>
    <w:rsid w:val="00835150"/>
    <w:rsid w:val="00850132"/>
    <w:rsid w:val="00851A49"/>
    <w:rsid w:val="00856A55"/>
    <w:rsid w:val="008605DF"/>
    <w:rsid w:val="00864FA5"/>
    <w:rsid w:val="0086553B"/>
    <w:rsid w:val="00873023"/>
    <w:rsid w:val="0088069B"/>
    <w:rsid w:val="00880CAA"/>
    <w:rsid w:val="008840E6"/>
    <w:rsid w:val="00887230"/>
    <w:rsid w:val="008906E3"/>
    <w:rsid w:val="00893BFC"/>
    <w:rsid w:val="008A7EAA"/>
    <w:rsid w:val="008B267E"/>
    <w:rsid w:val="008B29BA"/>
    <w:rsid w:val="008B54C5"/>
    <w:rsid w:val="008C19D4"/>
    <w:rsid w:val="008C37E1"/>
    <w:rsid w:val="008C449F"/>
    <w:rsid w:val="008C7916"/>
    <w:rsid w:val="008C793F"/>
    <w:rsid w:val="008D1A0E"/>
    <w:rsid w:val="008D59E3"/>
    <w:rsid w:val="008D7AD3"/>
    <w:rsid w:val="008E2E60"/>
    <w:rsid w:val="008F1716"/>
    <w:rsid w:val="008F6727"/>
    <w:rsid w:val="00902B47"/>
    <w:rsid w:val="00904E4A"/>
    <w:rsid w:val="00905149"/>
    <w:rsid w:val="0091659B"/>
    <w:rsid w:val="00917397"/>
    <w:rsid w:val="00917FDB"/>
    <w:rsid w:val="00924B55"/>
    <w:rsid w:val="0093069A"/>
    <w:rsid w:val="00933404"/>
    <w:rsid w:val="00933FB9"/>
    <w:rsid w:val="00941114"/>
    <w:rsid w:val="00951A54"/>
    <w:rsid w:val="009526F4"/>
    <w:rsid w:val="0095781C"/>
    <w:rsid w:val="00962C2F"/>
    <w:rsid w:val="009663E5"/>
    <w:rsid w:val="00967AFC"/>
    <w:rsid w:val="009706A7"/>
    <w:rsid w:val="00971775"/>
    <w:rsid w:val="00976476"/>
    <w:rsid w:val="009804F6"/>
    <w:rsid w:val="00981AE9"/>
    <w:rsid w:val="00983A7B"/>
    <w:rsid w:val="009917F0"/>
    <w:rsid w:val="00992C1B"/>
    <w:rsid w:val="00997D7C"/>
    <w:rsid w:val="009A2CC1"/>
    <w:rsid w:val="009A6EE6"/>
    <w:rsid w:val="009B6848"/>
    <w:rsid w:val="009B73EF"/>
    <w:rsid w:val="009C4349"/>
    <w:rsid w:val="009C73D2"/>
    <w:rsid w:val="009C7BC5"/>
    <w:rsid w:val="009D11F9"/>
    <w:rsid w:val="009D29BD"/>
    <w:rsid w:val="009D59A9"/>
    <w:rsid w:val="009D667D"/>
    <w:rsid w:val="009D7164"/>
    <w:rsid w:val="009F2CE9"/>
    <w:rsid w:val="00A025BC"/>
    <w:rsid w:val="00A03785"/>
    <w:rsid w:val="00A11B1B"/>
    <w:rsid w:val="00A14299"/>
    <w:rsid w:val="00A16040"/>
    <w:rsid w:val="00A226BC"/>
    <w:rsid w:val="00A25E5E"/>
    <w:rsid w:val="00A345C6"/>
    <w:rsid w:val="00A405F0"/>
    <w:rsid w:val="00A42CEC"/>
    <w:rsid w:val="00A46692"/>
    <w:rsid w:val="00A46D6E"/>
    <w:rsid w:val="00A62C53"/>
    <w:rsid w:val="00A64C94"/>
    <w:rsid w:val="00A7067A"/>
    <w:rsid w:val="00A74645"/>
    <w:rsid w:val="00A80252"/>
    <w:rsid w:val="00A81BF3"/>
    <w:rsid w:val="00A8485F"/>
    <w:rsid w:val="00A86A24"/>
    <w:rsid w:val="00A92C1F"/>
    <w:rsid w:val="00A932EE"/>
    <w:rsid w:val="00AA1AAA"/>
    <w:rsid w:val="00AA21BF"/>
    <w:rsid w:val="00AA769F"/>
    <w:rsid w:val="00AB6053"/>
    <w:rsid w:val="00AC30AA"/>
    <w:rsid w:val="00AC4090"/>
    <w:rsid w:val="00AC54D6"/>
    <w:rsid w:val="00AE10A7"/>
    <w:rsid w:val="00AE2FEC"/>
    <w:rsid w:val="00AE5EE3"/>
    <w:rsid w:val="00AF1E4F"/>
    <w:rsid w:val="00AF2B30"/>
    <w:rsid w:val="00AF3740"/>
    <w:rsid w:val="00B11175"/>
    <w:rsid w:val="00B22CB0"/>
    <w:rsid w:val="00B2442C"/>
    <w:rsid w:val="00B26E6A"/>
    <w:rsid w:val="00B30F14"/>
    <w:rsid w:val="00B34F65"/>
    <w:rsid w:val="00B3755D"/>
    <w:rsid w:val="00B40BCB"/>
    <w:rsid w:val="00B410C7"/>
    <w:rsid w:val="00B42F84"/>
    <w:rsid w:val="00B465C5"/>
    <w:rsid w:val="00B46A99"/>
    <w:rsid w:val="00B500CA"/>
    <w:rsid w:val="00B56E3C"/>
    <w:rsid w:val="00B62844"/>
    <w:rsid w:val="00B65896"/>
    <w:rsid w:val="00B65A1D"/>
    <w:rsid w:val="00B66C62"/>
    <w:rsid w:val="00B6709C"/>
    <w:rsid w:val="00B67BB9"/>
    <w:rsid w:val="00B67DAE"/>
    <w:rsid w:val="00B729E0"/>
    <w:rsid w:val="00B7359B"/>
    <w:rsid w:val="00B7412D"/>
    <w:rsid w:val="00B808C5"/>
    <w:rsid w:val="00B83729"/>
    <w:rsid w:val="00B83D7B"/>
    <w:rsid w:val="00B84B8B"/>
    <w:rsid w:val="00B856EB"/>
    <w:rsid w:val="00B90072"/>
    <w:rsid w:val="00B91EA0"/>
    <w:rsid w:val="00B9328E"/>
    <w:rsid w:val="00BA013B"/>
    <w:rsid w:val="00BA37DC"/>
    <w:rsid w:val="00BA3ADD"/>
    <w:rsid w:val="00BA65EB"/>
    <w:rsid w:val="00BB073D"/>
    <w:rsid w:val="00BB5A2A"/>
    <w:rsid w:val="00BB7E6F"/>
    <w:rsid w:val="00BC3E2E"/>
    <w:rsid w:val="00BD23B7"/>
    <w:rsid w:val="00BE6CFD"/>
    <w:rsid w:val="00BF2D2E"/>
    <w:rsid w:val="00C00E18"/>
    <w:rsid w:val="00C043A5"/>
    <w:rsid w:val="00C05CE2"/>
    <w:rsid w:val="00C06749"/>
    <w:rsid w:val="00C13F09"/>
    <w:rsid w:val="00C1404E"/>
    <w:rsid w:val="00C17B5E"/>
    <w:rsid w:val="00C21570"/>
    <w:rsid w:val="00C22656"/>
    <w:rsid w:val="00C232DD"/>
    <w:rsid w:val="00C31F59"/>
    <w:rsid w:val="00C34A42"/>
    <w:rsid w:val="00C36C83"/>
    <w:rsid w:val="00C36F58"/>
    <w:rsid w:val="00C426D9"/>
    <w:rsid w:val="00C47CDF"/>
    <w:rsid w:val="00C52167"/>
    <w:rsid w:val="00C60E0A"/>
    <w:rsid w:val="00C612D6"/>
    <w:rsid w:val="00C66625"/>
    <w:rsid w:val="00C70302"/>
    <w:rsid w:val="00C73F78"/>
    <w:rsid w:val="00C76CA2"/>
    <w:rsid w:val="00C77DFF"/>
    <w:rsid w:val="00C86BC7"/>
    <w:rsid w:val="00C94E0B"/>
    <w:rsid w:val="00C9717A"/>
    <w:rsid w:val="00C9790C"/>
    <w:rsid w:val="00C97D03"/>
    <w:rsid w:val="00CB3675"/>
    <w:rsid w:val="00CB389B"/>
    <w:rsid w:val="00CB54D1"/>
    <w:rsid w:val="00CC0F87"/>
    <w:rsid w:val="00CD19A8"/>
    <w:rsid w:val="00CD1F01"/>
    <w:rsid w:val="00CD418A"/>
    <w:rsid w:val="00CE2208"/>
    <w:rsid w:val="00CE36A1"/>
    <w:rsid w:val="00CF0962"/>
    <w:rsid w:val="00CF5C8B"/>
    <w:rsid w:val="00D01A06"/>
    <w:rsid w:val="00D04CDF"/>
    <w:rsid w:val="00D113DB"/>
    <w:rsid w:val="00D13BD3"/>
    <w:rsid w:val="00D15FEA"/>
    <w:rsid w:val="00D22920"/>
    <w:rsid w:val="00D23254"/>
    <w:rsid w:val="00D30243"/>
    <w:rsid w:val="00D33C66"/>
    <w:rsid w:val="00D40352"/>
    <w:rsid w:val="00D45835"/>
    <w:rsid w:val="00D47316"/>
    <w:rsid w:val="00D50428"/>
    <w:rsid w:val="00D60FAB"/>
    <w:rsid w:val="00D62688"/>
    <w:rsid w:val="00D6482A"/>
    <w:rsid w:val="00D64C39"/>
    <w:rsid w:val="00D71B39"/>
    <w:rsid w:val="00D73A35"/>
    <w:rsid w:val="00D809DE"/>
    <w:rsid w:val="00D82104"/>
    <w:rsid w:val="00D833CA"/>
    <w:rsid w:val="00D90E9F"/>
    <w:rsid w:val="00D92B02"/>
    <w:rsid w:val="00D966D3"/>
    <w:rsid w:val="00D97B27"/>
    <w:rsid w:val="00DA1032"/>
    <w:rsid w:val="00DA2D9F"/>
    <w:rsid w:val="00DA5EA2"/>
    <w:rsid w:val="00DA7526"/>
    <w:rsid w:val="00DB1903"/>
    <w:rsid w:val="00DB35A5"/>
    <w:rsid w:val="00DB4B61"/>
    <w:rsid w:val="00DC01B1"/>
    <w:rsid w:val="00DC106A"/>
    <w:rsid w:val="00DC2B83"/>
    <w:rsid w:val="00DC323D"/>
    <w:rsid w:val="00DD1370"/>
    <w:rsid w:val="00DD368C"/>
    <w:rsid w:val="00DD7BAB"/>
    <w:rsid w:val="00DE0CDB"/>
    <w:rsid w:val="00DE1FE2"/>
    <w:rsid w:val="00DF025E"/>
    <w:rsid w:val="00DF1D19"/>
    <w:rsid w:val="00DF6060"/>
    <w:rsid w:val="00DF6590"/>
    <w:rsid w:val="00E001C9"/>
    <w:rsid w:val="00E05E80"/>
    <w:rsid w:val="00E10DC8"/>
    <w:rsid w:val="00E12787"/>
    <w:rsid w:val="00E12C98"/>
    <w:rsid w:val="00E17A57"/>
    <w:rsid w:val="00E22734"/>
    <w:rsid w:val="00E23B0E"/>
    <w:rsid w:val="00E253CF"/>
    <w:rsid w:val="00E30DCF"/>
    <w:rsid w:val="00E34DCF"/>
    <w:rsid w:val="00E76D71"/>
    <w:rsid w:val="00E8079B"/>
    <w:rsid w:val="00E81E3F"/>
    <w:rsid w:val="00E84DD4"/>
    <w:rsid w:val="00E87974"/>
    <w:rsid w:val="00E904F5"/>
    <w:rsid w:val="00E93510"/>
    <w:rsid w:val="00E93DE1"/>
    <w:rsid w:val="00E96239"/>
    <w:rsid w:val="00EA1534"/>
    <w:rsid w:val="00EA414C"/>
    <w:rsid w:val="00EA438F"/>
    <w:rsid w:val="00EB21F3"/>
    <w:rsid w:val="00EB6D4F"/>
    <w:rsid w:val="00EC4C97"/>
    <w:rsid w:val="00ED1B3D"/>
    <w:rsid w:val="00ED5550"/>
    <w:rsid w:val="00EE5CAF"/>
    <w:rsid w:val="00EE64AA"/>
    <w:rsid w:val="00EF2E56"/>
    <w:rsid w:val="00EF34EA"/>
    <w:rsid w:val="00EF39D0"/>
    <w:rsid w:val="00F06093"/>
    <w:rsid w:val="00F07F16"/>
    <w:rsid w:val="00F1025C"/>
    <w:rsid w:val="00F114E9"/>
    <w:rsid w:val="00F15D3A"/>
    <w:rsid w:val="00F17E31"/>
    <w:rsid w:val="00F23067"/>
    <w:rsid w:val="00F258BB"/>
    <w:rsid w:val="00F271F8"/>
    <w:rsid w:val="00F32513"/>
    <w:rsid w:val="00F3305D"/>
    <w:rsid w:val="00F42DB3"/>
    <w:rsid w:val="00F435CC"/>
    <w:rsid w:val="00F44793"/>
    <w:rsid w:val="00F60A87"/>
    <w:rsid w:val="00F6141B"/>
    <w:rsid w:val="00F620A3"/>
    <w:rsid w:val="00F63459"/>
    <w:rsid w:val="00F66DEE"/>
    <w:rsid w:val="00F7162D"/>
    <w:rsid w:val="00F71E68"/>
    <w:rsid w:val="00F7786B"/>
    <w:rsid w:val="00F96FCE"/>
    <w:rsid w:val="00FA1AE4"/>
    <w:rsid w:val="00FA38E5"/>
    <w:rsid w:val="00FA3D4E"/>
    <w:rsid w:val="00FA6EA9"/>
    <w:rsid w:val="00FB432A"/>
    <w:rsid w:val="00FB7158"/>
    <w:rsid w:val="00FC1559"/>
    <w:rsid w:val="00FC5071"/>
    <w:rsid w:val="00FC63A4"/>
    <w:rsid w:val="00FD093E"/>
    <w:rsid w:val="00FD174D"/>
    <w:rsid w:val="00FE34D2"/>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24">
      <w:bodyDiv w:val="1"/>
      <w:marLeft w:val="0"/>
      <w:marRight w:val="0"/>
      <w:marTop w:val="0"/>
      <w:marBottom w:val="0"/>
      <w:divBdr>
        <w:top w:val="none" w:sz="0" w:space="0" w:color="auto"/>
        <w:left w:val="none" w:sz="0" w:space="0" w:color="auto"/>
        <w:bottom w:val="none" w:sz="0" w:space="0" w:color="auto"/>
        <w:right w:val="none" w:sz="0" w:space="0" w:color="auto"/>
      </w:divBdr>
    </w:div>
    <w:div w:id="142544802">
      <w:bodyDiv w:val="1"/>
      <w:marLeft w:val="0"/>
      <w:marRight w:val="0"/>
      <w:marTop w:val="0"/>
      <w:marBottom w:val="0"/>
      <w:divBdr>
        <w:top w:val="none" w:sz="0" w:space="0" w:color="auto"/>
        <w:left w:val="none" w:sz="0" w:space="0" w:color="auto"/>
        <w:bottom w:val="none" w:sz="0" w:space="0" w:color="auto"/>
        <w:right w:val="none" w:sz="0" w:space="0" w:color="auto"/>
      </w:divBdr>
    </w:div>
    <w:div w:id="182717872">
      <w:bodyDiv w:val="1"/>
      <w:marLeft w:val="0"/>
      <w:marRight w:val="0"/>
      <w:marTop w:val="0"/>
      <w:marBottom w:val="0"/>
      <w:divBdr>
        <w:top w:val="none" w:sz="0" w:space="0" w:color="auto"/>
        <w:left w:val="none" w:sz="0" w:space="0" w:color="auto"/>
        <w:bottom w:val="none" w:sz="0" w:space="0" w:color="auto"/>
        <w:right w:val="none" w:sz="0" w:space="0" w:color="auto"/>
      </w:divBdr>
    </w:div>
    <w:div w:id="205798071">
      <w:bodyDiv w:val="1"/>
      <w:marLeft w:val="0"/>
      <w:marRight w:val="0"/>
      <w:marTop w:val="0"/>
      <w:marBottom w:val="0"/>
      <w:divBdr>
        <w:top w:val="none" w:sz="0" w:space="0" w:color="auto"/>
        <w:left w:val="none" w:sz="0" w:space="0" w:color="auto"/>
        <w:bottom w:val="none" w:sz="0" w:space="0" w:color="auto"/>
        <w:right w:val="none" w:sz="0" w:space="0" w:color="auto"/>
      </w:divBdr>
    </w:div>
    <w:div w:id="208883860">
      <w:bodyDiv w:val="1"/>
      <w:marLeft w:val="0"/>
      <w:marRight w:val="0"/>
      <w:marTop w:val="0"/>
      <w:marBottom w:val="0"/>
      <w:divBdr>
        <w:top w:val="none" w:sz="0" w:space="0" w:color="auto"/>
        <w:left w:val="none" w:sz="0" w:space="0" w:color="auto"/>
        <w:bottom w:val="none" w:sz="0" w:space="0" w:color="auto"/>
        <w:right w:val="none" w:sz="0" w:space="0" w:color="auto"/>
      </w:divBdr>
      <w:divsChild>
        <w:div w:id="1971664563">
          <w:marLeft w:val="1166"/>
          <w:marRight w:val="0"/>
          <w:marTop w:val="0"/>
          <w:marBottom w:val="120"/>
          <w:divBdr>
            <w:top w:val="none" w:sz="0" w:space="0" w:color="auto"/>
            <w:left w:val="none" w:sz="0" w:space="0" w:color="auto"/>
            <w:bottom w:val="none" w:sz="0" w:space="0" w:color="auto"/>
            <w:right w:val="none" w:sz="0" w:space="0" w:color="auto"/>
          </w:divBdr>
        </w:div>
      </w:divsChild>
    </w:div>
    <w:div w:id="227887742">
      <w:bodyDiv w:val="1"/>
      <w:marLeft w:val="0"/>
      <w:marRight w:val="0"/>
      <w:marTop w:val="0"/>
      <w:marBottom w:val="0"/>
      <w:divBdr>
        <w:top w:val="none" w:sz="0" w:space="0" w:color="auto"/>
        <w:left w:val="none" w:sz="0" w:space="0" w:color="auto"/>
        <w:bottom w:val="none" w:sz="0" w:space="0" w:color="auto"/>
        <w:right w:val="none" w:sz="0" w:space="0" w:color="auto"/>
      </w:divBdr>
    </w:div>
    <w:div w:id="252512229">
      <w:bodyDiv w:val="1"/>
      <w:marLeft w:val="0"/>
      <w:marRight w:val="0"/>
      <w:marTop w:val="0"/>
      <w:marBottom w:val="0"/>
      <w:divBdr>
        <w:top w:val="none" w:sz="0" w:space="0" w:color="auto"/>
        <w:left w:val="none" w:sz="0" w:space="0" w:color="auto"/>
        <w:bottom w:val="none" w:sz="0" w:space="0" w:color="auto"/>
        <w:right w:val="none" w:sz="0" w:space="0" w:color="auto"/>
      </w:divBdr>
    </w:div>
    <w:div w:id="380523718">
      <w:bodyDiv w:val="1"/>
      <w:marLeft w:val="0"/>
      <w:marRight w:val="0"/>
      <w:marTop w:val="0"/>
      <w:marBottom w:val="0"/>
      <w:divBdr>
        <w:top w:val="none" w:sz="0" w:space="0" w:color="auto"/>
        <w:left w:val="none" w:sz="0" w:space="0" w:color="auto"/>
        <w:bottom w:val="none" w:sz="0" w:space="0" w:color="auto"/>
        <w:right w:val="none" w:sz="0" w:space="0" w:color="auto"/>
      </w:divBdr>
    </w:div>
    <w:div w:id="394934018">
      <w:bodyDiv w:val="1"/>
      <w:marLeft w:val="0"/>
      <w:marRight w:val="0"/>
      <w:marTop w:val="0"/>
      <w:marBottom w:val="0"/>
      <w:divBdr>
        <w:top w:val="none" w:sz="0" w:space="0" w:color="auto"/>
        <w:left w:val="none" w:sz="0" w:space="0" w:color="auto"/>
        <w:bottom w:val="none" w:sz="0" w:space="0" w:color="auto"/>
        <w:right w:val="none" w:sz="0" w:space="0" w:color="auto"/>
      </w:divBdr>
    </w:div>
    <w:div w:id="488058103">
      <w:bodyDiv w:val="1"/>
      <w:marLeft w:val="0"/>
      <w:marRight w:val="0"/>
      <w:marTop w:val="0"/>
      <w:marBottom w:val="0"/>
      <w:divBdr>
        <w:top w:val="none" w:sz="0" w:space="0" w:color="auto"/>
        <w:left w:val="none" w:sz="0" w:space="0" w:color="auto"/>
        <w:bottom w:val="none" w:sz="0" w:space="0" w:color="auto"/>
        <w:right w:val="none" w:sz="0" w:space="0" w:color="auto"/>
      </w:divBdr>
    </w:div>
    <w:div w:id="558830713">
      <w:bodyDiv w:val="1"/>
      <w:marLeft w:val="0"/>
      <w:marRight w:val="0"/>
      <w:marTop w:val="0"/>
      <w:marBottom w:val="0"/>
      <w:divBdr>
        <w:top w:val="none" w:sz="0" w:space="0" w:color="auto"/>
        <w:left w:val="none" w:sz="0" w:space="0" w:color="auto"/>
        <w:bottom w:val="none" w:sz="0" w:space="0" w:color="auto"/>
        <w:right w:val="none" w:sz="0" w:space="0" w:color="auto"/>
      </w:divBdr>
    </w:div>
    <w:div w:id="615792462">
      <w:bodyDiv w:val="1"/>
      <w:marLeft w:val="0"/>
      <w:marRight w:val="0"/>
      <w:marTop w:val="0"/>
      <w:marBottom w:val="0"/>
      <w:divBdr>
        <w:top w:val="none" w:sz="0" w:space="0" w:color="auto"/>
        <w:left w:val="none" w:sz="0" w:space="0" w:color="auto"/>
        <w:bottom w:val="none" w:sz="0" w:space="0" w:color="auto"/>
        <w:right w:val="none" w:sz="0" w:space="0" w:color="auto"/>
      </w:divBdr>
    </w:div>
    <w:div w:id="617375041">
      <w:bodyDiv w:val="1"/>
      <w:marLeft w:val="0"/>
      <w:marRight w:val="0"/>
      <w:marTop w:val="0"/>
      <w:marBottom w:val="0"/>
      <w:divBdr>
        <w:top w:val="none" w:sz="0" w:space="0" w:color="auto"/>
        <w:left w:val="none" w:sz="0" w:space="0" w:color="auto"/>
        <w:bottom w:val="none" w:sz="0" w:space="0" w:color="auto"/>
        <w:right w:val="none" w:sz="0" w:space="0" w:color="auto"/>
      </w:divBdr>
    </w:div>
    <w:div w:id="674455099">
      <w:bodyDiv w:val="1"/>
      <w:marLeft w:val="0"/>
      <w:marRight w:val="0"/>
      <w:marTop w:val="0"/>
      <w:marBottom w:val="0"/>
      <w:divBdr>
        <w:top w:val="none" w:sz="0" w:space="0" w:color="auto"/>
        <w:left w:val="none" w:sz="0" w:space="0" w:color="auto"/>
        <w:bottom w:val="none" w:sz="0" w:space="0" w:color="auto"/>
        <w:right w:val="none" w:sz="0" w:space="0" w:color="auto"/>
      </w:divBdr>
    </w:div>
    <w:div w:id="818572357">
      <w:bodyDiv w:val="1"/>
      <w:marLeft w:val="0"/>
      <w:marRight w:val="0"/>
      <w:marTop w:val="0"/>
      <w:marBottom w:val="0"/>
      <w:divBdr>
        <w:top w:val="none" w:sz="0" w:space="0" w:color="auto"/>
        <w:left w:val="none" w:sz="0" w:space="0" w:color="auto"/>
        <w:bottom w:val="none" w:sz="0" w:space="0" w:color="auto"/>
        <w:right w:val="none" w:sz="0" w:space="0" w:color="auto"/>
      </w:divBdr>
    </w:div>
    <w:div w:id="909652720">
      <w:bodyDiv w:val="1"/>
      <w:marLeft w:val="0"/>
      <w:marRight w:val="0"/>
      <w:marTop w:val="0"/>
      <w:marBottom w:val="0"/>
      <w:divBdr>
        <w:top w:val="none" w:sz="0" w:space="0" w:color="auto"/>
        <w:left w:val="none" w:sz="0" w:space="0" w:color="auto"/>
        <w:bottom w:val="none" w:sz="0" w:space="0" w:color="auto"/>
        <w:right w:val="none" w:sz="0" w:space="0" w:color="auto"/>
      </w:divBdr>
    </w:div>
    <w:div w:id="975641638">
      <w:bodyDiv w:val="1"/>
      <w:marLeft w:val="0"/>
      <w:marRight w:val="0"/>
      <w:marTop w:val="0"/>
      <w:marBottom w:val="0"/>
      <w:divBdr>
        <w:top w:val="none" w:sz="0" w:space="0" w:color="auto"/>
        <w:left w:val="none" w:sz="0" w:space="0" w:color="auto"/>
        <w:bottom w:val="none" w:sz="0" w:space="0" w:color="auto"/>
        <w:right w:val="none" w:sz="0" w:space="0" w:color="auto"/>
      </w:divBdr>
    </w:div>
    <w:div w:id="1123309044">
      <w:bodyDiv w:val="1"/>
      <w:marLeft w:val="0"/>
      <w:marRight w:val="0"/>
      <w:marTop w:val="0"/>
      <w:marBottom w:val="0"/>
      <w:divBdr>
        <w:top w:val="none" w:sz="0" w:space="0" w:color="auto"/>
        <w:left w:val="none" w:sz="0" w:space="0" w:color="auto"/>
        <w:bottom w:val="none" w:sz="0" w:space="0" w:color="auto"/>
        <w:right w:val="none" w:sz="0" w:space="0" w:color="auto"/>
      </w:divBdr>
    </w:div>
    <w:div w:id="1148667267">
      <w:bodyDiv w:val="1"/>
      <w:marLeft w:val="0"/>
      <w:marRight w:val="0"/>
      <w:marTop w:val="0"/>
      <w:marBottom w:val="0"/>
      <w:divBdr>
        <w:top w:val="none" w:sz="0" w:space="0" w:color="auto"/>
        <w:left w:val="none" w:sz="0" w:space="0" w:color="auto"/>
        <w:bottom w:val="none" w:sz="0" w:space="0" w:color="auto"/>
        <w:right w:val="none" w:sz="0" w:space="0" w:color="auto"/>
      </w:divBdr>
    </w:div>
    <w:div w:id="1294092708">
      <w:bodyDiv w:val="1"/>
      <w:marLeft w:val="0"/>
      <w:marRight w:val="0"/>
      <w:marTop w:val="0"/>
      <w:marBottom w:val="0"/>
      <w:divBdr>
        <w:top w:val="none" w:sz="0" w:space="0" w:color="auto"/>
        <w:left w:val="none" w:sz="0" w:space="0" w:color="auto"/>
        <w:bottom w:val="none" w:sz="0" w:space="0" w:color="auto"/>
        <w:right w:val="none" w:sz="0" w:space="0" w:color="auto"/>
      </w:divBdr>
    </w:div>
    <w:div w:id="1321035354">
      <w:bodyDiv w:val="1"/>
      <w:marLeft w:val="0"/>
      <w:marRight w:val="0"/>
      <w:marTop w:val="0"/>
      <w:marBottom w:val="0"/>
      <w:divBdr>
        <w:top w:val="none" w:sz="0" w:space="0" w:color="auto"/>
        <w:left w:val="none" w:sz="0" w:space="0" w:color="auto"/>
        <w:bottom w:val="none" w:sz="0" w:space="0" w:color="auto"/>
        <w:right w:val="none" w:sz="0" w:space="0" w:color="auto"/>
      </w:divBdr>
    </w:div>
    <w:div w:id="1360200249">
      <w:bodyDiv w:val="1"/>
      <w:marLeft w:val="0"/>
      <w:marRight w:val="0"/>
      <w:marTop w:val="0"/>
      <w:marBottom w:val="0"/>
      <w:divBdr>
        <w:top w:val="none" w:sz="0" w:space="0" w:color="auto"/>
        <w:left w:val="none" w:sz="0" w:space="0" w:color="auto"/>
        <w:bottom w:val="none" w:sz="0" w:space="0" w:color="auto"/>
        <w:right w:val="none" w:sz="0" w:space="0" w:color="auto"/>
      </w:divBdr>
    </w:div>
    <w:div w:id="1495031226">
      <w:bodyDiv w:val="1"/>
      <w:marLeft w:val="0"/>
      <w:marRight w:val="0"/>
      <w:marTop w:val="0"/>
      <w:marBottom w:val="0"/>
      <w:divBdr>
        <w:top w:val="none" w:sz="0" w:space="0" w:color="auto"/>
        <w:left w:val="none" w:sz="0" w:space="0" w:color="auto"/>
        <w:bottom w:val="none" w:sz="0" w:space="0" w:color="auto"/>
        <w:right w:val="none" w:sz="0" w:space="0" w:color="auto"/>
      </w:divBdr>
    </w:div>
    <w:div w:id="1820152750">
      <w:bodyDiv w:val="1"/>
      <w:marLeft w:val="0"/>
      <w:marRight w:val="0"/>
      <w:marTop w:val="0"/>
      <w:marBottom w:val="0"/>
      <w:divBdr>
        <w:top w:val="none" w:sz="0" w:space="0" w:color="auto"/>
        <w:left w:val="none" w:sz="0" w:space="0" w:color="auto"/>
        <w:bottom w:val="none" w:sz="0" w:space="0" w:color="auto"/>
        <w:right w:val="none" w:sz="0" w:space="0" w:color="auto"/>
      </w:divBdr>
    </w:div>
    <w:div w:id="1920945052">
      <w:bodyDiv w:val="1"/>
      <w:marLeft w:val="0"/>
      <w:marRight w:val="0"/>
      <w:marTop w:val="0"/>
      <w:marBottom w:val="0"/>
      <w:divBdr>
        <w:top w:val="none" w:sz="0" w:space="0" w:color="auto"/>
        <w:left w:val="none" w:sz="0" w:space="0" w:color="auto"/>
        <w:bottom w:val="none" w:sz="0" w:space="0" w:color="auto"/>
        <w:right w:val="none" w:sz="0" w:space="0" w:color="auto"/>
      </w:divBdr>
    </w:div>
    <w:div w:id="20113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ie.saddler@londoncouncil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nationwide.co.uk/about/media-centre-and-specialist-areas/media-centre/press-releases/archive/2016/3/9-parents-still-prefer-their-children-to-attend-university-despite-benefits-of-apprenticeships" TargetMode="External"/><Relationship Id="rId2" Type="http://schemas.openxmlformats.org/officeDocument/2006/relationships/hyperlink" Target="https://www.demos.co.uk/files/476_1504_CoA_WEB_2_.pdf?1425489134" TargetMode="External"/><Relationship Id="rId1" Type="http://schemas.openxmlformats.org/officeDocument/2006/relationships/hyperlink" Target="https://www.aelp.org.uk/file/?id=2808&amp;type=i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1E0ABA" w:rsidRDefault="001E0ABA">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BA"/>
    <w:rsid w:val="00055068"/>
    <w:rsid w:val="000D1A09"/>
    <w:rsid w:val="000F2629"/>
    <w:rsid w:val="00143BE4"/>
    <w:rsid w:val="001E0ABA"/>
    <w:rsid w:val="002051E3"/>
    <w:rsid w:val="002144BD"/>
    <w:rsid w:val="002931C1"/>
    <w:rsid w:val="003771F1"/>
    <w:rsid w:val="003D5ACF"/>
    <w:rsid w:val="003F0EEC"/>
    <w:rsid w:val="00411BF4"/>
    <w:rsid w:val="00560535"/>
    <w:rsid w:val="007A4E3A"/>
    <w:rsid w:val="00825D8C"/>
    <w:rsid w:val="00831A4A"/>
    <w:rsid w:val="009635CD"/>
    <w:rsid w:val="00BF03B4"/>
    <w:rsid w:val="00C10031"/>
    <w:rsid w:val="00DE598D"/>
    <w:rsid w:val="00DF5A42"/>
    <w:rsid w:val="00EB1976"/>
    <w:rsid w:val="00ED5B41"/>
    <w:rsid w:val="00F00AC2"/>
    <w:rsid w:val="00FD3CF8"/>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261C-19DE-4865-B574-D61AFDD2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290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Jamie Saddler</cp:lastModifiedBy>
  <cp:revision>4</cp:revision>
  <cp:lastPrinted>2016-08-24T12:07:00Z</cp:lastPrinted>
  <dcterms:created xsi:type="dcterms:W3CDTF">2017-02-21T10:36:00Z</dcterms:created>
  <dcterms:modified xsi:type="dcterms:W3CDTF">2017-02-27T10:48:00Z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ies>
</file>