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CellMar>
          <w:left w:w="851" w:type="dxa"/>
          <w:right w:w="851" w:type="dxa"/>
        </w:tblCellMar>
        <w:tblLook w:val="01E0" w:firstRow="1" w:lastRow="1" w:firstColumn="1" w:lastColumn="1" w:noHBand="0" w:noVBand="0"/>
      </w:tblPr>
      <w:tblGrid>
        <w:gridCol w:w="11907"/>
      </w:tblGrid>
      <w:tr w:rsidR="007076E3" w:rsidTr="00472F91">
        <w:trPr>
          <w:trHeight w:hRule="exact" w:val="2892"/>
        </w:trPr>
        <w:tc>
          <w:tcPr>
            <w:tcW w:w="11907" w:type="dxa"/>
            <w:shd w:val="clear" w:color="auto" w:fill="auto"/>
            <w:vAlign w:val="bottom"/>
          </w:tcPr>
          <w:bookmarkStart w:id="0" w:name="TitlePage"/>
          <w:bookmarkStart w:id="1" w:name="bm_TitlePage"/>
          <w:bookmarkStart w:id="2" w:name="_GoBack"/>
          <w:bookmarkEnd w:id="2"/>
          <w:p w:rsidR="007076E3" w:rsidRDefault="007076E3" w:rsidP="00130689">
            <w:pPr>
              <w:pStyle w:val="DocType"/>
            </w:pPr>
            <w:r>
              <w:fldChar w:fldCharType="begin"/>
            </w:r>
            <w:r>
              <w:instrText xml:space="preserve"> IF </w:instrText>
            </w:r>
            <w:fldSimple w:instr=" DOCVARIABLE  DocType  \* MERGEFORMAT ">
              <w:r w:rsidR="005931A0" w:rsidRPr="005931A0">
                <w:rPr>
                  <w:b/>
                  <w:bCs w:val="0"/>
                  <w:lang w:val="en-US"/>
                </w:rPr>
                <w:instrText>Update</w:instrText>
              </w:r>
            </w:fldSimple>
            <w:r>
              <w:instrText xml:space="preserve"> = "Error! No</w:instrText>
            </w:r>
            <w:r w:rsidR="00400ECB">
              <w:instrText xml:space="preserve"> document variable supplied." "</w:instrText>
            </w:r>
            <w:r>
              <w:instrText xml:space="preserve">" </w:instrText>
            </w:r>
            <w:fldSimple w:instr=" DOCVARIABLE  DocType  \* MERGEFORMAT ">
              <w:r w:rsidR="005931A0">
                <w:instrText>Update</w:instrText>
              </w:r>
            </w:fldSimple>
            <w:r>
              <w:instrText xml:space="preserve"> \* MERGEFORMAT </w:instrText>
            </w:r>
            <w:r>
              <w:fldChar w:fldCharType="separate"/>
            </w:r>
            <w:r w:rsidR="005931A0" w:rsidRPr="005931A0">
              <w:rPr>
                <w:noProof/>
                <w:lang w:val="en-US"/>
              </w:rPr>
              <w:t>Update</w:t>
            </w:r>
            <w:r>
              <w:fldChar w:fldCharType="end"/>
            </w:r>
            <w:r>
              <w:t xml:space="preserve"> </w:t>
            </w:r>
            <w:r>
              <w:fldChar w:fldCharType="begin"/>
            </w:r>
            <w:r>
              <w:instrText xml:space="preserve"> IF </w:instrText>
            </w:r>
            <w:r w:rsidR="005931A0">
              <w:fldChar w:fldCharType="begin"/>
            </w:r>
            <w:r w:rsidR="005931A0">
              <w:instrText xml:space="preserve"> DOCVARIABLE  DocTypeNo  \* MERGEFORMAT </w:instrText>
            </w:r>
            <w:r w:rsidR="005931A0">
              <w:fldChar w:fldCharType="separate"/>
            </w:r>
            <w:r w:rsidR="005931A0">
              <w:rPr>
                <w:b/>
                <w:bCs w:val="0"/>
                <w:lang w:val="en-US"/>
              </w:rPr>
              <w:instrText>Error! No document variable supplied.</w:instrText>
            </w:r>
            <w:r w:rsidR="005931A0">
              <w:rPr>
                <w:b/>
                <w:bCs w:val="0"/>
                <w:lang w:val="en-US"/>
              </w:rPr>
              <w:fldChar w:fldCharType="end"/>
            </w:r>
            <w:r>
              <w:instrText xml:space="preserve"> = "Error! No</w:instrText>
            </w:r>
            <w:r w:rsidR="00400ECB">
              <w:instrText xml:space="preserve"> document variable supplied." "</w:instrText>
            </w:r>
            <w:r>
              <w:instrText xml:space="preserve">" </w:instrText>
            </w:r>
            <w:fldSimple w:instr=" DOCVARIABLE  DocTypeNo  \* MERGEFORMAT ">
              <w:r w:rsidR="005931A0">
                <w:instrText>DocTypeNo</w:instrText>
              </w:r>
            </w:fldSimple>
            <w:r>
              <w:instrText xml:space="preserve"> \* MERGEFORMAT </w:instrText>
            </w:r>
            <w:r>
              <w:fldChar w:fldCharType="end"/>
            </w:r>
          </w:p>
          <w:p w:rsidR="007076E3" w:rsidRPr="00FB2A01" w:rsidRDefault="007076E3" w:rsidP="00A960C6">
            <w:pPr>
              <w:pStyle w:val="DocTitle"/>
              <w:rPr>
                <w:szCs w:val="48"/>
              </w:rPr>
            </w:pPr>
            <w:r w:rsidRPr="00FB2A01">
              <w:rPr>
                <w:szCs w:val="48"/>
              </w:rPr>
              <w:fldChar w:fldCharType="begin"/>
            </w:r>
            <w:r w:rsidRPr="00FB2A01">
              <w:rPr>
                <w:szCs w:val="48"/>
              </w:rPr>
              <w:instrText xml:space="preserve"> IF </w:instrText>
            </w:r>
            <w:r w:rsidRPr="00FB2A01">
              <w:rPr>
                <w:szCs w:val="48"/>
              </w:rPr>
              <w:fldChar w:fldCharType="begin"/>
            </w:r>
            <w:r w:rsidRPr="00FB2A01">
              <w:rPr>
                <w:szCs w:val="48"/>
              </w:rPr>
              <w:instrText xml:space="preserve"> DOCVARIABLE  DocTitle  \* MERGEFORMAT </w:instrText>
            </w:r>
            <w:r w:rsidRPr="00FB2A01">
              <w:rPr>
                <w:szCs w:val="48"/>
              </w:rPr>
              <w:fldChar w:fldCharType="separate"/>
            </w:r>
            <w:r w:rsidR="005931A0">
              <w:rPr>
                <w:szCs w:val="48"/>
              </w:rPr>
              <w:instrText>Update of charts and tables in LFC Raising the Capital report</w:instrText>
            </w:r>
            <w:r w:rsidRPr="00FB2A01">
              <w:rPr>
                <w:szCs w:val="48"/>
              </w:rPr>
              <w:fldChar w:fldCharType="end"/>
            </w:r>
            <w:r w:rsidRPr="00FB2A01">
              <w:rPr>
                <w:szCs w:val="48"/>
              </w:rPr>
              <w:instrText xml:space="preserve"> = "Error! No</w:instrText>
            </w:r>
            <w:r w:rsidR="00400ECB">
              <w:rPr>
                <w:szCs w:val="48"/>
              </w:rPr>
              <w:instrText xml:space="preserve"> document variable supplied." "</w:instrText>
            </w:r>
            <w:r w:rsidRPr="00FB2A01">
              <w:rPr>
                <w:szCs w:val="48"/>
              </w:rPr>
              <w:instrText xml:space="preserve">" </w:instrText>
            </w:r>
            <w:r w:rsidRPr="00FB2A01">
              <w:rPr>
                <w:szCs w:val="48"/>
              </w:rPr>
              <w:fldChar w:fldCharType="begin"/>
            </w:r>
            <w:r w:rsidRPr="00FB2A01">
              <w:rPr>
                <w:szCs w:val="48"/>
              </w:rPr>
              <w:instrText xml:space="preserve"> DOCVARIABLE  DocTitle  \* MERGEFORMAT </w:instrText>
            </w:r>
            <w:r w:rsidRPr="00FB2A01">
              <w:rPr>
                <w:szCs w:val="48"/>
              </w:rPr>
              <w:fldChar w:fldCharType="separate"/>
            </w:r>
            <w:r w:rsidR="005931A0">
              <w:rPr>
                <w:szCs w:val="48"/>
              </w:rPr>
              <w:instrText>Update of charts and tables in LFC Raising the Capital report</w:instrText>
            </w:r>
            <w:r w:rsidRPr="00FB2A01">
              <w:rPr>
                <w:szCs w:val="48"/>
              </w:rPr>
              <w:fldChar w:fldCharType="end"/>
            </w:r>
            <w:r w:rsidRPr="00FB2A01">
              <w:rPr>
                <w:szCs w:val="48"/>
              </w:rPr>
              <w:instrText xml:space="preserve"> \* MERGEFORMAT </w:instrText>
            </w:r>
            <w:r w:rsidRPr="00FB2A01">
              <w:rPr>
                <w:szCs w:val="48"/>
              </w:rPr>
              <w:fldChar w:fldCharType="separate"/>
            </w:r>
            <w:r w:rsidR="005931A0">
              <w:rPr>
                <w:noProof/>
                <w:szCs w:val="48"/>
              </w:rPr>
              <w:t>Update of charts and tables in LFC Raising the Capital report</w:t>
            </w:r>
            <w:r w:rsidRPr="00FB2A01">
              <w:rPr>
                <w:szCs w:val="48"/>
              </w:rPr>
              <w:fldChar w:fldCharType="end"/>
            </w:r>
          </w:p>
          <w:p w:rsidR="007076E3" w:rsidRPr="00A960C6" w:rsidRDefault="000218D5" w:rsidP="00A960C6">
            <w:pPr>
              <w:pStyle w:val="DocAuthor"/>
            </w:pPr>
            <w:r w:rsidRPr="00FB2A01">
              <w:rPr>
                <w:szCs w:val="48"/>
              </w:rPr>
              <w:fldChar w:fldCharType="begin"/>
            </w:r>
            <w:r w:rsidRPr="00FB2A01">
              <w:rPr>
                <w:szCs w:val="48"/>
              </w:rPr>
              <w:instrText xml:space="preserve"> IF </w:instrText>
            </w:r>
            <w:r w:rsidRPr="00FB2A01">
              <w:rPr>
                <w:szCs w:val="48"/>
              </w:rPr>
              <w:fldChar w:fldCharType="begin"/>
            </w:r>
            <w:r w:rsidRPr="00FB2A01">
              <w:rPr>
                <w:szCs w:val="48"/>
              </w:rPr>
              <w:instrText xml:space="preserve"> DOCVARIABLE  </w:instrText>
            </w:r>
            <w:r w:rsidR="00E847A4" w:rsidRPr="00E847A4">
              <w:rPr>
                <w:szCs w:val="48"/>
              </w:rPr>
              <w:instrText>DocSubTitle</w:instrText>
            </w:r>
            <w:r w:rsidRPr="00FB2A01">
              <w:rPr>
                <w:szCs w:val="48"/>
              </w:rPr>
              <w:instrText xml:space="preserve">\* MERGEFORMAT </w:instrText>
            </w:r>
            <w:r w:rsidRPr="00FB2A01">
              <w:rPr>
                <w:szCs w:val="48"/>
              </w:rPr>
              <w:fldChar w:fldCharType="separate"/>
            </w:r>
            <w:r w:rsidR="005931A0">
              <w:rPr>
                <w:b/>
                <w:bCs w:val="0"/>
                <w:szCs w:val="48"/>
                <w:lang w:val="en-US"/>
              </w:rPr>
              <w:instrText>Error! No document variable supplied.</w:instrText>
            </w:r>
            <w:r w:rsidRPr="00FB2A01">
              <w:rPr>
                <w:szCs w:val="48"/>
              </w:rPr>
              <w:fldChar w:fldCharType="end"/>
            </w:r>
            <w:r w:rsidRPr="00FB2A01">
              <w:rPr>
                <w:szCs w:val="48"/>
              </w:rPr>
              <w:instrText xml:space="preserve"> = "Error! No</w:instrText>
            </w:r>
            <w:r w:rsidR="00400ECB">
              <w:rPr>
                <w:szCs w:val="48"/>
              </w:rPr>
              <w:instrText xml:space="preserve"> document variable supplied." "</w:instrText>
            </w:r>
            <w:r w:rsidRPr="00FB2A01">
              <w:rPr>
                <w:szCs w:val="48"/>
              </w:rPr>
              <w:instrText xml:space="preserve">" </w:instrText>
            </w:r>
            <w:r w:rsidRPr="00FB2A01">
              <w:rPr>
                <w:szCs w:val="48"/>
              </w:rPr>
              <w:fldChar w:fldCharType="begin"/>
            </w:r>
            <w:r w:rsidRPr="00FB2A01">
              <w:rPr>
                <w:szCs w:val="48"/>
              </w:rPr>
              <w:instrText xml:space="preserve"> DOCVARIABLE  </w:instrText>
            </w:r>
            <w:r w:rsidR="00E847A4" w:rsidRPr="00E847A4">
              <w:rPr>
                <w:szCs w:val="48"/>
              </w:rPr>
              <w:instrText>DocSubTitle</w:instrText>
            </w:r>
            <w:r w:rsidRPr="00FB2A01">
              <w:rPr>
                <w:szCs w:val="48"/>
              </w:rPr>
              <w:instrText xml:space="preserve">\* MERGEFORMAT </w:instrText>
            </w:r>
            <w:r w:rsidRPr="00FB2A01">
              <w:rPr>
                <w:szCs w:val="48"/>
              </w:rPr>
              <w:fldChar w:fldCharType="separate"/>
            </w:r>
            <w:r w:rsidR="005931A0">
              <w:rPr>
                <w:szCs w:val="48"/>
              </w:rPr>
              <w:instrText>DocSubTitle</w:instrText>
            </w:r>
            <w:r w:rsidRPr="00FB2A01">
              <w:rPr>
                <w:szCs w:val="48"/>
              </w:rPr>
              <w:fldChar w:fldCharType="end"/>
            </w:r>
            <w:r w:rsidRPr="00FB2A01">
              <w:rPr>
                <w:szCs w:val="48"/>
              </w:rPr>
              <w:instrText xml:space="preserve"> \* MERGEFORMAT </w:instrText>
            </w:r>
            <w:r w:rsidRPr="00FB2A01">
              <w:rPr>
                <w:szCs w:val="48"/>
              </w:rPr>
              <w:fldChar w:fldCharType="end"/>
            </w:r>
          </w:p>
          <w:p w:rsidR="007076E3" w:rsidRPr="007259DD" w:rsidRDefault="007076E3" w:rsidP="00130689">
            <w:pPr>
              <w:pStyle w:val="DocDate"/>
            </w:pPr>
            <w:r w:rsidRPr="00DD6566">
              <w:rPr>
                <w:noProof/>
                <w:lang w:val="en-US"/>
              </w:rPr>
              <w:fldChar w:fldCharType="begin"/>
            </w:r>
            <w:r w:rsidRPr="00DD6566">
              <w:rPr>
                <w:noProof/>
                <w:lang w:val="en-US"/>
              </w:rPr>
              <w:instrText xml:space="preserve"> IF </w:instrText>
            </w:r>
            <w:r w:rsidRPr="00DD6566">
              <w:rPr>
                <w:noProof/>
                <w:lang w:val="en-US"/>
              </w:rPr>
              <w:fldChar w:fldCharType="begin"/>
            </w:r>
            <w:r>
              <w:rPr>
                <w:noProof/>
                <w:lang w:val="en-US"/>
              </w:rPr>
              <w:instrText xml:space="preserve"> DOCVARIABLE  DocDate</w:instrText>
            </w:r>
            <w:r w:rsidRPr="00DD6566">
              <w:rPr>
                <w:noProof/>
                <w:lang w:val="en-US"/>
              </w:rPr>
              <w:instrText xml:space="preserve">  \* MERGEFORMAT </w:instrText>
            </w:r>
            <w:r w:rsidRPr="00DD6566">
              <w:rPr>
                <w:noProof/>
                <w:lang w:val="en-US"/>
              </w:rPr>
              <w:fldChar w:fldCharType="separate"/>
            </w:r>
            <w:r w:rsidR="005931A0" w:rsidRPr="005931A0">
              <w:rPr>
                <w:b/>
                <w:bCs w:val="0"/>
                <w:noProof/>
                <w:lang w:val="en-US"/>
              </w:rPr>
              <w:instrText>September</w:instrText>
            </w:r>
            <w:r w:rsidR="005931A0">
              <w:rPr>
                <w:noProof/>
                <w:lang w:val="en-US"/>
              </w:rPr>
              <w:instrText xml:space="preserve"> 2016</w:instrText>
            </w:r>
            <w:r w:rsidRPr="00DD6566">
              <w:rPr>
                <w:noProof/>
                <w:lang w:val="en-US"/>
              </w:rPr>
              <w:fldChar w:fldCharType="end"/>
            </w:r>
            <w:r w:rsidRPr="00DD6566">
              <w:rPr>
                <w:noProof/>
                <w:lang w:val="en-US"/>
              </w:rPr>
              <w:instrText xml:space="preserve"> = "Error! No</w:instrText>
            </w:r>
            <w:r w:rsidR="00400ECB">
              <w:rPr>
                <w:noProof/>
                <w:lang w:val="en-US"/>
              </w:rPr>
              <w:instrText xml:space="preserve"> document variable supplied." "</w:instrText>
            </w:r>
            <w:r w:rsidRPr="00DD6566">
              <w:rPr>
                <w:noProof/>
                <w:lang w:val="en-US"/>
              </w:rPr>
              <w:instrText xml:space="preserve">" </w:instrText>
            </w:r>
            <w:r w:rsidRPr="00DD6566">
              <w:rPr>
                <w:noProof/>
                <w:lang w:val="en-US"/>
              </w:rPr>
              <w:fldChar w:fldCharType="begin"/>
            </w:r>
            <w:r w:rsidRPr="00DD6566">
              <w:rPr>
                <w:noProof/>
                <w:lang w:val="en-US"/>
              </w:rPr>
              <w:instrText xml:space="preserve"> </w:instrText>
            </w:r>
            <w:r>
              <w:rPr>
                <w:noProof/>
                <w:lang w:val="en-US"/>
              </w:rPr>
              <w:instrText>DOCVARIABLE  DocDate</w:instrText>
            </w:r>
            <w:r w:rsidRPr="00DD6566">
              <w:rPr>
                <w:noProof/>
                <w:lang w:val="en-US"/>
              </w:rPr>
              <w:instrText xml:space="preserve">  \* MERGEFORMAT </w:instrText>
            </w:r>
            <w:r w:rsidRPr="00DD6566">
              <w:rPr>
                <w:noProof/>
                <w:lang w:val="en-US"/>
              </w:rPr>
              <w:fldChar w:fldCharType="separate"/>
            </w:r>
            <w:r w:rsidR="005931A0">
              <w:rPr>
                <w:noProof/>
                <w:lang w:val="en-US"/>
              </w:rPr>
              <w:instrText>September 2016</w:instrText>
            </w:r>
            <w:r w:rsidRPr="00DD6566">
              <w:rPr>
                <w:noProof/>
                <w:lang w:val="en-US"/>
              </w:rPr>
              <w:fldChar w:fldCharType="end"/>
            </w:r>
            <w:r w:rsidRPr="00DD6566">
              <w:rPr>
                <w:noProof/>
                <w:lang w:val="en-US"/>
              </w:rPr>
              <w:instrText xml:space="preserve"> \* MERGEFORMAT </w:instrText>
            </w:r>
            <w:r w:rsidRPr="00DD6566">
              <w:rPr>
                <w:noProof/>
                <w:lang w:val="en-US"/>
              </w:rPr>
              <w:fldChar w:fldCharType="separate"/>
            </w:r>
            <w:r w:rsidR="005931A0">
              <w:rPr>
                <w:noProof/>
                <w:lang w:val="en-US"/>
              </w:rPr>
              <w:t>September 2016</w:t>
            </w:r>
            <w:r w:rsidRPr="00DD6566">
              <w:rPr>
                <w:noProof/>
                <w:lang w:val="en-US"/>
              </w:rPr>
              <w:fldChar w:fldCharType="end"/>
            </w:r>
          </w:p>
        </w:tc>
      </w:tr>
      <w:tr w:rsidR="007076E3" w:rsidRPr="00472F91" w:rsidTr="00472F91">
        <w:trPr>
          <w:trHeight w:hRule="exact" w:val="567"/>
        </w:trPr>
        <w:tc>
          <w:tcPr>
            <w:tcW w:w="11907" w:type="dxa"/>
            <w:shd w:val="clear" w:color="auto" w:fill="auto"/>
            <w:vAlign w:val="bottom"/>
          </w:tcPr>
          <w:p w:rsidR="00343F32" w:rsidRDefault="00343F32" w:rsidP="00472F91">
            <w:pPr>
              <w:pStyle w:val="H3Page1"/>
            </w:pPr>
          </w:p>
          <w:p w:rsidR="007076E3" w:rsidRPr="007259DD" w:rsidRDefault="007076E3" w:rsidP="00472F91">
            <w:pPr>
              <w:pStyle w:val="H3Page1"/>
            </w:pPr>
          </w:p>
        </w:tc>
      </w:tr>
    </w:tbl>
    <w:p w:rsidR="00A22B28" w:rsidRDefault="00A22B28" w:rsidP="00750DA2">
      <w:pPr>
        <w:spacing w:after="0" w:line="240" w:lineRule="auto"/>
      </w:pPr>
      <w:bookmarkStart w:id="3" w:name="StartHere"/>
      <w:bookmarkEnd w:id="0"/>
      <w:bookmarkEnd w:id="1"/>
      <w:bookmarkEnd w:id="3"/>
    </w:p>
    <w:p w:rsidR="006A49EB" w:rsidRPr="00086668" w:rsidRDefault="005931A0" w:rsidP="00750DA2">
      <w:pPr>
        <w:spacing w:after="0" w:line="240" w:lineRule="auto"/>
        <w:rPr>
          <w:b/>
        </w:rPr>
        <w:sectPr w:rsidR="006A49EB" w:rsidRPr="00086668" w:rsidSect="00CB21B8">
          <w:headerReference w:type="default" r:id="rId9"/>
          <w:footerReference w:type="default" r:id="rId10"/>
          <w:headerReference w:type="first" r:id="rId11"/>
          <w:footerReference w:type="first" r:id="rId12"/>
          <w:type w:val="nextColumn"/>
          <w:pgSz w:w="11906" w:h="16838" w:code="9"/>
          <w:pgMar w:top="1701" w:right="851" w:bottom="567" w:left="851" w:header="709" w:footer="454" w:gutter="0"/>
          <w:cols w:space="720"/>
          <w:titlePg/>
        </w:sectPr>
      </w:pPr>
      <w:r w:rsidRPr="00086668">
        <w:rPr>
          <w:b/>
        </w:rPr>
        <w:t>Table 1: Taxation revenue attributable to sub-national and central/federal government as a percentage of GDP, 2013 [latest data available]</w:t>
      </w:r>
    </w:p>
    <w:bookmarkStart w:id="4" w:name="DocEnd"/>
    <w:p w:rsidR="005931A0" w:rsidRDefault="005931A0" w:rsidP="00750DA2">
      <w:pPr>
        <w:pStyle w:val="Hidden"/>
        <w:spacing w:after="0"/>
        <w:rPr>
          <w:rFonts w:ascii="Times New Roman" w:hAnsi="Times New Roman"/>
          <w:noProof w:val="0"/>
          <w:vanish w:val="0"/>
          <w:color w:val="auto"/>
          <w:sz w:val="20"/>
          <w:szCs w:val="20"/>
          <w:lang w:eastAsia="en-GB"/>
        </w:rPr>
      </w:pPr>
      <w:r>
        <w:rPr>
          <w:vanish w:val="0"/>
        </w:rPr>
        <w:lastRenderedPageBreak/>
        <w:fldChar w:fldCharType="begin"/>
      </w:r>
      <w:r>
        <w:rPr>
          <w:vanish w:val="0"/>
        </w:rPr>
        <w:instrText xml:space="preserve"> LINK Excel.Sheet.12 "\\\\CAIDATA\\ECONSTAT$\\Projects and Drafts\\Finance Commission\\Follow up work 2016\\Update of charts and tables in the report\\Table 1 - OECD data.xls.xlsx" "Table 1!R2C1:R11C7" \a \f 4 \h  \* MERGEFORMAT </w:instrText>
      </w:r>
      <w:r>
        <w:rPr>
          <w:vanish w:val="0"/>
        </w:rPr>
        <w:fldChar w:fldCharType="separate"/>
      </w:r>
    </w:p>
    <w:tbl>
      <w:tblPr>
        <w:tblW w:w="9781" w:type="dxa"/>
        <w:tblInd w:w="5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1560"/>
        <w:gridCol w:w="1370"/>
        <w:gridCol w:w="1370"/>
        <w:gridCol w:w="1370"/>
        <w:gridCol w:w="1370"/>
        <w:gridCol w:w="1370"/>
        <w:gridCol w:w="1371"/>
      </w:tblGrid>
      <w:tr w:rsidR="005931A0" w:rsidRPr="005931A0" w:rsidTr="005931A0">
        <w:trPr>
          <w:trHeight w:val="480"/>
        </w:trPr>
        <w:tc>
          <w:tcPr>
            <w:tcW w:w="1560" w:type="dxa"/>
            <w:tcBorders>
              <w:top w:val="single" w:sz="4" w:space="0" w:color="000000"/>
              <w:bottom w:val="single" w:sz="4" w:space="0" w:color="000000"/>
            </w:tcBorders>
            <w:shd w:val="solid" w:color="0163A4" w:fill="0163A4"/>
            <w:noWrap/>
            <w:vAlign w:val="bottom"/>
            <w:hideMark/>
          </w:tcPr>
          <w:p w:rsidR="005931A0" w:rsidRPr="005931A0" w:rsidRDefault="005931A0" w:rsidP="005931A0">
            <w:pPr>
              <w:pStyle w:val="TableHeading"/>
            </w:pPr>
          </w:p>
        </w:tc>
        <w:tc>
          <w:tcPr>
            <w:tcW w:w="1370"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r w:rsidRPr="005931A0">
              <w:t>Local government</w:t>
            </w:r>
          </w:p>
        </w:tc>
        <w:tc>
          <w:tcPr>
            <w:tcW w:w="1370"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r w:rsidRPr="005931A0">
              <w:t>State</w:t>
            </w:r>
            <w:r>
              <w:t xml:space="preserve"> </w:t>
            </w:r>
            <w:r w:rsidRPr="005931A0">
              <w:t>/</w:t>
            </w:r>
            <w:r>
              <w:t xml:space="preserve"> </w:t>
            </w:r>
            <w:r w:rsidRPr="005931A0">
              <w:t>regional government</w:t>
            </w:r>
          </w:p>
        </w:tc>
        <w:tc>
          <w:tcPr>
            <w:tcW w:w="1370"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proofErr w:type="spellStart"/>
            <w:r w:rsidRPr="005931A0">
              <w:t>Local+state</w:t>
            </w:r>
            <w:proofErr w:type="spellEnd"/>
            <w:r>
              <w:t xml:space="preserve"> </w:t>
            </w:r>
            <w:r w:rsidRPr="005931A0">
              <w:t>/</w:t>
            </w:r>
            <w:r>
              <w:t xml:space="preserve"> </w:t>
            </w:r>
            <w:r w:rsidRPr="005931A0">
              <w:t>regional</w:t>
            </w:r>
          </w:p>
        </w:tc>
        <w:tc>
          <w:tcPr>
            <w:tcW w:w="1370"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r w:rsidRPr="005931A0">
              <w:t>Central government</w:t>
            </w:r>
          </w:p>
        </w:tc>
        <w:tc>
          <w:tcPr>
            <w:tcW w:w="1370"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r w:rsidRPr="005931A0">
              <w:t>Social security</w:t>
            </w:r>
          </w:p>
        </w:tc>
        <w:tc>
          <w:tcPr>
            <w:tcW w:w="1371" w:type="dxa"/>
            <w:tcBorders>
              <w:top w:val="single" w:sz="4" w:space="0" w:color="000000"/>
              <w:bottom w:val="single" w:sz="4" w:space="0" w:color="000000"/>
            </w:tcBorders>
            <w:shd w:val="solid" w:color="0163A4" w:fill="0163A4"/>
            <w:vAlign w:val="bottom"/>
            <w:hideMark/>
          </w:tcPr>
          <w:p w:rsidR="005931A0" w:rsidRPr="005931A0" w:rsidRDefault="005931A0" w:rsidP="005931A0">
            <w:pPr>
              <w:pStyle w:val="TableHeading"/>
            </w:pPr>
            <w:r w:rsidRPr="005931A0">
              <w:t>Total</w:t>
            </w:r>
          </w:p>
        </w:tc>
      </w:tr>
      <w:tr w:rsidR="005931A0" w:rsidRPr="005931A0" w:rsidTr="005931A0">
        <w:trPr>
          <w:trHeight w:val="264"/>
        </w:trPr>
        <w:tc>
          <w:tcPr>
            <w:tcW w:w="156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Canada</w:t>
            </w:r>
          </w:p>
        </w:tc>
        <w:tc>
          <w:tcPr>
            <w:tcW w:w="137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2.8</w:t>
            </w:r>
          </w:p>
        </w:tc>
        <w:tc>
          <w:tcPr>
            <w:tcW w:w="137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12.1</w:t>
            </w:r>
          </w:p>
        </w:tc>
        <w:tc>
          <w:tcPr>
            <w:tcW w:w="137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14.9</w:t>
            </w:r>
          </w:p>
        </w:tc>
        <w:tc>
          <w:tcPr>
            <w:tcW w:w="137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12.7</w:t>
            </w:r>
          </w:p>
        </w:tc>
        <w:tc>
          <w:tcPr>
            <w:tcW w:w="1370"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2.9</w:t>
            </w:r>
          </w:p>
        </w:tc>
        <w:tc>
          <w:tcPr>
            <w:tcW w:w="1371" w:type="dxa"/>
            <w:tcBorders>
              <w:top w:val="single" w:sz="4" w:space="0" w:color="000000"/>
              <w:bottom w:val="nil"/>
            </w:tcBorders>
            <w:shd w:val="solid" w:color="FFFFFF" w:fill="FFFFFF"/>
            <w:noWrap/>
            <w:vAlign w:val="bottom"/>
            <w:hideMark/>
          </w:tcPr>
          <w:p w:rsidR="005931A0" w:rsidRPr="005931A0" w:rsidRDefault="005931A0" w:rsidP="005931A0">
            <w:pPr>
              <w:pStyle w:val="TableText"/>
            </w:pPr>
            <w:r w:rsidRPr="005931A0">
              <w:t>30.5</w:t>
            </w:r>
          </w:p>
        </w:tc>
      </w:tr>
      <w:tr w:rsidR="005931A0" w:rsidRPr="005931A0" w:rsidTr="005931A0">
        <w:trPr>
          <w:trHeight w:val="264"/>
        </w:trPr>
        <w:tc>
          <w:tcPr>
            <w:tcW w:w="1560" w:type="dxa"/>
            <w:tcBorders>
              <w:top w:val="nil"/>
              <w:bottom w:val="nil"/>
            </w:tcBorders>
            <w:shd w:val="solid" w:color="E6E6E6" w:fill="E6E6E6"/>
            <w:noWrap/>
            <w:vAlign w:val="bottom"/>
            <w:hideMark/>
          </w:tcPr>
          <w:p w:rsidR="005931A0" w:rsidRPr="005931A0" w:rsidRDefault="005931A0" w:rsidP="005931A0">
            <w:pPr>
              <w:pStyle w:val="TableText"/>
            </w:pPr>
            <w:r w:rsidRPr="005931A0">
              <w:t>France</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5.8</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0.0</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5.8</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15.1</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24.0</w:t>
            </w:r>
          </w:p>
        </w:tc>
        <w:tc>
          <w:tcPr>
            <w:tcW w:w="1371" w:type="dxa"/>
            <w:tcBorders>
              <w:top w:val="nil"/>
              <w:bottom w:val="nil"/>
            </w:tcBorders>
            <w:shd w:val="solid" w:color="E6E6E6" w:fill="E6E6E6"/>
            <w:noWrap/>
            <w:vAlign w:val="bottom"/>
            <w:hideMark/>
          </w:tcPr>
          <w:p w:rsidR="005931A0" w:rsidRPr="005931A0" w:rsidRDefault="005931A0" w:rsidP="005931A0">
            <w:pPr>
              <w:pStyle w:val="TableText"/>
            </w:pPr>
            <w:r w:rsidRPr="005931A0">
              <w:t>45.0</w:t>
            </w:r>
          </w:p>
        </w:tc>
      </w:tr>
      <w:tr w:rsidR="005931A0" w:rsidRPr="005931A0" w:rsidTr="005931A0">
        <w:trPr>
          <w:trHeight w:val="264"/>
        </w:trPr>
        <w:tc>
          <w:tcPr>
            <w:tcW w:w="1560" w:type="dxa"/>
            <w:tcBorders>
              <w:top w:val="nil"/>
              <w:bottom w:val="nil"/>
            </w:tcBorders>
            <w:shd w:val="solid" w:color="FFFFFF" w:fill="FFFFFF"/>
            <w:noWrap/>
            <w:vAlign w:val="bottom"/>
            <w:hideMark/>
          </w:tcPr>
          <w:p w:rsidR="005931A0" w:rsidRPr="005931A0" w:rsidRDefault="005931A0" w:rsidP="005931A0">
            <w:pPr>
              <w:pStyle w:val="TableText"/>
            </w:pPr>
            <w:r w:rsidRPr="005931A0">
              <w:t>Germany</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3.0</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8.0</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11.0</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11.5</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13.9</w:t>
            </w:r>
          </w:p>
        </w:tc>
        <w:tc>
          <w:tcPr>
            <w:tcW w:w="1371" w:type="dxa"/>
            <w:tcBorders>
              <w:top w:val="nil"/>
              <w:bottom w:val="nil"/>
            </w:tcBorders>
            <w:shd w:val="solid" w:color="FFFFFF" w:fill="FFFFFF"/>
            <w:noWrap/>
            <w:vAlign w:val="bottom"/>
            <w:hideMark/>
          </w:tcPr>
          <w:p w:rsidR="005931A0" w:rsidRPr="005931A0" w:rsidRDefault="005931A0" w:rsidP="005931A0">
            <w:pPr>
              <w:pStyle w:val="TableText"/>
            </w:pPr>
            <w:r w:rsidRPr="005931A0">
              <w:t>36.5</w:t>
            </w:r>
          </w:p>
        </w:tc>
      </w:tr>
      <w:tr w:rsidR="005931A0" w:rsidRPr="005931A0" w:rsidTr="005931A0">
        <w:trPr>
          <w:trHeight w:val="264"/>
        </w:trPr>
        <w:tc>
          <w:tcPr>
            <w:tcW w:w="1560" w:type="dxa"/>
            <w:tcBorders>
              <w:top w:val="nil"/>
              <w:bottom w:val="nil"/>
            </w:tcBorders>
            <w:shd w:val="solid" w:color="E6E6E6" w:fill="E6E6E6"/>
            <w:noWrap/>
            <w:vAlign w:val="bottom"/>
            <w:hideMark/>
          </w:tcPr>
          <w:p w:rsidR="005931A0" w:rsidRPr="005931A0" w:rsidRDefault="005931A0" w:rsidP="005931A0">
            <w:pPr>
              <w:pStyle w:val="TableText"/>
            </w:pPr>
            <w:r w:rsidRPr="005931A0">
              <w:t>Italy</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7.1</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0.0</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7.1</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23.6</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13.1</w:t>
            </w:r>
          </w:p>
        </w:tc>
        <w:tc>
          <w:tcPr>
            <w:tcW w:w="1371" w:type="dxa"/>
            <w:tcBorders>
              <w:top w:val="nil"/>
              <w:bottom w:val="nil"/>
            </w:tcBorders>
            <w:shd w:val="solid" w:color="E6E6E6" w:fill="E6E6E6"/>
            <w:noWrap/>
            <w:vAlign w:val="bottom"/>
            <w:hideMark/>
          </w:tcPr>
          <w:p w:rsidR="005931A0" w:rsidRPr="005931A0" w:rsidRDefault="005931A0" w:rsidP="005931A0">
            <w:pPr>
              <w:pStyle w:val="TableText"/>
            </w:pPr>
            <w:r w:rsidRPr="005931A0">
              <w:t>43.9</w:t>
            </w:r>
          </w:p>
        </w:tc>
      </w:tr>
      <w:tr w:rsidR="005931A0" w:rsidRPr="005931A0" w:rsidTr="005931A0">
        <w:trPr>
          <w:trHeight w:val="264"/>
        </w:trPr>
        <w:tc>
          <w:tcPr>
            <w:tcW w:w="1560" w:type="dxa"/>
            <w:tcBorders>
              <w:top w:val="nil"/>
              <w:bottom w:val="nil"/>
            </w:tcBorders>
            <w:shd w:val="solid" w:color="FFFFFF" w:fill="FFFFFF"/>
            <w:noWrap/>
            <w:vAlign w:val="bottom"/>
            <w:hideMark/>
          </w:tcPr>
          <w:p w:rsidR="005931A0" w:rsidRPr="005931A0" w:rsidRDefault="005931A0" w:rsidP="005931A0">
            <w:pPr>
              <w:pStyle w:val="TableText"/>
            </w:pPr>
            <w:r w:rsidRPr="005931A0">
              <w:t>Spain</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3.2</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4.5</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7.7</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13.8</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11.1</w:t>
            </w:r>
          </w:p>
        </w:tc>
        <w:tc>
          <w:tcPr>
            <w:tcW w:w="1371" w:type="dxa"/>
            <w:tcBorders>
              <w:top w:val="nil"/>
              <w:bottom w:val="nil"/>
            </w:tcBorders>
            <w:shd w:val="solid" w:color="FFFFFF" w:fill="FFFFFF"/>
            <w:noWrap/>
            <w:vAlign w:val="bottom"/>
            <w:hideMark/>
          </w:tcPr>
          <w:p w:rsidR="005931A0" w:rsidRPr="005931A0" w:rsidRDefault="005931A0" w:rsidP="005931A0">
            <w:pPr>
              <w:pStyle w:val="TableText"/>
            </w:pPr>
            <w:r w:rsidRPr="005931A0">
              <w:t>32.7</w:t>
            </w:r>
          </w:p>
        </w:tc>
      </w:tr>
      <w:tr w:rsidR="005931A0" w:rsidRPr="005931A0" w:rsidTr="005931A0">
        <w:trPr>
          <w:trHeight w:val="264"/>
        </w:trPr>
        <w:tc>
          <w:tcPr>
            <w:tcW w:w="1560" w:type="dxa"/>
            <w:tcBorders>
              <w:top w:val="nil"/>
              <w:bottom w:val="nil"/>
            </w:tcBorders>
            <w:shd w:val="solid" w:color="E6E6E6" w:fill="E6E6E6"/>
            <w:noWrap/>
            <w:vAlign w:val="bottom"/>
            <w:hideMark/>
          </w:tcPr>
          <w:p w:rsidR="005931A0" w:rsidRPr="005931A0" w:rsidRDefault="005931A0" w:rsidP="005931A0">
            <w:pPr>
              <w:pStyle w:val="TableText"/>
            </w:pPr>
            <w:r w:rsidRPr="005931A0">
              <w:t>Sweden</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15.8</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0.0</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15.8</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21.4</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5.5</w:t>
            </w:r>
          </w:p>
        </w:tc>
        <w:tc>
          <w:tcPr>
            <w:tcW w:w="1371" w:type="dxa"/>
            <w:tcBorders>
              <w:top w:val="nil"/>
              <w:bottom w:val="nil"/>
            </w:tcBorders>
            <w:shd w:val="solid" w:color="E6E6E6" w:fill="E6E6E6"/>
            <w:noWrap/>
            <w:vAlign w:val="bottom"/>
            <w:hideMark/>
          </w:tcPr>
          <w:p w:rsidR="005931A0" w:rsidRPr="005931A0" w:rsidRDefault="005931A0" w:rsidP="005931A0">
            <w:pPr>
              <w:pStyle w:val="TableText"/>
            </w:pPr>
            <w:r w:rsidRPr="005931A0">
              <w:t>43.7</w:t>
            </w:r>
          </w:p>
        </w:tc>
      </w:tr>
      <w:tr w:rsidR="005931A0" w:rsidRPr="005931A0" w:rsidTr="005931A0">
        <w:trPr>
          <w:trHeight w:val="264"/>
        </w:trPr>
        <w:tc>
          <w:tcPr>
            <w:tcW w:w="1560" w:type="dxa"/>
            <w:tcBorders>
              <w:top w:val="nil"/>
              <w:bottom w:val="nil"/>
            </w:tcBorders>
            <w:shd w:val="solid" w:color="FFFFFF" w:fill="FFFFFF"/>
            <w:noWrap/>
            <w:vAlign w:val="bottom"/>
            <w:hideMark/>
          </w:tcPr>
          <w:p w:rsidR="005931A0" w:rsidRPr="005931A0" w:rsidRDefault="005931A0" w:rsidP="005931A0">
            <w:pPr>
              <w:pStyle w:val="TableText"/>
            </w:pPr>
            <w:r w:rsidRPr="005931A0">
              <w:t>United Kingdom</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1.6</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0.0</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1.6</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24.9</w:t>
            </w:r>
          </w:p>
        </w:tc>
        <w:tc>
          <w:tcPr>
            <w:tcW w:w="1370" w:type="dxa"/>
            <w:tcBorders>
              <w:top w:val="nil"/>
              <w:bottom w:val="nil"/>
            </w:tcBorders>
            <w:shd w:val="solid" w:color="FFFFFF" w:fill="FFFFFF"/>
            <w:noWrap/>
            <w:vAlign w:val="bottom"/>
            <w:hideMark/>
          </w:tcPr>
          <w:p w:rsidR="005931A0" w:rsidRPr="005931A0" w:rsidRDefault="005931A0" w:rsidP="005931A0">
            <w:pPr>
              <w:pStyle w:val="TableText"/>
            </w:pPr>
            <w:r w:rsidRPr="005931A0">
              <w:t>6.2</w:t>
            </w:r>
          </w:p>
        </w:tc>
        <w:tc>
          <w:tcPr>
            <w:tcW w:w="1371" w:type="dxa"/>
            <w:tcBorders>
              <w:top w:val="nil"/>
              <w:bottom w:val="nil"/>
            </w:tcBorders>
            <w:shd w:val="solid" w:color="FFFFFF" w:fill="FFFFFF"/>
            <w:noWrap/>
            <w:vAlign w:val="bottom"/>
            <w:hideMark/>
          </w:tcPr>
          <w:p w:rsidR="005931A0" w:rsidRPr="005931A0" w:rsidRDefault="005931A0" w:rsidP="005931A0">
            <w:pPr>
              <w:pStyle w:val="TableText"/>
            </w:pPr>
            <w:r w:rsidRPr="005931A0">
              <w:t>32.9</w:t>
            </w:r>
          </w:p>
        </w:tc>
      </w:tr>
      <w:tr w:rsidR="005931A0" w:rsidRPr="005931A0" w:rsidTr="005931A0">
        <w:trPr>
          <w:trHeight w:val="264"/>
        </w:trPr>
        <w:tc>
          <w:tcPr>
            <w:tcW w:w="1560" w:type="dxa"/>
            <w:tcBorders>
              <w:top w:val="nil"/>
              <w:bottom w:val="nil"/>
            </w:tcBorders>
            <w:shd w:val="solid" w:color="E6E6E6" w:fill="E6E6E6"/>
            <w:noWrap/>
            <w:vAlign w:val="bottom"/>
            <w:hideMark/>
          </w:tcPr>
          <w:p w:rsidR="005931A0" w:rsidRPr="005931A0" w:rsidRDefault="005931A0" w:rsidP="005931A0">
            <w:pPr>
              <w:pStyle w:val="TableText"/>
            </w:pPr>
            <w:r w:rsidRPr="005931A0">
              <w:t>United States</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3.7</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5.1</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8.8</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10.5</w:t>
            </w:r>
          </w:p>
        </w:tc>
        <w:tc>
          <w:tcPr>
            <w:tcW w:w="1370" w:type="dxa"/>
            <w:tcBorders>
              <w:top w:val="nil"/>
              <w:bottom w:val="nil"/>
            </w:tcBorders>
            <w:shd w:val="solid" w:color="E6E6E6" w:fill="E6E6E6"/>
            <w:noWrap/>
            <w:vAlign w:val="bottom"/>
            <w:hideMark/>
          </w:tcPr>
          <w:p w:rsidR="005931A0" w:rsidRPr="005931A0" w:rsidRDefault="005931A0" w:rsidP="005931A0">
            <w:pPr>
              <w:pStyle w:val="TableText"/>
            </w:pPr>
            <w:r w:rsidRPr="005931A0">
              <w:t>6.1</w:t>
            </w:r>
          </w:p>
        </w:tc>
        <w:tc>
          <w:tcPr>
            <w:tcW w:w="1371" w:type="dxa"/>
            <w:tcBorders>
              <w:top w:val="nil"/>
              <w:bottom w:val="nil"/>
            </w:tcBorders>
            <w:shd w:val="solid" w:color="E6E6E6" w:fill="E6E6E6"/>
            <w:noWrap/>
            <w:vAlign w:val="bottom"/>
            <w:hideMark/>
          </w:tcPr>
          <w:p w:rsidR="005931A0" w:rsidRPr="005931A0" w:rsidRDefault="005931A0" w:rsidP="005931A0">
            <w:pPr>
              <w:pStyle w:val="TableText"/>
            </w:pPr>
            <w:r w:rsidRPr="005931A0">
              <w:t>25.4</w:t>
            </w:r>
          </w:p>
        </w:tc>
      </w:tr>
      <w:tr w:rsidR="005931A0" w:rsidRPr="005931A0" w:rsidTr="005931A0">
        <w:trPr>
          <w:trHeight w:val="264"/>
        </w:trPr>
        <w:tc>
          <w:tcPr>
            <w:tcW w:w="156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OECD total</w:t>
            </w:r>
          </w:p>
        </w:tc>
        <w:tc>
          <w:tcPr>
            <w:tcW w:w="137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3.9</w:t>
            </w:r>
          </w:p>
        </w:tc>
        <w:tc>
          <w:tcPr>
            <w:tcW w:w="137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4.9</w:t>
            </w:r>
          </w:p>
        </w:tc>
        <w:tc>
          <w:tcPr>
            <w:tcW w:w="137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8.8</w:t>
            </w:r>
          </w:p>
        </w:tc>
        <w:tc>
          <w:tcPr>
            <w:tcW w:w="137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20.4</w:t>
            </w:r>
          </w:p>
        </w:tc>
        <w:tc>
          <w:tcPr>
            <w:tcW w:w="1370"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8.4</w:t>
            </w:r>
          </w:p>
        </w:tc>
        <w:tc>
          <w:tcPr>
            <w:tcW w:w="1371" w:type="dxa"/>
            <w:tcBorders>
              <w:top w:val="nil"/>
              <w:bottom w:val="single" w:sz="4" w:space="0" w:color="000000"/>
            </w:tcBorders>
            <w:shd w:val="solid" w:color="FFFFFF" w:fill="FFFFFF"/>
            <w:noWrap/>
            <w:vAlign w:val="bottom"/>
            <w:hideMark/>
          </w:tcPr>
          <w:p w:rsidR="005931A0" w:rsidRPr="005931A0" w:rsidRDefault="005931A0" w:rsidP="005931A0">
            <w:pPr>
              <w:pStyle w:val="TableText"/>
            </w:pPr>
            <w:r w:rsidRPr="005931A0">
              <w:t>34.2</w:t>
            </w:r>
          </w:p>
        </w:tc>
      </w:tr>
    </w:tbl>
    <w:p w:rsidR="005931A0" w:rsidRPr="005931A0" w:rsidRDefault="005931A0" w:rsidP="00750DA2">
      <w:pPr>
        <w:pStyle w:val="Hidden"/>
        <w:spacing w:after="0"/>
        <w:rPr>
          <w:rFonts w:ascii="Times New Roman" w:hAnsi="Times New Roman"/>
          <w:noProof w:val="0"/>
          <w:vanish w:val="0"/>
          <w:color w:val="auto"/>
          <w:sz w:val="20"/>
          <w:szCs w:val="20"/>
          <w:lang w:eastAsia="en-GB"/>
        </w:rPr>
      </w:pPr>
      <w:r>
        <w:rPr>
          <w:vanish w:val="0"/>
        </w:rPr>
        <w:fldChar w:fldCharType="end"/>
      </w:r>
      <w:r w:rsidRPr="005931A0">
        <w:rPr>
          <w:vanish w:val="0"/>
          <w:color w:val="auto"/>
        </w:rPr>
        <w:t>Source: OECD Revenue Statistics</w:t>
      </w:r>
      <w:r w:rsidRPr="005931A0">
        <w:rPr>
          <w:vanish w:val="0"/>
          <w:color w:val="auto"/>
        </w:rPr>
        <w:fldChar w:fldCharType="begin"/>
      </w:r>
      <w:r w:rsidRPr="005931A0">
        <w:rPr>
          <w:vanish w:val="0"/>
          <w:color w:val="auto"/>
        </w:rPr>
        <w:instrText xml:space="preserve"> LINK Excel.Sheet.12 "\\\\CAIDATA\\ECONSTAT$\\Projects and Drafts\\Finance Commission\\Follow up work 2016\\Update of charts and tables in the report\\Table 1 - OECD data.xls.xlsx" "Table 1!R1C1:R11C7" \a \f 5 \h  \* MERGEFORMAT </w:instrText>
      </w:r>
      <w:r w:rsidRPr="005931A0">
        <w:rPr>
          <w:vanish w:val="0"/>
          <w:color w:val="auto"/>
        </w:rPr>
        <w:fldChar w:fldCharType="separate"/>
      </w:r>
    </w:p>
    <w:p w:rsidR="005931A0" w:rsidRDefault="005931A0" w:rsidP="00750DA2">
      <w:pPr>
        <w:pStyle w:val="Hidden"/>
        <w:spacing w:after="0"/>
        <w:rPr>
          <w:vanish w:val="0"/>
          <w:color w:val="auto"/>
        </w:rPr>
      </w:pPr>
      <w:r w:rsidRPr="005931A0">
        <w:rPr>
          <w:vanish w:val="0"/>
          <w:color w:val="auto"/>
        </w:rPr>
        <w:fldChar w:fldCharType="end"/>
      </w:r>
      <w:hyperlink r:id="rId13" w:history="1">
        <w:r w:rsidRPr="005931A0">
          <w:rPr>
            <w:rStyle w:val="Hyperlink"/>
            <w:vanish w:val="0"/>
          </w:rPr>
          <w:t>Y:\Projects and Drafts\Finance Commission\Follow up work 2016\Update of charts and tables in the report\Table 1.xls.xlsx</w:t>
        </w:r>
      </w:hyperlink>
    </w:p>
    <w:p w:rsidR="0005043C" w:rsidRDefault="0005043C" w:rsidP="0005043C">
      <w:pPr>
        <w:spacing w:after="0" w:line="240" w:lineRule="auto"/>
      </w:pPr>
    </w:p>
    <w:p w:rsidR="0005043C" w:rsidRPr="00086668" w:rsidRDefault="0005043C" w:rsidP="0005043C">
      <w:pPr>
        <w:pStyle w:val="Hidden"/>
        <w:spacing w:after="0"/>
        <w:rPr>
          <w:rFonts w:ascii="Foundry Form Sans" w:hAnsi="Foundry Form Sans"/>
          <w:b/>
          <w:vanish w:val="0"/>
          <w:color w:val="auto"/>
          <w:sz w:val="24"/>
        </w:rPr>
      </w:pPr>
      <w:r w:rsidRPr="00086668">
        <w:rPr>
          <w:rFonts w:ascii="Foundry Form Sans" w:hAnsi="Foundry Form Sans"/>
          <w:b/>
          <w:vanish w:val="0"/>
          <w:color w:val="auto"/>
          <w:sz w:val="24"/>
        </w:rPr>
        <w:t>Figure 1: Government capital investment over time, 1990/91 to 2015/16</w:t>
      </w:r>
    </w:p>
    <w:p w:rsidR="0005043C" w:rsidRDefault="0005043C" w:rsidP="0005043C">
      <w:pPr>
        <w:pStyle w:val="DocType"/>
      </w:pPr>
      <w:r>
        <w:rPr>
          <w:noProof/>
        </w:rPr>
        <w:lastRenderedPageBreak/>
        <w:drawing>
          <wp:inline distT="0" distB="0" distL="0" distR="0" wp14:anchorId="7707BB03" wp14:editId="7E9E5D1E">
            <wp:extent cx="6614160" cy="2743200"/>
            <wp:effectExtent l="0" t="0" r="15240" b="19050"/>
            <wp:docPr id="1681" name="Chart 1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043C" w:rsidRDefault="0005043C" w:rsidP="00E027D8">
      <w:r w:rsidRPr="0005043C">
        <w:t>Source: Office for National Statistics (Public Expenditure Statistical Analyses</w:t>
      </w:r>
      <w:r w:rsidR="00E027D8">
        <w:t xml:space="preserve"> (PESA)</w:t>
      </w:r>
      <w:r w:rsidRPr="0005043C">
        <w:t>, 2016)</w:t>
      </w:r>
    </w:p>
    <w:p w:rsidR="0005043C" w:rsidRDefault="00E45ED7" w:rsidP="00E027D8">
      <w:hyperlink r:id="rId15" w:history="1">
        <w:r w:rsidR="0005043C" w:rsidRPr="0005043C">
          <w:rPr>
            <w:rStyle w:val="Hyperlink"/>
          </w:rPr>
          <w:t>Y:\Projects and Drafts\Finance Commission\Follow up work 2016\Update of charts and tables in the report\Figure 1 - PESA data.xlsx</w:t>
        </w:r>
      </w:hyperlink>
    </w:p>
    <w:p w:rsidR="0005043C" w:rsidRDefault="0005043C" w:rsidP="00750DA2">
      <w:pPr>
        <w:pStyle w:val="Hidden"/>
        <w:spacing w:after="0"/>
        <w:rPr>
          <w:vanish w:val="0"/>
          <w:color w:val="auto"/>
        </w:rPr>
      </w:pPr>
    </w:p>
    <w:p w:rsidR="0005043C" w:rsidRPr="00086668" w:rsidRDefault="0005043C" w:rsidP="00750DA2">
      <w:pPr>
        <w:pStyle w:val="Hidden"/>
        <w:spacing w:after="0"/>
        <w:rPr>
          <w:rFonts w:ascii="Foundry Form Sans" w:hAnsi="Foundry Form Sans"/>
          <w:b/>
          <w:vanish w:val="0"/>
          <w:color w:val="auto"/>
          <w:sz w:val="24"/>
        </w:rPr>
      </w:pPr>
      <w:r w:rsidRPr="00086668">
        <w:rPr>
          <w:rFonts w:ascii="Foundry Form Sans" w:hAnsi="Foundry Form Sans"/>
          <w:b/>
          <w:vanish w:val="0"/>
          <w:color w:val="auto"/>
          <w:sz w:val="24"/>
        </w:rPr>
        <w:t>Figure 2: Public sector and local authority borrowing, 1990/91 to 2015/16</w:t>
      </w:r>
    </w:p>
    <w:p w:rsidR="0005043C" w:rsidRDefault="0005043C" w:rsidP="0005043C">
      <w:r>
        <w:rPr>
          <w:noProof/>
        </w:rPr>
        <w:drawing>
          <wp:inline distT="0" distB="0" distL="0" distR="0" wp14:anchorId="1C6751D8" wp14:editId="42BB8E61">
            <wp:extent cx="5943600" cy="2781300"/>
            <wp:effectExtent l="0" t="0" r="19050" b="19050"/>
            <wp:docPr id="1805" name="Chart 18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6668" w:rsidRDefault="00086668" w:rsidP="0005043C">
      <w:r>
        <w:t>Source: Office for National Statistics, Local government net borrowing and Public sector net borrowing (excluding public sector banks), 2016</w:t>
      </w:r>
    </w:p>
    <w:p w:rsidR="00086668" w:rsidRDefault="00E45ED7" w:rsidP="0005043C">
      <w:pPr>
        <w:rPr>
          <w:rStyle w:val="Hyperlink"/>
        </w:rPr>
      </w:pPr>
      <w:hyperlink r:id="rId17" w:history="1">
        <w:r w:rsidR="00086668" w:rsidRPr="00086668">
          <w:rPr>
            <w:rStyle w:val="Hyperlink"/>
          </w:rPr>
          <w:t>Y:\Projects and Drafts\Finance Commission\Follow up work 2016\Update of charts and tables in the report\Figure 2 - ONS data.xlsx</w:t>
        </w:r>
      </w:hyperlink>
    </w:p>
    <w:p w:rsidR="003831F0" w:rsidRDefault="003831F0" w:rsidP="0005043C">
      <w:pPr>
        <w:rPr>
          <w:rStyle w:val="Hyperlink"/>
        </w:rPr>
      </w:pPr>
    </w:p>
    <w:p w:rsidR="003831F0" w:rsidRDefault="003831F0" w:rsidP="0005043C">
      <w:pPr>
        <w:rPr>
          <w:rStyle w:val="Hyperlink"/>
        </w:rPr>
      </w:pPr>
    </w:p>
    <w:p w:rsidR="003831F0" w:rsidRDefault="003831F0" w:rsidP="0005043C"/>
    <w:p w:rsidR="00086668" w:rsidRPr="00086668" w:rsidRDefault="00086668" w:rsidP="0005043C">
      <w:pPr>
        <w:rPr>
          <w:b/>
        </w:rPr>
      </w:pPr>
      <w:r w:rsidRPr="00086668">
        <w:rPr>
          <w:b/>
        </w:rPr>
        <w:t>Table 2: Selected forecast tax yields in London and the UK for 2016/17, £ million</w:t>
      </w:r>
    </w:p>
    <w:tbl>
      <w:tblPr>
        <w:tblStyle w:val="TableGrid"/>
        <w:tblW w:w="0" w:type="auto"/>
        <w:tblInd w:w="57" w:type="dxa"/>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3280"/>
        <w:gridCol w:w="960"/>
        <w:gridCol w:w="960"/>
        <w:gridCol w:w="1160"/>
      </w:tblGrid>
      <w:tr w:rsidR="00086668" w:rsidRPr="00086668" w:rsidTr="00086668">
        <w:trPr>
          <w:trHeight w:val="324"/>
        </w:trPr>
        <w:tc>
          <w:tcPr>
            <w:tcW w:w="3280" w:type="dxa"/>
            <w:tcBorders>
              <w:top w:val="single" w:sz="4" w:space="0" w:color="000000"/>
              <w:bottom w:val="single" w:sz="4" w:space="0" w:color="000000"/>
            </w:tcBorders>
            <w:shd w:val="solid" w:color="0163A4" w:fill="0163A4"/>
            <w:noWrap/>
            <w:hideMark/>
          </w:tcPr>
          <w:p w:rsidR="00086668" w:rsidRPr="00086668" w:rsidRDefault="00086668" w:rsidP="00086668">
            <w:pPr>
              <w:pStyle w:val="TableHeading"/>
            </w:pPr>
          </w:p>
        </w:tc>
        <w:tc>
          <w:tcPr>
            <w:tcW w:w="960" w:type="dxa"/>
            <w:tcBorders>
              <w:top w:val="single" w:sz="4" w:space="0" w:color="000000"/>
              <w:bottom w:val="single" w:sz="4" w:space="0" w:color="000000"/>
            </w:tcBorders>
            <w:shd w:val="solid" w:color="0163A4" w:fill="0163A4"/>
            <w:noWrap/>
            <w:hideMark/>
          </w:tcPr>
          <w:p w:rsidR="00086668" w:rsidRPr="00086668" w:rsidRDefault="00086668" w:rsidP="00086668">
            <w:pPr>
              <w:pStyle w:val="TableHeading"/>
            </w:pPr>
            <w:r w:rsidRPr="00086668">
              <w:t>London</w:t>
            </w:r>
            <w:r w:rsidRPr="00086668">
              <w:rPr>
                <w:vertAlign w:val="superscript"/>
              </w:rPr>
              <w:t>2</w:t>
            </w:r>
          </w:p>
        </w:tc>
        <w:tc>
          <w:tcPr>
            <w:tcW w:w="960" w:type="dxa"/>
            <w:tcBorders>
              <w:top w:val="single" w:sz="4" w:space="0" w:color="000000"/>
              <w:bottom w:val="single" w:sz="4" w:space="0" w:color="000000"/>
            </w:tcBorders>
            <w:shd w:val="solid" w:color="0163A4" w:fill="0163A4"/>
            <w:noWrap/>
            <w:hideMark/>
          </w:tcPr>
          <w:p w:rsidR="00086668" w:rsidRPr="00086668" w:rsidRDefault="00086668" w:rsidP="00086668">
            <w:pPr>
              <w:pStyle w:val="TableHeading"/>
            </w:pPr>
            <w:r w:rsidRPr="00086668">
              <w:t>UK</w:t>
            </w:r>
            <w:r w:rsidRPr="00086668">
              <w:rPr>
                <w:vertAlign w:val="superscript"/>
              </w:rPr>
              <w:t>1</w:t>
            </w:r>
          </w:p>
        </w:tc>
        <w:tc>
          <w:tcPr>
            <w:tcW w:w="1160" w:type="dxa"/>
            <w:tcBorders>
              <w:top w:val="single" w:sz="4" w:space="0" w:color="000000"/>
              <w:bottom w:val="single" w:sz="4" w:space="0" w:color="000000"/>
            </w:tcBorders>
            <w:shd w:val="solid" w:color="0163A4" w:fill="0163A4"/>
            <w:noWrap/>
            <w:hideMark/>
          </w:tcPr>
          <w:p w:rsidR="00086668" w:rsidRPr="00086668" w:rsidRDefault="00086668" w:rsidP="00086668">
            <w:pPr>
              <w:pStyle w:val="TableHeading"/>
            </w:pPr>
            <w:r w:rsidRPr="00086668">
              <w:t>London %</w:t>
            </w:r>
          </w:p>
        </w:tc>
      </w:tr>
      <w:tr w:rsidR="00086668" w:rsidRPr="00086668" w:rsidTr="00086668">
        <w:trPr>
          <w:trHeight w:val="288"/>
        </w:trPr>
        <w:tc>
          <w:tcPr>
            <w:tcW w:w="3280" w:type="dxa"/>
            <w:tcBorders>
              <w:top w:val="single" w:sz="4" w:space="0" w:color="000000"/>
              <w:bottom w:val="nil"/>
            </w:tcBorders>
            <w:shd w:val="solid" w:color="FFFFFF" w:fill="FFFFFF"/>
            <w:noWrap/>
            <w:hideMark/>
          </w:tcPr>
          <w:p w:rsidR="00086668" w:rsidRPr="00086668" w:rsidRDefault="00086668" w:rsidP="00086668">
            <w:pPr>
              <w:pStyle w:val="TableText"/>
            </w:pPr>
            <w:r w:rsidRPr="00086668">
              <w:t>Council tax</w:t>
            </w:r>
          </w:p>
        </w:tc>
        <w:tc>
          <w:tcPr>
            <w:tcW w:w="960" w:type="dxa"/>
            <w:tcBorders>
              <w:top w:val="single" w:sz="4" w:space="0" w:color="000000"/>
              <w:bottom w:val="nil"/>
            </w:tcBorders>
            <w:shd w:val="solid" w:color="FFFFFF" w:fill="FFFFFF"/>
            <w:noWrap/>
            <w:hideMark/>
          </w:tcPr>
          <w:p w:rsidR="00086668" w:rsidRPr="00086668" w:rsidRDefault="00086668" w:rsidP="00086668">
            <w:pPr>
              <w:pStyle w:val="TableText"/>
              <w:jc w:val="right"/>
            </w:pPr>
            <w:r w:rsidRPr="00086668">
              <w:t>3</w:t>
            </w:r>
            <w:r>
              <w:t>,</w:t>
            </w:r>
            <w:r w:rsidRPr="00086668">
              <w:t>688</w:t>
            </w:r>
          </w:p>
        </w:tc>
        <w:tc>
          <w:tcPr>
            <w:tcW w:w="960" w:type="dxa"/>
            <w:tcBorders>
              <w:top w:val="single" w:sz="4" w:space="0" w:color="000000"/>
              <w:bottom w:val="nil"/>
            </w:tcBorders>
            <w:shd w:val="solid" w:color="FFFFFF" w:fill="FFFFFF"/>
            <w:noWrap/>
            <w:hideMark/>
          </w:tcPr>
          <w:p w:rsidR="00086668" w:rsidRPr="00086668" w:rsidRDefault="00086668" w:rsidP="00086668">
            <w:pPr>
              <w:pStyle w:val="TableText"/>
              <w:jc w:val="right"/>
            </w:pPr>
            <w:r w:rsidRPr="00086668">
              <w:t>30</w:t>
            </w:r>
            <w:r>
              <w:t>,</w:t>
            </w:r>
            <w:r w:rsidRPr="00086668">
              <w:t>100</w:t>
            </w:r>
          </w:p>
        </w:tc>
        <w:tc>
          <w:tcPr>
            <w:tcW w:w="1160" w:type="dxa"/>
            <w:tcBorders>
              <w:top w:val="single" w:sz="4" w:space="0" w:color="000000"/>
              <w:bottom w:val="nil"/>
            </w:tcBorders>
            <w:shd w:val="solid" w:color="FFFFFF" w:fill="FFFFFF"/>
            <w:noWrap/>
            <w:hideMark/>
          </w:tcPr>
          <w:p w:rsidR="00086668" w:rsidRPr="00086668" w:rsidRDefault="00086668" w:rsidP="00086668">
            <w:pPr>
              <w:pStyle w:val="TableText"/>
              <w:jc w:val="right"/>
            </w:pPr>
            <w:r w:rsidRPr="00086668">
              <w:t>12%</w:t>
            </w:r>
          </w:p>
        </w:tc>
      </w:tr>
      <w:tr w:rsidR="00086668" w:rsidRPr="00086668" w:rsidTr="00086668">
        <w:trPr>
          <w:trHeight w:val="288"/>
        </w:trPr>
        <w:tc>
          <w:tcPr>
            <w:tcW w:w="3280" w:type="dxa"/>
            <w:tcBorders>
              <w:top w:val="nil"/>
              <w:bottom w:val="nil"/>
            </w:tcBorders>
            <w:shd w:val="solid" w:color="E6E6E6" w:fill="E6E6E6"/>
            <w:noWrap/>
            <w:hideMark/>
          </w:tcPr>
          <w:p w:rsidR="00086668" w:rsidRPr="00086668" w:rsidRDefault="00086668" w:rsidP="00086668">
            <w:pPr>
              <w:pStyle w:val="TableText"/>
            </w:pPr>
            <w:r w:rsidRPr="00086668">
              <w:t>Business rates</w:t>
            </w:r>
          </w:p>
        </w:tc>
        <w:tc>
          <w:tcPr>
            <w:tcW w:w="960" w:type="dxa"/>
            <w:tcBorders>
              <w:top w:val="nil"/>
              <w:bottom w:val="nil"/>
            </w:tcBorders>
            <w:shd w:val="solid" w:color="E6E6E6" w:fill="E6E6E6"/>
            <w:noWrap/>
            <w:hideMark/>
          </w:tcPr>
          <w:p w:rsidR="00086668" w:rsidRPr="00086668" w:rsidRDefault="00086668" w:rsidP="00086668">
            <w:pPr>
              <w:pStyle w:val="TableText"/>
              <w:jc w:val="right"/>
            </w:pPr>
            <w:r w:rsidRPr="00086668">
              <w:t>6</w:t>
            </w:r>
            <w:r>
              <w:t>,</w:t>
            </w:r>
            <w:r w:rsidRPr="00086668">
              <w:t>578</w:t>
            </w:r>
          </w:p>
        </w:tc>
        <w:tc>
          <w:tcPr>
            <w:tcW w:w="960" w:type="dxa"/>
            <w:tcBorders>
              <w:top w:val="nil"/>
              <w:bottom w:val="nil"/>
            </w:tcBorders>
            <w:shd w:val="solid" w:color="E6E6E6" w:fill="E6E6E6"/>
            <w:noWrap/>
            <w:hideMark/>
          </w:tcPr>
          <w:p w:rsidR="00086668" w:rsidRPr="00086668" w:rsidRDefault="00086668" w:rsidP="00086668">
            <w:pPr>
              <w:pStyle w:val="TableText"/>
              <w:jc w:val="right"/>
            </w:pPr>
            <w:r w:rsidRPr="00086668">
              <w:t>28</w:t>
            </w:r>
            <w:r>
              <w:t>,</w:t>
            </w:r>
            <w:r w:rsidRPr="00086668">
              <w:t>400</w:t>
            </w:r>
          </w:p>
        </w:tc>
        <w:tc>
          <w:tcPr>
            <w:tcW w:w="1160" w:type="dxa"/>
            <w:tcBorders>
              <w:top w:val="nil"/>
              <w:bottom w:val="nil"/>
            </w:tcBorders>
            <w:shd w:val="solid" w:color="E6E6E6" w:fill="E6E6E6"/>
            <w:noWrap/>
            <w:hideMark/>
          </w:tcPr>
          <w:p w:rsidR="00086668" w:rsidRPr="00086668" w:rsidRDefault="00086668" w:rsidP="00086668">
            <w:pPr>
              <w:pStyle w:val="TableText"/>
              <w:jc w:val="right"/>
            </w:pPr>
            <w:r w:rsidRPr="00086668">
              <w:t>23%</w:t>
            </w:r>
          </w:p>
        </w:tc>
      </w:tr>
      <w:tr w:rsidR="00086668" w:rsidRPr="00086668" w:rsidTr="00086668">
        <w:trPr>
          <w:trHeight w:val="288"/>
        </w:trPr>
        <w:tc>
          <w:tcPr>
            <w:tcW w:w="3280" w:type="dxa"/>
            <w:tcBorders>
              <w:top w:val="nil"/>
              <w:bottom w:val="nil"/>
            </w:tcBorders>
            <w:shd w:val="solid" w:color="FFFFFF" w:fill="FFFFFF"/>
            <w:noWrap/>
            <w:hideMark/>
          </w:tcPr>
          <w:p w:rsidR="00086668" w:rsidRPr="00086668" w:rsidRDefault="00086668" w:rsidP="00086668">
            <w:pPr>
              <w:pStyle w:val="TableText"/>
            </w:pPr>
            <w:r w:rsidRPr="00086668">
              <w:t>Stamp duty land tax</w:t>
            </w:r>
          </w:p>
        </w:tc>
        <w:tc>
          <w:tcPr>
            <w:tcW w:w="960" w:type="dxa"/>
            <w:tcBorders>
              <w:top w:val="nil"/>
              <w:bottom w:val="nil"/>
            </w:tcBorders>
            <w:shd w:val="solid" w:color="FFFFFF" w:fill="FFFFFF"/>
            <w:noWrap/>
            <w:hideMark/>
          </w:tcPr>
          <w:p w:rsidR="00086668" w:rsidRPr="00086668" w:rsidRDefault="00086668" w:rsidP="00086668">
            <w:pPr>
              <w:pStyle w:val="TableText"/>
              <w:jc w:val="right"/>
            </w:pPr>
            <w:r w:rsidRPr="00086668">
              <w:t>5</w:t>
            </w:r>
            <w:r>
              <w:t>,</w:t>
            </w:r>
            <w:r w:rsidRPr="00086668">
              <w:t>212</w:t>
            </w:r>
          </w:p>
        </w:tc>
        <w:tc>
          <w:tcPr>
            <w:tcW w:w="960" w:type="dxa"/>
            <w:tcBorders>
              <w:top w:val="nil"/>
              <w:bottom w:val="nil"/>
            </w:tcBorders>
            <w:shd w:val="solid" w:color="FFFFFF" w:fill="FFFFFF"/>
            <w:noWrap/>
            <w:hideMark/>
          </w:tcPr>
          <w:p w:rsidR="00086668" w:rsidRPr="00086668" w:rsidRDefault="00086668" w:rsidP="00086668">
            <w:pPr>
              <w:pStyle w:val="TableText"/>
              <w:jc w:val="right"/>
            </w:pPr>
            <w:r w:rsidRPr="00086668">
              <w:t>12</w:t>
            </w:r>
            <w:r>
              <w:t>,</w:t>
            </w:r>
            <w:r w:rsidRPr="00086668">
              <w:t>900</w:t>
            </w:r>
          </w:p>
        </w:tc>
        <w:tc>
          <w:tcPr>
            <w:tcW w:w="1160" w:type="dxa"/>
            <w:tcBorders>
              <w:top w:val="nil"/>
              <w:bottom w:val="nil"/>
            </w:tcBorders>
            <w:shd w:val="solid" w:color="FFFFFF" w:fill="FFFFFF"/>
            <w:noWrap/>
            <w:hideMark/>
          </w:tcPr>
          <w:p w:rsidR="00086668" w:rsidRPr="00086668" w:rsidRDefault="00086668" w:rsidP="00086668">
            <w:pPr>
              <w:pStyle w:val="TableText"/>
              <w:jc w:val="right"/>
            </w:pPr>
            <w:r w:rsidRPr="00086668">
              <w:t>40%</w:t>
            </w:r>
          </w:p>
        </w:tc>
      </w:tr>
      <w:tr w:rsidR="00086668" w:rsidRPr="00086668" w:rsidTr="00086668">
        <w:trPr>
          <w:trHeight w:val="288"/>
        </w:trPr>
        <w:tc>
          <w:tcPr>
            <w:tcW w:w="3280" w:type="dxa"/>
            <w:tcBorders>
              <w:top w:val="nil"/>
              <w:bottom w:val="nil"/>
            </w:tcBorders>
            <w:shd w:val="solid" w:color="E6E6E6" w:fill="E6E6E6"/>
            <w:noWrap/>
            <w:hideMark/>
          </w:tcPr>
          <w:p w:rsidR="00086668" w:rsidRPr="00086668" w:rsidRDefault="00086668" w:rsidP="00086668">
            <w:pPr>
              <w:pStyle w:val="TableText"/>
            </w:pPr>
            <w:r w:rsidRPr="00086668">
              <w:t>Annual tax on enveloped dwellings</w:t>
            </w:r>
          </w:p>
        </w:tc>
        <w:tc>
          <w:tcPr>
            <w:tcW w:w="960" w:type="dxa"/>
            <w:tcBorders>
              <w:top w:val="nil"/>
              <w:bottom w:val="nil"/>
            </w:tcBorders>
            <w:shd w:val="solid" w:color="E6E6E6" w:fill="E6E6E6"/>
            <w:noWrap/>
            <w:hideMark/>
          </w:tcPr>
          <w:p w:rsidR="00086668" w:rsidRPr="00086668" w:rsidRDefault="00086668" w:rsidP="00086668">
            <w:pPr>
              <w:pStyle w:val="TableText"/>
              <w:jc w:val="right"/>
            </w:pPr>
            <w:r w:rsidRPr="00086668">
              <w:t>178</w:t>
            </w:r>
          </w:p>
        </w:tc>
        <w:tc>
          <w:tcPr>
            <w:tcW w:w="960" w:type="dxa"/>
            <w:tcBorders>
              <w:top w:val="nil"/>
              <w:bottom w:val="nil"/>
            </w:tcBorders>
            <w:shd w:val="solid" w:color="E6E6E6" w:fill="E6E6E6"/>
            <w:noWrap/>
            <w:hideMark/>
          </w:tcPr>
          <w:p w:rsidR="00086668" w:rsidRPr="00086668" w:rsidRDefault="00086668" w:rsidP="00086668">
            <w:pPr>
              <w:pStyle w:val="TableText"/>
              <w:jc w:val="right"/>
            </w:pPr>
            <w:r w:rsidRPr="00086668">
              <w:t>200</w:t>
            </w:r>
          </w:p>
        </w:tc>
        <w:tc>
          <w:tcPr>
            <w:tcW w:w="1160" w:type="dxa"/>
            <w:tcBorders>
              <w:top w:val="nil"/>
              <w:bottom w:val="nil"/>
            </w:tcBorders>
            <w:shd w:val="solid" w:color="E6E6E6" w:fill="E6E6E6"/>
            <w:noWrap/>
            <w:hideMark/>
          </w:tcPr>
          <w:p w:rsidR="00086668" w:rsidRPr="00086668" w:rsidRDefault="00086668" w:rsidP="00086668">
            <w:pPr>
              <w:pStyle w:val="TableText"/>
              <w:jc w:val="right"/>
            </w:pPr>
            <w:r w:rsidRPr="00086668">
              <w:t>89%</w:t>
            </w:r>
          </w:p>
        </w:tc>
      </w:tr>
      <w:tr w:rsidR="00086668" w:rsidRPr="00086668" w:rsidTr="00086668">
        <w:trPr>
          <w:trHeight w:val="288"/>
        </w:trPr>
        <w:tc>
          <w:tcPr>
            <w:tcW w:w="3280" w:type="dxa"/>
            <w:tcBorders>
              <w:top w:val="nil"/>
              <w:bottom w:val="single" w:sz="4" w:space="0" w:color="000000"/>
            </w:tcBorders>
            <w:shd w:val="solid" w:color="FFFFFF" w:fill="FFFFFF"/>
            <w:noWrap/>
            <w:hideMark/>
          </w:tcPr>
          <w:p w:rsidR="00086668" w:rsidRPr="00086668" w:rsidRDefault="00086668" w:rsidP="00086668">
            <w:pPr>
              <w:pStyle w:val="TableText"/>
            </w:pPr>
            <w:r w:rsidRPr="00086668">
              <w:t>Capital gains property disposal tax</w:t>
            </w:r>
          </w:p>
        </w:tc>
        <w:tc>
          <w:tcPr>
            <w:tcW w:w="960" w:type="dxa"/>
            <w:tcBorders>
              <w:top w:val="nil"/>
              <w:bottom w:val="single" w:sz="4" w:space="0" w:color="000000"/>
            </w:tcBorders>
            <w:shd w:val="solid" w:color="FFFFFF" w:fill="FFFFFF"/>
            <w:noWrap/>
            <w:hideMark/>
          </w:tcPr>
          <w:p w:rsidR="00086668" w:rsidRPr="00086668" w:rsidRDefault="00086668" w:rsidP="00086668">
            <w:pPr>
              <w:pStyle w:val="TableText"/>
              <w:jc w:val="right"/>
            </w:pPr>
            <w:r w:rsidRPr="00086668">
              <w:t>338</w:t>
            </w:r>
          </w:p>
        </w:tc>
        <w:tc>
          <w:tcPr>
            <w:tcW w:w="960" w:type="dxa"/>
            <w:tcBorders>
              <w:top w:val="nil"/>
              <w:bottom w:val="single" w:sz="4" w:space="0" w:color="000000"/>
            </w:tcBorders>
            <w:shd w:val="solid" w:color="FFFFFF" w:fill="FFFFFF"/>
            <w:noWrap/>
            <w:hideMark/>
          </w:tcPr>
          <w:p w:rsidR="00086668" w:rsidRPr="00086668" w:rsidRDefault="00086668" w:rsidP="00086668">
            <w:pPr>
              <w:pStyle w:val="TableText"/>
              <w:jc w:val="right"/>
            </w:pPr>
            <w:r w:rsidRPr="00086668">
              <w:t>1</w:t>
            </w:r>
            <w:r>
              <w:t>,</w:t>
            </w:r>
            <w:r w:rsidRPr="00086668">
              <w:t>332</w:t>
            </w:r>
          </w:p>
        </w:tc>
        <w:tc>
          <w:tcPr>
            <w:tcW w:w="1160" w:type="dxa"/>
            <w:tcBorders>
              <w:top w:val="nil"/>
              <w:bottom w:val="single" w:sz="4" w:space="0" w:color="000000"/>
            </w:tcBorders>
            <w:shd w:val="solid" w:color="FFFFFF" w:fill="FFFFFF"/>
            <w:noWrap/>
            <w:hideMark/>
          </w:tcPr>
          <w:p w:rsidR="00086668" w:rsidRPr="00086668" w:rsidRDefault="00086668" w:rsidP="00086668">
            <w:pPr>
              <w:pStyle w:val="TableText"/>
              <w:jc w:val="right"/>
            </w:pPr>
            <w:r w:rsidRPr="00086668">
              <w:t>25%</w:t>
            </w:r>
          </w:p>
        </w:tc>
      </w:tr>
    </w:tbl>
    <w:p w:rsidR="0005043C" w:rsidRDefault="00086668" w:rsidP="0005043C">
      <w:r w:rsidRPr="00086668">
        <w:t>Sources: HM Treasury and Office for Budget Responsibility, HMRC, CIPFA, London Councils Council Tax Monitor, GLA Economics calculations</w:t>
      </w:r>
    </w:p>
    <w:p w:rsidR="00086668" w:rsidRDefault="00086668" w:rsidP="0005043C">
      <w:r w:rsidRPr="00086668">
        <w:rPr>
          <w:vertAlign w:val="superscript"/>
        </w:rPr>
        <w:t>1</w:t>
      </w:r>
      <w:r w:rsidRPr="00086668">
        <w:t>UK data is forecast by the Office for Budget Responsibility and taken from the March 2016 Budget and supplementary fiscal tables. Capital gains property disposal tax is estimated as a share of total capital gains tax, as reported in the Budget, using 2012-13 (last available data) share of CGT from disposal of residential assets.</w:t>
      </w:r>
    </w:p>
    <w:p w:rsidR="00086668" w:rsidRDefault="00086668" w:rsidP="0005043C">
      <w:r w:rsidRPr="00086668">
        <w:rPr>
          <w:vertAlign w:val="superscript"/>
        </w:rPr>
        <w:t>2</w:t>
      </w:r>
      <w:r w:rsidRPr="00086668">
        <w:t>Data for London is calculated by applying London's share of UK tax for the latest year of actual data available, to UK Budget forecast data. For council tax, this is London Councils Council Tax Monitor (2015/16), for business rates, CIPFA Revenue Collection statistics (2014/15), for stamp duty land tax, HMRC UK Stamp Duty statistics (2014/15), for annual tax on enveloped dwellings, HMRC ATED statistics (2014/15). For capital gains property disposal tax, London's share of total UK capital gains tax is applied to estimates of UK capital gains property disposal tax.</w:t>
      </w:r>
    </w:p>
    <w:p w:rsidR="00086668" w:rsidRDefault="00E45ED7" w:rsidP="0005043C">
      <w:hyperlink r:id="rId18" w:history="1">
        <w:r w:rsidR="00086668" w:rsidRPr="00086668">
          <w:rPr>
            <w:rStyle w:val="Hyperlink"/>
          </w:rPr>
          <w:t>Y:\Projects and Drafts\Finance Commission\Follow up work 2016\Update of charts and tables in the report\Table 2.xlsx</w:t>
        </w:r>
      </w:hyperlink>
    </w:p>
    <w:p w:rsidR="00086668" w:rsidRPr="00E027D8" w:rsidRDefault="00086668" w:rsidP="0005043C">
      <w:pPr>
        <w:rPr>
          <w:b/>
        </w:rPr>
      </w:pPr>
      <w:r w:rsidRPr="00E027D8">
        <w:rPr>
          <w:b/>
        </w:rPr>
        <w:t>Table 3: Identifiable expenditure by function (2014/15) in London, the UK and the rest of the UK (£ per capita)</w:t>
      </w:r>
    </w:p>
    <w:tbl>
      <w:tblPr>
        <w:tblStyle w:val="TableGrid"/>
        <w:tblW w:w="0" w:type="auto"/>
        <w:tblInd w:w="57" w:type="dxa"/>
        <w:tblLayout w:type="fixed"/>
        <w:tblCellMar>
          <w:top w:w="28" w:type="dxa"/>
          <w:left w:w="57" w:type="dxa"/>
          <w:bottom w:w="28" w:type="dxa"/>
          <w:right w:w="57" w:type="dxa"/>
        </w:tblCellMar>
        <w:tblLook w:val="04A0" w:firstRow="1" w:lastRow="0" w:firstColumn="1" w:lastColumn="0" w:noHBand="0" w:noVBand="1"/>
      </w:tblPr>
      <w:tblGrid>
        <w:gridCol w:w="1280"/>
        <w:gridCol w:w="1194"/>
        <w:gridCol w:w="1194"/>
        <w:gridCol w:w="1194"/>
        <w:gridCol w:w="1194"/>
        <w:gridCol w:w="1194"/>
        <w:gridCol w:w="1194"/>
        <w:gridCol w:w="1195"/>
      </w:tblGrid>
      <w:tr w:rsidR="00086668" w:rsidRPr="00086668" w:rsidTr="00E027D8">
        <w:trPr>
          <w:trHeight w:val="420"/>
        </w:trPr>
        <w:tc>
          <w:tcPr>
            <w:tcW w:w="1280"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Public order &amp; safety</w:t>
            </w: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Enterprise &amp; employment policies</w:t>
            </w: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Transport</w:t>
            </w: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Health</w:t>
            </w: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Education &amp; training</w:t>
            </w:r>
          </w:p>
        </w:tc>
        <w:tc>
          <w:tcPr>
            <w:tcW w:w="1194"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Social protection</w:t>
            </w:r>
          </w:p>
        </w:tc>
        <w:tc>
          <w:tcPr>
            <w:tcW w:w="1195"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086668" w:rsidRPr="00086668" w:rsidRDefault="00086668" w:rsidP="00086668">
            <w:pPr>
              <w:pStyle w:val="TableHeading"/>
            </w:pPr>
            <w:r w:rsidRPr="00086668">
              <w:t>Total identifiable expenditure on services</w:t>
            </w:r>
          </w:p>
        </w:tc>
      </w:tr>
      <w:tr w:rsidR="00086668" w:rsidRPr="00086668" w:rsidTr="00E027D8">
        <w:trPr>
          <w:trHeight w:val="204"/>
        </w:trPr>
        <w:tc>
          <w:tcPr>
            <w:tcW w:w="1280"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Greater London</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651</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97</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600</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2,534</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1,543</w:t>
            </w:r>
          </w:p>
        </w:tc>
        <w:tc>
          <w:tcPr>
            <w:tcW w:w="1194"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3,624</w:t>
            </w:r>
          </w:p>
        </w:tc>
        <w:tc>
          <w:tcPr>
            <w:tcW w:w="1195" w:type="dxa"/>
            <w:tcBorders>
              <w:top w:val="single" w:sz="4" w:space="0" w:color="000000"/>
              <w:left w:val="single" w:sz="4" w:space="0" w:color="000000"/>
              <w:bottom w:val="nil"/>
              <w:right w:val="single" w:sz="4" w:space="0" w:color="000000"/>
            </w:tcBorders>
            <w:shd w:val="solid" w:color="E6E6E6" w:fill="E6E6E6"/>
            <w:noWrap/>
            <w:hideMark/>
          </w:tcPr>
          <w:p w:rsidR="00086668" w:rsidRPr="00086668" w:rsidRDefault="00086668" w:rsidP="00086668">
            <w:pPr>
              <w:pStyle w:val="TableText"/>
            </w:pPr>
            <w:r w:rsidRPr="00086668">
              <w:t>9,840</w:t>
            </w:r>
          </w:p>
        </w:tc>
      </w:tr>
      <w:tr w:rsidR="00086668" w:rsidRPr="00086668" w:rsidTr="00E027D8">
        <w:trPr>
          <w:trHeight w:val="204"/>
        </w:trPr>
        <w:tc>
          <w:tcPr>
            <w:tcW w:w="1280"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UK</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441</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120</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314</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2,069</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1,307</w:t>
            </w:r>
          </w:p>
        </w:tc>
        <w:tc>
          <w:tcPr>
            <w:tcW w:w="1194"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3,927</w:t>
            </w:r>
          </w:p>
        </w:tc>
        <w:tc>
          <w:tcPr>
            <w:tcW w:w="1195" w:type="dxa"/>
            <w:tcBorders>
              <w:top w:val="nil"/>
              <w:left w:val="single" w:sz="4" w:space="0" w:color="000000"/>
              <w:bottom w:val="nil"/>
              <w:right w:val="single" w:sz="4" w:space="0" w:color="000000"/>
            </w:tcBorders>
            <w:shd w:val="solid" w:color="FFFFFF" w:fill="FFFFFF"/>
            <w:noWrap/>
            <w:hideMark/>
          </w:tcPr>
          <w:p w:rsidR="00086668" w:rsidRPr="00086668" w:rsidRDefault="00086668" w:rsidP="00086668">
            <w:pPr>
              <w:pStyle w:val="TableText"/>
            </w:pPr>
            <w:r w:rsidRPr="00086668">
              <w:t>8,913</w:t>
            </w:r>
          </w:p>
        </w:tc>
      </w:tr>
      <w:tr w:rsidR="00086668" w:rsidRPr="00086668" w:rsidTr="00E027D8">
        <w:trPr>
          <w:trHeight w:val="204"/>
        </w:trPr>
        <w:tc>
          <w:tcPr>
            <w:tcW w:w="1280"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Rest of the UK</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434</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142</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273</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2,020</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1,297</w:t>
            </w:r>
          </w:p>
        </w:tc>
        <w:tc>
          <w:tcPr>
            <w:tcW w:w="1194"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4,079</w:t>
            </w:r>
          </w:p>
        </w:tc>
        <w:tc>
          <w:tcPr>
            <w:tcW w:w="1195" w:type="dxa"/>
            <w:tcBorders>
              <w:top w:val="nil"/>
              <w:left w:val="single" w:sz="4" w:space="0" w:color="000000"/>
              <w:bottom w:val="single" w:sz="4" w:space="0" w:color="000000"/>
              <w:right w:val="single" w:sz="4" w:space="0" w:color="000000"/>
            </w:tcBorders>
            <w:shd w:val="solid" w:color="E6E6E6" w:fill="E6E6E6"/>
            <w:noWrap/>
            <w:hideMark/>
          </w:tcPr>
          <w:p w:rsidR="00086668" w:rsidRPr="00086668" w:rsidRDefault="00086668" w:rsidP="00086668">
            <w:pPr>
              <w:pStyle w:val="TableText"/>
            </w:pPr>
            <w:r w:rsidRPr="00086668">
              <w:t>9,033</w:t>
            </w:r>
          </w:p>
        </w:tc>
      </w:tr>
    </w:tbl>
    <w:p w:rsidR="00086668" w:rsidRDefault="00086668" w:rsidP="0005043C">
      <w:r>
        <w:t xml:space="preserve"> </w:t>
      </w:r>
      <w:r w:rsidR="00E027D8">
        <w:t>Source: HM Treasury, Country and regional analysis, 2015, and GLA Economics calculations</w:t>
      </w:r>
    </w:p>
    <w:p w:rsidR="00E027D8" w:rsidRDefault="00E45ED7" w:rsidP="0005043C">
      <w:hyperlink r:id="rId19" w:history="1">
        <w:r w:rsidR="00E027D8" w:rsidRPr="00E027D8">
          <w:rPr>
            <w:rStyle w:val="Hyperlink"/>
          </w:rPr>
          <w:t>Y:\Projects and Drafts\Finance Commission\Follow up work 2016\Update of charts and tables in the report\Table 3.xlsx</w:t>
        </w:r>
      </w:hyperlink>
    </w:p>
    <w:p w:rsidR="00E027D8" w:rsidRPr="00E027D8" w:rsidRDefault="00E027D8" w:rsidP="0005043C">
      <w:pPr>
        <w:rPr>
          <w:b/>
        </w:rPr>
      </w:pPr>
      <w:r w:rsidRPr="00E027D8">
        <w:rPr>
          <w:b/>
        </w:rPr>
        <w:lastRenderedPageBreak/>
        <w:t>Table 4: Public expenditure as a per cent of London and UK GVA, 2010/11 to 2014/15</w:t>
      </w:r>
    </w:p>
    <w:tbl>
      <w:tblPr>
        <w:tblStyle w:val="TableGrid"/>
        <w:tblW w:w="0" w:type="auto"/>
        <w:tblInd w:w="57" w:type="dxa"/>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960"/>
        <w:gridCol w:w="960"/>
        <w:gridCol w:w="960"/>
      </w:tblGrid>
      <w:tr w:rsidR="00E027D8" w:rsidRPr="00E027D8" w:rsidTr="00E027D8">
        <w:trPr>
          <w:trHeight w:val="288"/>
        </w:trPr>
        <w:tc>
          <w:tcPr>
            <w:tcW w:w="960" w:type="dxa"/>
            <w:tcBorders>
              <w:top w:val="single" w:sz="4" w:space="0" w:color="000000"/>
              <w:bottom w:val="single" w:sz="4" w:space="0" w:color="000000"/>
            </w:tcBorders>
            <w:shd w:val="solid" w:color="0163A4" w:fill="0163A4"/>
            <w:noWrap/>
            <w:hideMark/>
          </w:tcPr>
          <w:p w:rsidR="00E027D8" w:rsidRPr="00E027D8" w:rsidRDefault="00E027D8" w:rsidP="00E027D8">
            <w:pPr>
              <w:pStyle w:val="TableHeading"/>
            </w:pPr>
          </w:p>
        </w:tc>
        <w:tc>
          <w:tcPr>
            <w:tcW w:w="960" w:type="dxa"/>
            <w:tcBorders>
              <w:top w:val="single" w:sz="4" w:space="0" w:color="000000"/>
              <w:bottom w:val="single" w:sz="4" w:space="0" w:color="000000"/>
            </w:tcBorders>
            <w:shd w:val="solid" w:color="0163A4" w:fill="0163A4"/>
            <w:noWrap/>
            <w:hideMark/>
          </w:tcPr>
          <w:p w:rsidR="00E027D8" w:rsidRPr="00E027D8" w:rsidRDefault="00E027D8" w:rsidP="00E027D8">
            <w:pPr>
              <w:pStyle w:val="TableHeading"/>
            </w:pPr>
            <w:r w:rsidRPr="00E027D8">
              <w:t>London</w:t>
            </w:r>
          </w:p>
        </w:tc>
        <w:tc>
          <w:tcPr>
            <w:tcW w:w="960" w:type="dxa"/>
            <w:tcBorders>
              <w:top w:val="single" w:sz="4" w:space="0" w:color="000000"/>
              <w:bottom w:val="single" w:sz="4" w:space="0" w:color="000000"/>
            </w:tcBorders>
            <w:shd w:val="solid" w:color="0163A4" w:fill="0163A4"/>
            <w:noWrap/>
            <w:hideMark/>
          </w:tcPr>
          <w:p w:rsidR="00E027D8" w:rsidRPr="00E027D8" w:rsidRDefault="00E027D8" w:rsidP="00E027D8">
            <w:pPr>
              <w:pStyle w:val="TableHeading"/>
            </w:pPr>
            <w:r w:rsidRPr="00E027D8">
              <w:t>UK</w:t>
            </w:r>
          </w:p>
        </w:tc>
      </w:tr>
      <w:tr w:rsidR="00E027D8" w:rsidRPr="00E027D8" w:rsidTr="00E027D8">
        <w:trPr>
          <w:trHeight w:val="288"/>
        </w:trPr>
        <w:tc>
          <w:tcPr>
            <w:tcW w:w="960" w:type="dxa"/>
            <w:tcBorders>
              <w:top w:val="single" w:sz="4" w:space="0" w:color="000000"/>
              <w:bottom w:val="nil"/>
            </w:tcBorders>
            <w:shd w:val="solid" w:color="FFFFFF" w:fill="FFFFFF"/>
            <w:noWrap/>
            <w:hideMark/>
          </w:tcPr>
          <w:p w:rsidR="00E027D8" w:rsidRPr="00E027D8" w:rsidRDefault="00E027D8" w:rsidP="00E027D8">
            <w:pPr>
              <w:pStyle w:val="TableText"/>
            </w:pPr>
            <w:r w:rsidRPr="00E027D8">
              <w:t>2010/11</w:t>
            </w:r>
          </w:p>
        </w:tc>
        <w:tc>
          <w:tcPr>
            <w:tcW w:w="960" w:type="dxa"/>
            <w:tcBorders>
              <w:top w:val="single" w:sz="4" w:space="0" w:color="000000"/>
              <w:bottom w:val="nil"/>
            </w:tcBorders>
            <w:shd w:val="solid" w:color="FFFFFF" w:fill="FFFFFF"/>
            <w:noWrap/>
            <w:hideMark/>
          </w:tcPr>
          <w:p w:rsidR="00E027D8" w:rsidRPr="00E027D8" w:rsidRDefault="00E027D8" w:rsidP="00E027D8">
            <w:pPr>
              <w:pStyle w:val="TableText"/>
            </w:pPr>
            <w:r w:rsidRPr="00E027D8">
              <w:t>30%</w:t>
            </w:r>
          </w:p>
        </w:tc>
        <w:tc>
          <w:tcPr>
            <w:tcW w:w="960" w:type="dxa"/>
            <w:tcBorders>
              <w:top w:val="single" w:sz="4" w:space="0" w:color="000000"/>
              <w:bottom w:val="nil"/>
            </w:tcBorders>
            <w:shd w:val="solid" w:color="FFFFFF" w:fill="FFFFFF"/>
            <w:noWrap/>
            <w:hideMark/>
          </w:tcPr>
          <w:p w:rsidR="00E027D8" w:rsidRPr="00E027D8" w:rsidRDefault="00E027D8" w:rsidP="00E027D8">
            <w:pPr>
              <w:pStyle w:val="TableText"/>
            </w:pPr>
            <w:r w:rsidRPr="00E027D8">
              <w:t>42%</w:t>
            </w:r>
          </w:p>
        </w:tc>
      </w:tr>
      <w:tr w:rsidR="00E027D8" w:rsidRPr="00E027D8" w:rsidTr="00E027D8">
        <w:trPr>
          <w:trHeight w:val="288"/>
        </w:trPr>
        <w:tc>
          <w:tcPr>
            <w:tcW w:w="960" w:type="dxa"/>
            <w:tcBorders>
              <w:top w:val="nil"/>
              <w:bottom w:val="nil"/>
            </w:tcBorders>
            <w:shd w:val="solid" w:color="E6E6E6" w:fill="E6E6E6"/>
            <w:noWrap/>
            <w:hideMark/>
          </w:tcPr>
          <w:p w:rsidR="00E027D8" w:rsidRPr="00E027D8" w:rsidRDefault="00E027D8" w:rsidP="00E027D8">
            <w:pPr>
              <w:pStyle w:val="TableText"/>
            </w:pPr>
            <w:r w:rsidRPr="00E027D8">
              <w:t>2011/12</w:t>
            </w:r>
          </w:p>
        </w:tc>
        <w:tc>
          <w:tcPr>
            <w:tcW w:w="960" w:type="dxa"/>
            <w:tcBorders>
              <w:top w:val="nil"/>
              <w:bottom w:val="nil"/>
            </w:tcBorders>
            <w:shd w:val="solid" w:color="E6E6E6" w:fill="E6E6E6"/>
            <w:noWrap/>
            <w:hideMark/>
          </w:tcPr>
          <w:p w:rsidR="00E027D8" w:rsidRPr="00E027D8" w:rsidRDefault="00E027D8" w:rsidP="00E027D8">
            <w:pPr>
              <w:pStyle w:val="TableText"/>
            </w:pPr>
            <w:r w:rsidRPr="00E027D8">
              <w:t>27%</w:t>
            </w:r>
          </w:p>
        </w:tc>
        <w:tc>
          <w:tcPr>
            <w:tcW w:w="960" w:type="dxa"/>
            <w:tcBorders>
              <w:top w:val="nil"/>
              <w:bottom w:val="nil"/>
            </w:tcBorders>
            <w:shd w:val="solid" w:color="E6E6E6" w:fill="E6E6E6"/>
            <w:noWrap/>
            <w:hideMark/>
          </w:tcPr>
          <w:p w:rsidR="00E027D8" w:rsidRPr="00E027D8" w:rsidRDefault="00E027D8" w:rsidP="00E027D8">
            <w:pPr>
              <w:pStyle w:val="TableText"/>
            </w:pPr>
            <w:r w:rsidRPr="00E027D8">
              <w:t>40%</w:t>
            </w:r>
          </w:p>
        </w:tc>
      </w:tr>
      <w:tr w:rsidR="00E027D8" w:rsidRPr="00E027D8" w:rsidTr="00E027D8">
        <w:trPr>
          <w:trHeight w:val="288"/>
        </w:trPr>
        <w:tc>
          <w:tcPr>
            <w:tcW w:w="960" w:type="dxa"/>
            <w:tcBorders>
              <w:top w:val="nil"/>
              <w:bottom w:val="nil"/>
            </w:tcBorders>
            <w:shd w:val="solid" w:color="FFFFFF" w:fill="FFFFFF"/>
            <w:noWrap/>
            <w:hideMark/>
          </w:tcPr>
          <w:p w:rsidR="00E027D8" w:rsidRPr="00E027D8" w:rsidRDefault="00E027D8" w:rsidP="00E027D8">
            <w:pPr>
              <w:pStyle w:val="TableText"/>
            </w:pPr>
            <w:r w:rsidRPr="00E027D8">
              <w:t>2012/13</w:t>
            </w:r>
          </w:p>
        </w:tc>
        <w:tc>
          <w:tcPr>
            <w:tcW w:w="960" w:type="dxa"/>
            <w:tcBorders>
              <w:top w:val="nil"/>
              <w:bottom w:val="nil"/>
            </w:tcBorders>
            <w:shd w:val="solid" w:color="FFFFFF" w:fill="FFFFFF"/>
            <w:noWrap/>
            <w:hideMark/>
          </w:tcPr>
          <w:p w:rsidR="00E027D8" w:rsidRPr="00E027D8" w:rsidRDefault="00E027D8" w:rsidP="00E027D8">
            <w:pPr>
              <w:pStyle w:val="TableText"/>
            </w:pPr>
            <w:r w:rsidRPr="00E027D8">
              <w:t>26%</w:t>
            </w:r>
          </w:p>
        </w:tc>
        <w:tc>
          <w:tcPr>
            <w:tcW w:w="960" w:type="dxa"/>
            <w:tcBorders>
              <w:top w:val="nil"/>
              <w:bottom w:val="nil"/>
            </w:tcBorders>
            <w:shd w:val="solid" w:color="FFFFFF" w:fill="FFFFFF"/>
            <w:noWrap/>
            <w:hideMark/>
          </w:tcPr>
          <w:p w:rsidR="00E027D8" w:rsidRPr="00E027D8" w:rsidRDefault="00E027D8" w:rsidP="00E027D8">
            <w:pPr>
              <w:pStyle w:val="TableText"/>
            </w:pPr>
            <w:r w:rsidRPr="00E027D8">
              <w:t>39%</w:t>
            </w:r>
          </w:p>
        </w:tc>
      </w:tr>
      <w:tr w:rsidR="00E027D8" w:rsidRPr="00E027D8" w:rsidTr="00E027D8">
        <w:trPr>
          <w:trHeight w:val="288"/>
        </w:trPr>
        <w:tc>
          <w:tcPr>
            <w:tcW w:w="960" w:type="dxa"/>
            <w:tcBorders>
              <w:top w:val="nil"/>
              <w:bottom w:val="nil"/>
            </w:tcBorders>
            <w:shd w:val="solid" w:color="E6E6E6" w:fill="E6E6E6"/>
            <w:noWrap/>
            <w:hideMark/>
          </w:tcPr>
          <w:p w:rsidR="00E027D8" w:rsidRPr="00E027D8" w:rsidRDefault="00E027D8" w:rsidP="00E027D8">
            <w:pPr>
              <w:pStyle w:val="TableText"/>
            </w:pPr>
            <w:r w:rsidRPr="00E027D8">
              <w:t>2013/14</w:t>
            </w:r>
          </w:p>
        </w:tc>
        <w:tc>
          <w:tcPr>
            <w:tcW w:w="960" w:type="dxa"/>
            <w:tcBorders>
              <w:top w:val="nil"/>
              <w:bottom w:val="nil"/>
            </w:tcBorders>
            <w:shd w:val="solid" w:color="E6E6E6" w:fill="E6E6E6"/>
            <w:noWrap/>
            <w:hideMark/>
          </w:tcPr>
          <w:p w:rsidR="00E027D8" w:rsidRPr="00E027D8" w:rsidRDefault="00E027D8" w:rsidP="00E027D8">
            <w:pPr>
              <w:pStyle w:val="TableText"/>
            </w:pPr>
            <w:r w:rsidRPr="00E027D8">
              <w:t>25%</w:t>
            </w:r>
          </w:p>
        </w:tc>
        <w:tc>
          <w:tcPr>
            <w:tcW w:w="960" w:type="dxa"/>
            <w:tcBorders>
              <w:top w:val="nil"/>
              <w:bottom w:val="nil"/>
            </w:tcBorders>
            <w:shd w:val="solid" w:color="E6E6E6" w:fill="E6E6E6"/>
            <w:noWrap/>
            <w:hideMark/>
          </w:tcPr>
          <w:p w:rsidR="00E027D8" w:rsidRPr="00E027D8" w:rsidRDefault="00E027D8" w:rsidP="00E027D8">
            <w:pPr>
              <w:pStyle w:val="TableText"/>
            </w:pPr>
            <w:r w:rsidRPr="00E027D8">
              <w:t>37%</w:t>
            </w:r>
          </w:p>
        </w:tc>
      </w:tr>
      <w:tr w:rsidR="00E027D8" w:rsidRPr="00E027D8" w:rsidTr="00E027D8">
        <w:trPr>
          <w:trHeight w:val="288"/>
        </w:trPr>
        <w:tc>
          <w:tcPr>
            <w:tcW w:w="960" w:type="dxa"/>
            <w:tcBorders>
              <w:top w:val="nil"/>
              <w:bottom w:val="single" w:sz="4" w:space="0" w:color="000000"/>
            </w:tcBorders>
            <w:shd w:val="solid" w:color="FFFFFF" w:fill="FFFFFF"/>
            <w:noWrap/>
            <w:hideMark/>
          </w:tcPr>
          <w:p w:rsidR="00E027D8" w:rsidRPr="00E027D8" w:rsidRDefault="00E027D8" w:rsidP="00E027D8">
            <w:pPr>
              <w:pStyle w:val="TableText"/>
            </w:pPr>
            <w:r w:rsidRPr="00E027D8">
              <w:t>2014/15</w:t>
            </w:r>
          </w:p>
        </w:tc>
        <w:tc>
          <w:tcPr>
            <w:tcW w:w="960" w:type="dxa"/>
            <w:tcBorders>
              <w:top w:val="nil"/>
              <w:bottom w:val="single" w:sz="4" w:space="0" w:color="000000"/>
            </w:tcBorders>
            <w:shd w:val="solid" w:color="FFFFFF" w:fill="FFFFFF"/>
            <w:noWrap/>
            <w:hideMark/>
          </w:tcPr>
          <w:p w:rsidR="00E027D8" w:rsidRPr="00E027D8" w:rsidRDefault="00E027D8" w:rsidP="00E027D8">
            <w:pPr>
              <w:pStyle w:val="TableText"/>
            </w:pPr>
            <w:r w:rsidRPr="00E027D8">
              <w:t>23%</w:t>
            </w:r>
          </w:p>
        </w:tc>
        <w:tc>
          <w:tcPr>
            <w:tcW w:w="960" w:type="dxa"/>
            <w:tcBorders>
              <w:top w:val="nil"/>
              <w:bottom w:val="single" w:sz="4" w:space="0" w:color="000000"/>
            </w:tcBorders>
            <w:shd w:val="solid" w:color="FFFFFF" w:fill="FFFFFF"/>
            <w:noWrap/>
            <w:hideMark/>
          </w:tcPr>
          <w:p w:rsidR="00E027D8" w:rsidRPr="00E027D8" w:rsidRDefault="00E027D8" w:rsidP="00E027D8">
            <w:pPr>
              <w:pStyle w:val="TableText"/>
            </w:pPr>
            <w:r w:rsidRPr="00E027D8">
              <w:t>36%</w:t>
            </w:r>
          </w:p>
        </w:tc>
      </w:tr>
    </w:tbl>
    <w:p w:rsidR="00E027D8" w:rsidRDefault="00E027D8" w:rsidP="0005043C">
      <w:r>
        <w:t>Source: PESA (2015), ONS Regional GVA (2015), GLA Economics calculations</w:t>
      </w:r>
    </w:p>
    <w:p w:rsidR="00E027D8" w:rsidRDefault="00E45ED7" w:rsidP="0005043C">
      <w:hyperlink r:id="rId20" w:history="1">
        <w:r w:rsidR="00E027D8" w:rsidRPr="00E027D8">
          <w:rPr>
            <w:rStyle w:val="Hyperlink"/>
          </w:rPr>
          <w:t>Y:\Projects and Drafts\Finance Commission\Follow up work 2016\Update of charts and tables in the report\Table 4.xlsx</w:t>
        </w:r>
      </w:hyperlink>
    </w:p>
    <w:p w:rsidR="00E027D8" w:rsidRDefault="00E027D8" w:rsidP="00E027D8">
      <w:pPr>
        <w:rPr>
          <w:b/>
        </w:rPr>
      </w:pPr>
      <w:r w:rsidRPr="00E027D8">
        <w:rPr>
          <w:b/>
        </w:rPr>
        <w:t xml:space="preserve">Table </w:t>
      </w:r>
      <w:r>
        <w:rPr>
          <w:b/>
        </w:rPr>
        <w:t>5</w:t>
      </w:r>
      <w:r w:rsidRPr="00E027D8">
        <w:rPr>
          <w:b/>
        </w:rPr>
        <w:t xml:space="preserve">: </w:t>
      </w:r>
      <w:r>
        <w:rPr>
          <w:b/>
        </w:rPr>
        <w:t>Expenditure on selected services in London, the Greater South East and the UK in 2014/15: total, current and capital levels (£ million) and as a per cent of regional or national GVA</w:t>
      </w:r>
    </w:p>
    <w:tbl>
      <w:tblPr>
        <w:tblStyle w:val="TableGrid"/>
        <w:tblW w:w="0" w:type="auto"/>
        <w:tblInd w:w="57" w:type="dxa"/>
        <w:tblLayout w:type="fixed"/>
        <w:tblCellMar>
          <w:top w:w="28" w:type="dxa"/>
          <w:left w:w="57" w:type="dxa"/>
          <w:bottom w:w="28" w:type="dxa"/>
          <w:right w:w="57" w:type="dxa"/>
        </w:tblCellMar>
        <w:tblLook w:val="04A0" w:firstRow="1" w:lastRow="0" w:firstColumn="1" w:lastColumn="0" w:noHBand="0" w:noVBand="1"/>
      </w:tblPr>
      <w:tblGrid>
        <w:gridCol w:w="1668"/>
        <w:gridCol w:w="1275"/>
        <w:gridCol w:w="1140"/>
        <w:gridCol w:w="1141"/>
        <w:gridCol w:w="1140"/>
        <w:gridCol w:w="1141"/>
        <w:gridCol w:w="1140"/>
        <w:gridCol w:w="1141"/>
      </w:tblGrid>
      <w:tr w:rsidR="00186FD8" w:rsidRPr="00E027D8" w:rsidTr="00186FD8">
        <w:trPr>
          <w:trHeight w:val="288"/>
        </w:trPr>
        <w:tc>
          <w:tcPr>
            <w:tcW w:w="2943" w:type="dxa"/>
            <w:gridSpan w:val="2"/>
            <w:vMerge w:val="restart"/>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p>
        </w:tc>
        <w:tc>
          <w:tcPr>
            <w:tcW w:w="2281" w:type="dxa"/>
            <w:gridSpan w:val="2"/>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London</w:t>
            </w:r>
          </w:p>
        </w:tc>
        <w:tc>
          <w:tcPr>
            <w:tcW w:w="2281" w:type="dxa"/>
            <w:gridSpan w:val="2"/>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Greater South East</w:t>
            </w:r>
          </w:p>
        </w:tc>
        <w:tc>
          <w:tcPr>
            <w:tcW w:w="2281" w:type="dxa"/>
            <w:gridSpan w:val="2"/>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UK</w:t>
            </w:r>
          </w:p>
        </w:tc>
      </w:tr>
      <w:tr w:rsidR="00186FD8" w:rsidRPr="00E027D8" w:rsidTr="00186FD8">
        <w:trPr>
          <w:trHeight w:val="288"/>
        </w:trPr>
        <w:tc>
          <w:tcPr>
            <w:tcW w:w="2943" w:type="dxa"/>
            <w:gridSpan w:val="2"/>
            <w:vMerge/>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p>
        </w:tc>
        <w:tc>
          <w:tcPr>
            <w:tcW w:w="1140"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Level</w:t>
            </w:r>
          </w:p>
        </w:tc>
        <w:tc>
          <w:tcPr>
            <w:tcW w:w="1141"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 of GVA</w:t>
            </w:r>
          </w:p>
        </w:tc>
        <w:tc>
          <w:tcPr>
            <w:tcW w:w="1140"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Level</w:t>
            </w:r>
          </w:p>
        </w:tc>
        <w:tc>
          <w:tcPr>
            <w:tcW w:w="1141"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 of GVA</w:t>
            </w:r>
          </w:p>
        </w:tc>
        <w:tc>
          <w:tcPr>
            <w:tcW w:w="1140"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Level</w:t>
            </w:r>
          </w:p>
        </w:tc>
        <w:tc>
          <w:tcPr>
            <w:tcW w:w="1141" w:type="dxa"/>
            <w:tcBorders>
              <w:top w:val="single" w:sz="4" w:space="0" w:color="000000"/>
              <w:left w:val="single" w:sz="4" w:space="0" w:color="000000"/>
              <w:bottom w:val="single" w:sz="4" w:space="0" w:color="000000"/>
              <w:right w:val="single" w:sz="4" w:space="0" w:color="000000"/>
            </w:tcBorders>
            <w:shd w:val="solid" w:color="0163A4" w:fill="0163A4"/>
            <w:noWrap/>
            <w:hideMark/>
          </w:tcPr>
          <w:p w:rsidR="00186FD8" w:rsidRPr="00186FD8" w:rsidRDefault="00186FD8" w:rsidP="00186FD8">
            <w:pPr>
              <w:pStyle w:val="TableHeading"/>
            </w:pPr>
            <w:r w:rsidRPr="00186FD8">
              <w:t>% of GVA</w:t>
            </w:r>
          </w:p>
        </w:tc>
      </w:tr>
      <w:tr w:rsidR="00186FD8" w:rsidRPr="00E027D8" w:rsidTr="00186FD8">
        <w:trPr>
          <w:trHeight w:val="288"/>
        </w:trPr>
        <w:tc>
          <w:tcPr>
            <w:tcW w:w="1668" w:type="dxa"/>
            <w:vMerge w:val="restart"/>
            <w:tcBorders>
              <w:top w:val="single" w:sz="4" w:space="0" w:color="000000"/>
              <w:left w:val="single" w:sz="4" w:space="0" w:color="000000"/>
              <w:right w:val="single" w:sz="4" w:space="0" w:color="000000"/>
            </w:tcBorders>
            <w:shd w:val="clear" w:color="auto" w:fill="auto"/>
            <w:noWrap/>
            <w:hideMark/>
          </w:tcPr>
          <w:p w:rsidR="00186FD8" w:rsidRPr="00186FD8" w:rsidRDefault="00186FD8">
            <w:r w:rsidRPr="00186FD8">
              <w:t>Public order &amp; safety</w:t>
            </w:r>
          </w:p>
        </w:tc>
        <w:tc>
          <w:tcPr>
            <w:tcW w:w="1275"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 w:rsidRPr="00186FD8">
              <w:t>Total</w:t>
            </w:r>
          </w:p>
        </w:tc>
        <w:tc>
          <w:tcPr>
            <w:tcW w:w="1140"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5,555</w:t>
            </w:r>
          </w:p>
        </w:tc>
        <w:tc>
          <w:tcPr>
            <w:tcW w:w="1141"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1.5%</w:t>
            </w:r>
          </w:p>
        </w:tc>
        <w:tc>
          <w:tcPr>
            <w:tcW w:w="1140"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10,599</w:t>
            </w:r>
          </w:p>
        </w:tc>
        <w:tc>
          <w:tcPr>
            <w:tcW w:w="1141"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1.4%</w:t>
            </w:r>
          </w:p>
        </w:tc>
        <w:tc>
          <w:tcPr>
            <w:tcW w:w="1140"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28,492</w:t>
            </w:r>
          </w:p>
        </w:tc>
        <w:tc>
          <w:tcPr>
            <w:tcW w:w="1141" w:type="dxa"/>
            <w:tcBorders>
              <w:top w:val="single" w:sz="4" w:space="0" w:color="000000"/>
              <w:left w:val="single" w:sz="4" w:space="0" w:color="000000"/>
              <w:right w:val="single" w:sz="4" w:space="0" w:color="000000"/>
            </w:tcBorders>
            <w:shd w:val="clear" w:color="auto" w:fill="auto"/>
            <w:noWrap/>
            <w:hideMark/>
          </w:tcPr>
          <w:p w:rsidR="00186FD8" w:rsidRPr="00186FD8" w:rsidRDefault="00186FD8" w:rsidP="00186FD8">
            <w:pPr>
              <w:jc w:val="right"/>
            </w:pPr>
            <w:r w:rsidRPr="00186FD8">
              <w:t>1.8%</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5,452</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1.5%</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10,294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1.4%</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27,366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1.7%</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104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305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1,127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0.1%</w:t>
            </w:r>
          </w:p>
        </w:tc>
      </w:tr>
      <w:tr w:rsidR="00186FD8" w:rsidRPr="00E027D8" w:rsidTr="00186FD8">
        <w:trPr>
          <w:trHeight w:val="288"/>
        </w:trPr>
        <w:tc>
          <w:tcPr>
            <w:tcW w:w="1668" w:type="dxa"/>
            <w:vMerge w:val="restart"/>
            <w:tcBorders>
              <w:left w:val="single" w:sz="4" w:space="0" w:color="000000"/>
              <w:right w:val="single" w:sz="4" w:space="0" w:color="000000"/>
            </w:tcBorders>
            <w:shd w:val="clear" w:color="auto" w:fill="auto"/>
            <w:noWrap/>
            <w:hideMark/>
          </w:tcPr>
          <w:p w:rsidR="00186FD8" w:rsidRPr="00186FD8" w:rsidRDefault="00186FD8">
            <w:r w:rsidRPr="00186FD8">
              <w:t>Enterprise &amp; employment policies</w:t>
            </w:r>
          </w:p>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Total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835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1,780</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7,726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0.5%</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846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1,757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6,848</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0.4%</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23</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879</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0.1%</w:t>
            </w:r>
          </w:p>
        </w:tc>
      </w:tr>
      <w:tr w:rsidR="00186FD8" w:rsidRPr="00E027D8" w:rsidTr="00186FD8">
        <w:trPr>
          <w:trHeight w:val="288"/>
        </w:trPr>
        <w:tc>
          <w:tcPr>
            <w:tcW w:w="1668" w:type="dxa"/>
            <w:vMerge w:val="restart"/>
            <w:tcBorders>
              <w:left w:val="single" w:sz="4" w:space="0" w:color="000000"/>
              <w:right w:val="single" w:sz="4" w:space="0" w:color="000000"/>
            </w:tcBorders>
            <w:shd w:val="clear" w:color="auto" w:fill="auto"/>
            <w:noWrap/>
            <w:hideMark/>
          </w:tcPr>
          <w:p w:rsidR="00186FD8" w:rsidRPr="00186FD8" w:rsidRDefault="00186FD8">
            <w:r w:rsidRPr="00186FD8">
              <w:t>Transport</w:t>
            </w:r>
          </w:p>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Total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5,121</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1.4%</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8,642</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20,296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1.3%</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1,252</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0.3%</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2,277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0.3%</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6,630</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0.4%</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3,869</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6,365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0.9%</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13,666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0.8%</w:t>
            </w:r>
          </w:p>
        </w:tc>
      </w:tr>
      <w:tr w:rsidR="00186FD8" w:rsidRPr="00E027D8" w:rsidTr="00186FD8">
        <w:trPr>
          <w:trHeight w:val="288"/>
        </w:trPr>
        <w:tc>
          <w:tcPr>
            <w:tcW w:w="1668" w:type="dxa"/>
            <w:vMerge w:val="restart"/>
            <w:tcBorders>
              <w:left w:val="single" w:sz="4" w:space="0" w:color="000000"/>
              <w:right w:val="single" w:sz="4" w:space="0" w:color="000000"/>
            </w:tcBorders>
            <w:shd w:val="clear" w:color="auto" w:fill="auto"/>
            <w:noWrap/>
            <w:hideMark/>
          </w:tcPr>
          <w:p w:rsidR="00186FD8" w:rsidRPr="00186FD8" w:rsidRDefault="00186FD8">
            <w:r w:rsidRPr="00186FD8">
              <w:t>Health</w:t>
            </w:r>
          </w:p>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Total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21,638</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5.9%</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49,034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6.6%</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133,637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8.3%</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20,854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5.7%</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47,383</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6.4%</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129,070</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8.0%</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784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1,651</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4,567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0.3%</w:t>
            </w:r>
          </w:p>
        </w:tc>
      </w:tr>
      <w:tr w:rsidR="00186FD8" w:rsidRPr="00E027D8" w:rsidTr="00186FD8">
        <w:trPr>
          <w:trHeight w:val="288"/>
        </w:trPr>
        <w:tc>
          <w:tcPr>
            <w:tcW w:w="1668" w:type="dxa"/>
            <w:vMerge w:val="restart"/>
            <w:tcBorders>
              <w:left w:val="single" w:sz="4" w:space="0" w:color="000000"/>
              <w:right w:val="single" w:sz="4" w:space="0" w:color="000000"/>
            </w:tcBorders>
            <w:shd w:val="clear" w:color="auto" w:fill="auto"/>
            <w:noWrap/>
            <w:hideMark/>
          </w:tcPr>
          <w:p w:rsidR="00186FD8" w:rsidRPr="00186FD8" w:rsidRDefault="00186FD8">
            <w:r w:rsidRPr="00186FD8">
              <w:t xml:space="preserve">Education &amp; </w:t>
            </w:r>
            <w:r w:rsidRPr="00186FD8">
              <w:lastRenderedPageBreak/>
              <w:t>training</w:t>
            </w:r>
          </w:p>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lastRenderedPageBreak/>
              <w:t>Total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13,178</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3.6%</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30,623</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4.1%</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84,403</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5.2%</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11,833</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3.2%</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27,967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3.8%</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78,162</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4.8%</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1,345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0.4%</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2,656</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0.4%</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6,242</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0.4%</w:t>
            </w:r>
          </w:p>
        </w:tc>
      </w:tr>
      <w:tr w:rsidR="00186FD8" w:rsidRPr="00E027D8" w:rsidTr="00186FD8">
        <w:trPr>
          <w:trHeight w:val="288"/>
        </w:trPr>
        <w:tc>
          <w:tcPr>
            <w:tcW w:w="1668" w:type="dxa"/>
            <w:vMerge w:val="restart"/>
            <w:tcBorders>
              <w:left w:val="single" w:sz="4" w:space="0" w:color="000000"/>
              <w:right w:val="single" w:sz="4" w:space="0" w:color="000000"/>
            </w:tcBorders>
            <w:shd w:val="clear" w:color="auto" w:fill="auto"/>
            <w:noWrap/>
            <w:hideMark/>
          </w:tcPr>
          <w:p w:rsidR="00186FD8" w:rsidRPr="00186FD8" w:rsidRDefault="00186FD8">
            <w:r w:rsidRPr="00186FD8">
              <w:t>Social protection</w:t>
            </w:r>
          </w:p>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Total</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30,948</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8.5%</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84,034</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11.3%</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253,640</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15.7%</w:t>
            </w:r>
          </w:p>
        </w:tc>
      </w:tr>
      <w:tr w:rsidR="00186FD8" w:rsidRPr="00E027D8" w:rsidTr="00186FD8">
        <w:trPr>
          <w:trHeight w:val="288"/>
        </w:trPr>
        <w:tc>
          <w:tcPr>
            <w:tcW w:w="1668" w:type="dxa"/>
            <w:vMerge/>
            <w:tcBorders>
              <w:left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right w:val="single" w:sz="4" w:space="0" w:color="000000"/>
            </w:tcBorders>
            <w:shd w:val="clear" w:color="auto" w:fill="auto"/>
            <w:noWrap/>
            <w:hideMark/>
          </w:tcPr>
          <w:p w:rsidR="00186FD8" w:rsidRPr="00186FD8" w:rsidRDefault="00186FD8">
            <w:r w:rsidRPr="00186FD8">
              <w:t>Current</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30,925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8.5%</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83,945</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11.3%</w:t>
            </w:r>
          </w:p>
        </w:tc>
        <w:tc>
          <w:tcPr>
            <w:tcW w:w="1140"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253,247</w:t>
            </w:r>
          </w:p>
        </w:tc>
        <w:tc>
          <w:tcPr>
            <w:tcW w:w="1141" w:type="dxa"/>
            <w:tcBorders>
              <w:left w:val="single" w:sz="4" w:space="0" w:color="000000"/>
              <w:right w:val="single" w:sz="4" w:space="0" w:color="000000"/>
            </w:tcBorders>
            <w:shd w:val="clear" w:color="auto" w:fill="auto"/>
            <w:noWrap/>
            <w:hideMark/>
          </w:tcPr>
          <w:p w:rsidR="00186FD8" w:rsidRPr="00186FD8" w:rsidRDefault="00186FD8" w:rsidP="00186FD8">
            <w:pPr>
              <w:jc w:val="right"/>
            </w:pPr>
            <w:r w:rsidRPr="00186FD8">
              <w:t>15.6%</w:t>
            </w:r>
          </w:p>
        </w:tc>
      </w:tr>
      <w:tr w:rsidR="00186FD8" w:rsidRPr="00E027D8" w:rsidTr="00186FD8">
        <w:trPr>
          <w:trHeight w:val="288"/>
        </w:trPr>
        <w:tc>
          <w:tcPr>
            <w:tcW w:w="1668" w:type="dxa"/>
            <w:vMerge/>
            <w:tcBorders>
              <w:left w:val="single" w:sz="4" w:space="0" w:color="000000"/>
              <w:bottom w:val="single" w:sz="4" w:space="0" w:color="000000"/>
              <w:right w:val="single" w:sz="4" w:space="0" w:color="000000"/>
            </w:tcBorders>
            <w:shd w:val="clear" w:color="auto" w:fill="auto"/>
            <w:noWrap/>
            <w:hideMark/>
          </w:tcPr>
          <w:p w:rsidR="00186FD8" w:rsidRPr="00186FD8" w:rsidRDefault="00186FD8"/>
        </w:tc>
        <w:tc>
          <w:tcPr>
            <w:tcW w:w="1275"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 w:rsidRPr="00186FD8">
              <w:t>Capital</w:t>
            </w:r>
          </w:p>
        </w:tc>
        <w:tc>
          <w:tcPr>
            <w:tcW w:w="1140"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22</w:t>
            </w:r>
          </w:p>
        </w:tc>
        <w:tc>
          <w:tcPr>
            <w:tcW w:w="1141"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88</w:t>
            </w:r>
          </w:p>
        </w:tc>
        <w:tc>
          <w:tcPr>
            <w:tcW w:w="1141"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c>
          <w:tcPr>
            <w:tcW w:w="1140"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393</w:t>
            </w:r>
          </w:p>
        </w:tc>
        <w:tc>
          <w:tcPr>
            <w:tcW w:w="1141" w:type="dxa"/>
            <w:tcBorders>
              <w:left w:val="single" w:sz="4" w:space="0" w:color="000000"/>
              <w:bottom w:val="single" w:sz="4" w:space="0" w:color="000000"/>
              <w:right w:val="single" w:sz="4" w:space="0" w:color="000000"/>
            </w:tcBorders>
            <w:shd w:val="clear" w:color="auto" w:fill="auto"/>
            <w:noWrap/>
            <w:hideMark/>
          </w:tcPr>
          <w:p w:rsidR="00186FD8" w:rsidRPr="00186FD8" w:rsidRDefault="00186FD8" w:rsidP="00186FD8">
            <w:pPr>
              <w:jc w:val="right"/>
            </w:pPr>
            <w:r w:rsidRPr="00186FD8">
              <w:t>0.0%</w:t>
            </w:r>
          </w:p>
        </w:tc>
      </w:tr>
    </w:tbl>
    <w:p w:rsidR="00E027D8" w:rsidRDefault="00186FD8" w:rsidP="00E027D8">
      <w:r w:rsidRPr="00186FD8">
        <w:t>Source: PESA 2015, ONS and GLA Economics calculations</w:t>
      </w:r>
    </w:p>
    <w:p w:rsidR="00186FD8" w:rsidRPr="00186FD8" w:rsidRDefault="00E45ED7" w:rsidP="00E027D8">
      <w:hyperlink r:id="rId21" w:history="1">
        <w:r w:rsidR="00186FD8" w:rsidRPr="00186FD8">
          <w:rPr>
            <w:rStyle w:val="Hyperlink"/>
          </w:rPr>
          <w:t>Y:\Projects and Drafts\Finance Commission\Follow up work 2016\Update of charts and tables in the report\Table 5.xlsx</w:t>
        </w:r>
      </w:hyperlink>
    </w:p>
    <w:tbl>
      <w:tblPr>
        <w:tblW w:w="10875" w:type="dxa"/>
        <w:tblInd w:w="108" w:type="dxa"/>
        <w:tblLook w:val="04A0" w:firstRow="1" w:lastRow="0" w:firstColumn="1" w:lastColumn="0" w:noHBand="0" w:noVBand="1"/>
      </w:tblPr>
      <w:tblGrid>
        <w:gridCol w:w="4728"/>
        <w:gridCol w:w="1319"/>
        <w:gridCol w:w="1107"/>
        <w:gridCol w:w="1107"/>
        <w:gridCol w:w="1319"/>
        <w:gridCol w:w="1295"/>
      </w:tblGrid>
      <w:tr w:rsidR="003831F0" w:rsidRPr="003831F0" w:rsidTr="003831F0">
        <w:trPr>
          <w:trHeight w:val="350"/>
        </w:trPr>
        <w:tc>
          <w:tcPr>
            <w:tcW w:w="4728"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b/>
                <w:bCs/>
                <w:color w:val="000000"/>
                <w:sz w:val="18"/>
                <w:szCs w:val="22"/>
              </w:rPr>
            </w:pPr>
            <w:r w:rsidRPr="003831F0">
              <w:rPr>
                <w:rFonts w:ascii="Arial" w:hAnsi="Arial" w:cs="Arial"/>
                <w:b/>
                <w:bCs/>
                <w:color w:val="000000"/>
                <w:sz w:val="18"/>
                <w:szCs w:val="22"/>
              </w:rPr>
              <w:t>Table 6 - LFC 2013</w:t>
            </w: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295"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jc w:val="center"/>
              <w:rPr>
                <w:rFonts w:ascii="Arial" w:hAnsi="Arial" w:cs="Arial"/>
                <w:color w:val="000000"/>
                <w:sz w:val="18"/>
                <w:szCs w:val="22"/>
              </w:rPr>
            </w:pPr>
          </w:p>
        </w:tc>
      </w:tr>
      <w:tr w:rsidR="003831F0" w:rsidRPr="003831F0" w:rsidTr="003831F0">
        <w:trPr>
          <w:trHeight w:val="350"/>
        </w:trPr>
        <w:tc>
          <w:tcPr>
            <w:tcW w:w="6046" w:type="dxa"/>
            <w:gridSpan w:val="2"/>
            <w:tcBorders>
              <w:top w:val="nil"/>
              <w:left w:val="nil"/>
              <w:bottom w:val="nil"/>
              <w:right w:val="nil"/>
            </w:tcBorders>
            <w:shd w:val="clear" w:color="000000" w:fill="1F497D"/>
            <w:noWrap/>
            <w:vAlign w:val="bottom"/>
            <w:hideMark/>
          </w:tcPr>
          <w:p w:rsidR="003831F0" w:rsidRPr="003831F0" w:rsidRDefault="003831F0" w:rsidP="003831F0">
            <w:pPr>
              <w:spacing w:after="0" w:line="240" w:lineRule="auto"/>
              <w:rPr>
                <w:rFonts w:ascii="Arial" w:hAnsi="Arial" w:cs="Arial"/>
                <w:b/>
                <w:bCs/>
                <w:color w:val="FFFFFF"/>
                <w:sz w:val="18"/>
                <w:szCs w:val="22"/>
              </w:rPr>
            </w:pPr>
            <w:r w:rsidRPr="003831F0">
              <w:rPr>
                <w:rFonts w:ascii="Arial" w:hAnsi="Arial" w:cs="Arial"/>
                <w:b/>
                <w:bCs/>
                <w:color w:val="FFFFFF"/>
                <w:sz w:val="18"/>
                <w:szCs w:val="22"/>
              </w:rPr>
              <w:t>Capital &amp; Net Current (Revenue) Expenditure</w:t>
            </w:r>
          </w:p>
        </w:tc>
        <w:tc>
          <w:tcPr>
            <w:tcW w:w="1107" w:type="dxa"/>
            <w:tcBorders>
              <w:top w:val="nil"/>
              <w:left w:val="nil"/>
              <w:bottom w:val="nil"/>
              <w:right w:val="nil"/>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107" w:type="dxa"/>
            <w:tcBorders>
              <w:top w:val="nil"/>
              <w:left w:val="nil"/>
              <w:bottom w:val="nil"/>
              <w:right w:val="nil"/>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319" w:type="dxa"/>
            <w:tcBorders>
              <w:top w:val="nil"/>
              <w:left w:val="nil"/>
              <w:bottom w:val="nil"/>
              <w:right w:val="nil"/>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295" w:type="dxa"/>
            <w:tcBorders>
              <w:top w:val="nil"/>
              <w:left w:val="nil"/>
              <w:bottom w:val="nil"/>
              <w:right w:val="nil"/>
            </w:tcBorders>
            <w:shd w:val="clear" w:color="000000" w:fill="1F497D"/>
            <w:noWrap/>
            <w:vAlign w:val="bottom"/>
            <w:hideMark/>
          </w:tcPr>
          <w:p w:rsidR="003831F0" w:rsidRPr="003831F0" w:rsidRDefault="003831F0" w:rsidP="003831F0">
            <w:pPr>
              <w:spacing w:after="0" w:line="240" w:lineRule="auto"/>
              <w:jc w:val="center"/>
              <w:rPr>
                <w:rFonts w:ascii="Arial" w:hAnsi="Arial" w:cs="Arial"/>
                <w:color w:val="FFFFFF"/>
                <w:sz w:val="18"/>
                <w:szCs w:val="22"/>
              </w:rPr>
            </w:pPr>
            <w:r w:rsidRPr="003831F0">
              <w:rPr>
                <w:rFonts w:ascii="Arial" w:hAnsi="Arial" w:cs="Arial"/>
                <w:color w:val="FFFFFF"/>
                <w:sz w:val="18"/>
                <w:szCs w:val="22"/>
              </w:rPr>
              <w:t> </w:t>
            </w:r>
          </w:p>
        </w:tc>
      </w:tr>
      <w:tr w:rsidR="003831F0" w:rsidRPr="003831F0" w:rsidTr="003831F0">
        <w:trPr>
          <w:trHeight w:val="1749"/>
        </w:trPr>
        <w:tc>
          <w:tcPr>
            <w:tcW w:w="4728"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rPr>
                <w:rFonts w:ascii="Arial" w:hAnsi="Arial" w:cs="Arial"/>
                <w:b/>
                <w:bCs/>
                <w:color w:val="FFFFFF"/>
                <w:sz w:val="18"/>
                <w:szCs w:val="22"/>
              </w:rPr>
            </w:pPr>
            <w:r w:rsidRPr="003831F0">
              <w:rPr>
                <w:rFonts w:ascii="Arial" w:hAnsi="Arial" w:cs="Arial"/>
                <w:b/>
                <w:bCs/>
                <w:color w:val="FFFFFF"/>
                <w:sz w:val="18"/>
                <w:szCs w:val="22"/>
              </w:rPr>
              <w:t> </w:t>
            </w:r>
          </w:p>
        </w:tc>
        <w:tc>
          <w:tcPr>
            <w:tcW w:w="1319" w:type="dxa"/>
            <w:tcBorders>
              <w:top w:val="single" w:sz="4" w:space="0" w:color="auto"/>
              <w:left w:val="nil"/>
              <w:bottom w:val="single" w:sz="4" w:space="0" w:color="auto"/>
              <w:right w:val="single" w:sz="4" w:space="0" w:color="auto"/>
            </w:tcBorders>
            <w:shd w:val="clear" w:color="000000" w:fill="1F497D"/>
            <w:vAlign w:val="center"/>
            <w:hideMark/>
          </w:tcPr>
          <w:p w:rsidR="003831F0" w:rsidRPr="003831F0" w:rsidRDefault="003831F0" w:rsidP="003831F0">
            <w:pPr>
              <w:spacing w:after="0" w:line="240" w:lineRule="auto"/>
              <w:jc w:val="center"/>
              <w:rPr>
                <w:rFonts w:ascii="Arial" w:hAnsi="Arial" w:cs="Arial"/>
                <w:b/>
                <w:bCs/>
                <w:color w:val="FFFFFF"/>
                <w:sz w:val="18"/>
                <w:szCs w:val="22"/>
              </w:rPr>
            </w:pPr>
            <w:r w:rsidRPr="003831F0">
              <w:rPr>
                <w:rFonts w:ascii="Arial" w:hAnsi="Arial" w:cs="Arial"/>
                <w:b/>
                <w:bCs/>
                <w:color w:val="FFFFFF"/>
                <w:sz w:val="18"/>
                <w:szCs w:val="22"/>
              </w:rPr>
              <w:t>Central Government</w:t>
            </w:r>
          </w:p>
        </w:tc>
        <w:tc>
          <w:tcPr>
            <w:tcW w:w="1107" w:type="dxa"/>
            <w:tcBorders>
              <w:top w:val="single" w:sz="4" w:space="0" w:color="auto"/>
              <w:left w:val="nil"/>
              <w:bottom w:val="single" w:sz="4" w:space="0" w:color="auto"/>
              <w:right w:val="single" w:sz="4" w:space="0" w:color="auto"/>
            </w:tcBorders>
            <w:shd w:val="clear" w:color="000000" w:fill="1F497D"/>
            <w:vAlign w:val="center"/>
            <w:hideMark/>
          </w:tcPr>
          <w:p w:rsidR="003831F0" w:rsidRPr="003831F0" w:rsidRDefault="003831F0" w:rsidP="003831F0">
            <w:pPr>
              <w:spacing w:after="0" w:line="240" w:lineRule="auto"/>
              <w:jc w:val="center"/>
              <w:rPr>
                <w:rFonts w:ascii="Arial" w:hAnsi="Arial" w:cs="Arial"/>
                <w:b/>
                <w:bCs/>
                <w:color w:val="FFFFFF"/>
                <w:sz w:val="18"/>
                <w:szCs w:val="22"/>
              </w:rPr>
            </w:pPr>
            <w:r w:rsidRPr="003831F0">
              <w:rPr>
                <w:rFonts w:ascii="Arial" w:hAnsi="Arial" w:cs="Arial"/>
                <w:b/>
                <w:bCs/>
                <w:color w:val="FFFFFF"/>
                <w:sz w:val="18"/>
                <w:szCs w:val="22"/>
              </w:rPr>
              <w:t>GLA</w:t>
            </w:r>
          </w:p>
        </w:tc>
        <w:tc>
          <w:tcPr>
            <w:tcW w:w="1107" w:type="dxa"/>
            <w:tcBorders>
              <w:top w:val="single" w:sz="4" w:space="0" w:color="auto"/>
              <w:left w:val="nil"/>
              <w:bottom w:val="single" w:sz="4" w:space="0" w:color="auto"/>
              <w:right w:val="single" w:sz="4" w:space="0" w:color="auto"/>
            </w:tcBorders>
            <w:shd w:val="clear" w:color="000000" w:fill="1F497D"/>
            <w:vAlign w:val="center"/>
            <w:hideMark/>
          </w:tcPr>
          <w:p w:rsidR="003831F0" w:rsidRPr="003831F0" w:rsidRDefault="003831F0" w:rsidP="003831F0">
            <w:pPr>
              <w:spacing w:after="0" w:line="240" w:lineRule="auto"/>
              <w:jc w:val="center"/>
              <w:rPr>
                <w:rFonts w:ascii="Arial" w:hAnsi="Arial" w:cs="Arial"/>
                <w:b/>
                <w:bCs/>
                <w:color w:val="FFFFFF"/>
                <w:sz w:val="18"/>
                <w:szCs w:val="22"/>
              </w:rPr>
            </w:pPr>
            <w:r w:rsidRPr="003831F0">
              <w:rPr>
                <w:rFonts w:ascii="Arial" w:hAnsi="Arial" w:cs="Arial"/>
                <w:b/>
                <w:bCs/>
                <w:color w:val="FFFFFF"/>
                <w:sz w:val="18"/>
                <w:szCs w:val="22"/>
              </w:rPr>
              <w:t>London Boroughs</w:t>
            </w:r>
          </w:p>
        </w:tc>
        <w:tc>
          <w:tcPr>
            <w:tcW w:w="1319" w:type="dxa"/>
            <w:tcBorders>
              <w:top w:val="single" w:sz="4" w:space="0" w:color="auto"/>
              <w:left w:val="nil"/>
              <w:bottom w:val="single" w:sz="4" w:space="0" w:color="auto"/>
              <w:right w:val="single" w:sz="4" w:space="0" w:color="auto"/>
            </w:tcBorders>
            <w:shd w:val="clear" w:color="000000" w:fill="1F497D"/>
            <w:vAlign w:val="center"/>
            <w:hideMark/>
          </w:tcPr>
          <w:p w:rsidR="003831F0" w:rsidRPr="003831F0" w:rsidRDefault="003831F0" w:rsidP="003831F0">
            <w:pPr>
              <w:spacing w:after="0" w:line="240" w:lineRule="auto"/>
              <w:jc w:val="center"/>
              <w:rPr>
                <w:rFonts w:ascii="Arial" w:hAnsi="Arial" w:cs="Arial"/>
                <w:b/>
                <w:bCs/>
                <w:color w:val="FFFFFF"/>
                <w:sz w:val="18"/>
                <w:szCs w:val="22"/>
              </w:rPr>
            </w:pPr>
            <w:r w:rsidRPr="003831F0">
              <w:rPr>
                <w:rFonts w:ascii="Arial" w:hAnsi="Arial" w:cs="Arial"/>
                <w:b/>
                <w:bCs/>
                <w:color w:val="FFFFFF"/>
                <w:sz w:val="18"/>
                <w:szCs w:val="22"/>
              </w:rPr>
              <w:t>Total London Local Government</w:t>
            </w:r>
          </w:p>
        </w:tc>
        <w:tc>
          <w:tcPr>
            <w:tcW w:w="1295" w:type="dxa"/>
            <w:tcBorders>
              <w:top w:val="single" w:sz="4" w:space="0" w:color="auto"/>
              <w:left w:val="nil"/>
              <w:bottom w:val="single" w:sz="4" w:space="0" w:color="auto"/>
              <w:right w:val="single" w:sz="4" w:space="0" w:color="auto"/>
            </w:tcBorders>
            <w:shd w:val="clear" w:color="000000" w:fill="1F497D"/>
            <w:vAlign w:val="center"/>
            <w:hideMark/>
          </w:tcPr>
          <w:p w:rsidR="003831F0" w:rsidRPr="003831F0" w:rsidRDefault="003831F0" w:rsidP="003831F0">
            <w:pPr>
              <w:spacing w:after="0" w:line="240" w:lineRule="auto"/>
              <w:jc w:val="center"/>
              <w:rPr>
                <w:rFonts w:ascii="Arial" w:hAnsi="Arial" w:cs="Arial"/>
                <w:b/>
                <w:bCs/>
                <w:color w:val="FFFFFF"/>
                <w:sz w:val="18"/>
                <w:szCs w:val="22"/>
              </w:rPr>
            </w:pPr>
            <w:r w:rsidRPr="003831F0">
              <w:rPr>
                <w:rFonts w:ascii="Arial" w:hAnsi="Arial" w:cs="Arial"/>
                <w:b/>
                <w:bCs/>
                <w:color w:val="FFFFFF"/>
                <w:sz w:val="18"/>
                <w:szCs w:val="22"/>
              </w:rPr>
              <w:t>Total Public Expenditure</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Defence</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13</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Economic affairs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490</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5,106</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963</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6,069</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6,559</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Education</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5,242</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0</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8,263</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8,264</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13,506</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Environment protection</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185</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36</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1,004</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1,040</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1,226</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General public services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141</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54</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910</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965</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824</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Health</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17,247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17,247</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Housing and community amenities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613</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9</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1,458</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1,467</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2,079</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Public order and safety</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2,254</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3,833</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81</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3,914</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6,168</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Recreation, culture and religion</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697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107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651</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758</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1,455</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Social protection</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19,486</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10,305</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10,305</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29,790</w:t>
            </w:r>
          </w:p>
        </w:tc>
      </w:tr>
      <w:tr w:rsidR="003831F0" w:rsidRPr="003831F0" w:rsidTr="003831F0">
        <w:trPr>
          <w:trHeight w:val="35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b/>
                <w:bCs/>
                <w:color w:val="000000"/>
                <w:sz w:val="18"/>
                <w:szCs w:val="22"/>
              </w:rPr>
            </w:pPr>
            <w:r w:rsidRPr="003831F0">
              <w:rPr>
                <w:rFonts w:ascii="Arial" w:hAnsi="Arial" w:cs="Arial"/>
                <w:b/>
                <w:bCs/>
                <w:color w:val="000000"/>
                <w:sz w:val="18"/>
                <w:szCs w:val="22"/>
              </w:rPr>
              <w:t>Total</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46,087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9,145</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23,635</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32,780</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78,867</w:t>
            </w:r>
          </w:p>
        </w:tc>
      </w:tr>
      <w:tr w:rsidR="003831F0" w:rsidRPr="003831F0" w:rsidTr="003831F0">
        <w:trPr>
          <w:trHeight w:val="350"/>
        </w:trPr>
        <w:tc>
          <w:tcPr>
            <w:tcW w:w="4728" w:type="dxa"/>
            <w:tcBorders>
              <w:top w:val="nil"/>
              <w:left w:val="single" w:sz="4" w:space="0" w:color="auto"/>
              <w:bottom w:val="single" w:sz="4" w:space="0" w:color="auto"/>
              <w:right w:val="single" w:sz="4" w:space="0" w:color="auto"/>
            </w:tcBorders>
            <w:shd w:val="clear" w:color="000000" w:fill="1F497D"/>
            <w:noWrap/>
            <w:vAlign w:val="center"/>
            <w:hideMark/>
          </w:tcPr>
          <w:p w:rsidR="003831F0" w:rsidRPr="003831F0" w:rsidRDefault="003831F0" w:rsidP="003831F0">
            <w:pPr>
              <w:spacing w:after="0" w:line="240" w:lineRule="auto"/>
              <w:rPr>
                <w:rFonts w:ascii="Arial" w:hAnsi="Arial" w:cs="Arial"/>
                <w:b/>
                <w:bCs/>
                <w:color w:val="FFFFFF"/>
                <w:sz w:val="18"/>
                <w:szCs w:val="22"/>
              </w:rPr>
            </w:pPr>
            <w:r w:rsidRPr="003831F0">
              <w:rPr>
                <w:rFonts w:ascii="Arial" w:hAnsi="Arial" w:cs="Arial"/>
                <w:b/>
                <w:bCs/>
                <w:color w:val="FFFFFF"/>
                <w:sz w:val="18"/>
                <w:szCs w:val="22"/>
              </w:rPr>
              <w:t>Funded by:</w:t>
            </w:r>
          </w:p>
        </w:tc>
        <w:tc>
          <w:tcPr>
            <w:tcW w:w="1319" w:type="dxa"/>
            <w:tcBorders>
              <w:top w:val="nil"/>
              <w:left w:val="nil"/>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107" w:type="dxa"/>
            <w:tcBorders>
              <w:top w:val="nil"/>
              <w:left w:val="nil"/>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107" w:type="dxa"/>
            <w:tcBorders>
              <w:top w:val="nil"/>
              <w:left w:val="nil"/>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319" w:type="dxa"/>
            <w:tcBorders>
              <w:top w:val="nil"/>
              <w:left w:val="nil"/>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rPr>
                <w:rFonts w:ascii="Arial" w:hAnsi="Arial" w:cs="Arial"/>
                <w:color w:val="FFFFFF"/>
                <w:sz w:val="18"/>
                <w:szCs w:val="22"/>
              </w:rPr>
            </w:pPr>
            <w:r w:rsidRPr="003831F0">
              <w:rPr>
                <w:rFonts w:ascii="Arial" w:hAnsi="Arial" w:cs="Arial"/>
                <w:color w:val="FFFFFF"/>
                <w:sz w:val="18"/>
                <w:szCs w:val="22"/>
              </w:rPr>
              <w:t> </w:t>
            </w:r>
          </w:p>
        </w:tc>
        <w:tc>
          <w:tcPr>
            <w:tcW w:w="1295" w:type="dxa"/>
            <w:tcBorders>
              <w:top w:val="nil"/>
              <w:left w:val="nil"/>
              <w:bottom w:val="single" w:sz="4" w:space="0" w:color="auto"/>
              <w:right w:val="single" w:sz="4" w:space="0" w:color="auto"/>
            </w:tcBorders>
            <w:shd w:val="clear" w:color="000000" w:fill="1F497D"/>
            <w:noWrap/>
            <w:vAlign w:val="bottom"/>
            <w:hideMark/>
          </w:tcPr>
          <w:p w:rsidR="003831F0" w:rsidRPr="003831F0" w:rsidRDefault="003831F0" w:rsidP="003831F0">
            <w:pPr>
              <w:spacing w:after="0" w:line="240" w:lineRule="auto"/>
              <w:jc w:val="center"/>
              <w:rPr>
                <w:rFonts w:ascii="Arial" w:hAnsi="Arial" w:cs="Arial"/>
                <w:color w:val="FFFFFF"/>
                <w:sz w:val="18"/>
                <w:szCs w:val="22"/>
              </w:rPr>
            </w:pPr>
            <w:r w:rsidRPr="003831F0">
              <w:rPr>
                <w:rFonts w:ascii="Arial" w:hAnsi="Arial" w:cs="Arial"/>
                <w:color w:val="FFFFFF"/>
                <w:sz w:val="18"/>
                <w:szCs w:val="22"/>
              </w:rPr>
              <w:t> </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Council Tax</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935</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3,019</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3,954</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3,954</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Grants (</w:t>
            </w:r>
            <w:proofErr w:type="spellStart"/>
            <w:r w:rsidRPr="003831F0">
              <w:rPr>
                <w:rFonts w:ascii="Arial" w:hAnsi="Arial" w:cs="Arial"/>
                <w:color w:val="000000"/>
                <w:sz w:val="18"/>
                <w:szCs w:val="22"/>
              </w:rPr>
              <w:t>inc</w:t>
            </w:r>
            <w:proofErr w:type="spellEnd"/>
            <w:r w:rsidRPr="003831F0">
              <w:rPr>
                <w:rFonts w:ascii="Arial" w:hAnsi="Arial" w:cs="Arial"/>
                <w:color w:val="000000"/>
                <w:sz w:val="18"/>
                <w:szCs w:val="22"/>
              </w:rPr>
              <w:t xml:space="preserve"> government and other contributions)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4,954</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18,869</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23,822</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23,822</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Capital Receipts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48</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489</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537</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537</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Revenue Contributions</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1,941</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583</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2,524</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2,524</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Borrowing: Supported</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118</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118</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118</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Borrowing: Unsupported</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1,267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557</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1,825</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1,825</w:t>
            </w:r>
          </w:p>
        </w:tc>
      </w:tr>
      <w:tr w:rsidR="003831F0" w:rsidRPr="003831F0" w:rsidTr="003831F0">
        <w:trPr>
          <w:trHeight w:val="332"/>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color w:val="000000"/>
                <w:sz w:val="18"/>
                <w:szCs w:val="22"/>
              </w:rPr>
            </w:pPr>
            <w:r w:rsidRPr="003831F0">
              <w:rPr>
                <w:rFonts w:ascii="Arial" w:hAnsi="Arial" w:cs="Arial"/>
                <w:color w:val="000000"/>
                <w:sz w:val="18"/>
                <w:szCs w:val="22"/>
              </w:rPr>
              <w:t>General Taxation</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46,087</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color w:val="000000"/>
                <w:sz w:val="18"/>
                <w:szCs w:val="22"/>
              </w:rPr>
            </w:pPr>
            <w:r w:rsidRPr="003831F0">
              <w:rPr>
                <w:rFonts w:ascii="Arial" w:hAnsi="Arial" w:cs="Arial"/>
                <w:color w:val="000000"/>
                <w:sz w:val="18"/>
                <w:szCs w:val="22"/>
              </w:rPr>
              <w:t>46,087</w:t>
            </w:r>
          </w:p>
        </w:tc>
      </w:tr>
      <w:tr w:rsidR="003831F0" w:rsidRPr="003831F0" w:rsidTr="003831F0">
        <w:trPr>
          <w:trHeight w:val="350"/>
        </w:trPr>
        <w:tc>
          <w:tcPr>
            <w:tcW w:w="4728" w:type="dxa"/>
            <w:tcBorders>
              <w:top w:val="nil"/>
              <w:left w:val="single" w:sz="4" w:space="0" w:color="auto"/>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rPr>
                <w:rFonts w:ascii="Arial" w:hAnsi="Arial" w:cs="Arial"/>
                <w:b/>
                <w:bCs/>
                <w:color w:val="000000"/>
                <w:sz w:val="18"/>
                <w:szCs w:val="22"/>
              </w:rPr>
            </w:pPr>
            <w:r w:rsidRPr="003831F0">
              <w:rPr>
                <w:rFonts w:ascii="Arial" w:hAnsi="Arial" w:cs="Arial"/>
                <w:b/>
                <w:bCs/>
                <w:color w:val="000000"/>
                <w:sz w:val="18"/>
                <w:szCs w:val="22"/>
              </w:rPr>
              <w:t>Total</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44,509</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5,715</w:t>
            </w:r>
          </w:p>
        </w:tc>
        <w:tc>
          <w:tcPr>
            <w:tcW w:w="1107"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20,428</w:t>
            </w:r>
          </w:p>
        </w:tc>
        <w:tc>
          <w:tcPr>
            <w:tcW w:w="1319"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32,780</w:t>
            </w:r>
          </w:p>
        </w:tc>
        <w:tc>
          <w:tcPr>
            <w:tcW w:w="1295" w:type="dxa"/>
            <w:tcBorders>
              <w:top w:val="nil"/>
              <w:left w:val="nil"/>
              <w:bottom w:val="single" w:sz="4" w:space="0" w:color="auto"/>
              <w:right w:val="single" w:sz="4" w:space="0" w:color="auto"/>
            </w:tcBorders>
            <w:shd w:val="clear" w:color="auto" w:fill="auto"/>
            <w:noWrap/>
            <w:vAlign w:val="center"/>
            <w:hideMark/>
          </w:tcPr>
          <w:p w:rsidR="003831F0" w:rsidRPr="003831F0" w:rsidRDefault="003831F0" w:rsidP="003831F0">
            <w:pPr>
              <w:spacing w:after="0" w:line="240" w:lineRule="auto"/>
              <w:jc w:val="center"/>
              <w:rPr>
                <w:rFonts w:ascii="Arial" w:hAnsi="Arial" w:cs="Arial"/>
                <w:b/>
                <w:bCs/>
                <w:color w:val="000000"/>
                <w:sz w:val="18"/>
                <w:szCs w:val="22"/>
              </w:rPr>
            </w:pPr>
            <w:r w:rsidRPr="003831F0">
              <w:rPr>
                <w:rFonts w:ascii="Arial" w:hAnsi="Arial" w:cs="Arial"/>
                <w:b/>
                <w:bCs/>
                <w:color w:val="000000"/>
                <w:sz w:val="18"/>
                <w:szCs w:val="22"/>
              </w:rPr>
              <w:t>78,867</w:t>
            </w:r>
          </w:p>
        </w:tc>
      </w:tr>
      <w:tr w:rsidR="003831F0" w:rsidRPr="003831F0" w:rsidTr="003831F0">
        <w:trPr>
          <w:trHeight w:val="332"/>
        </w:trPr>
        <w:tc>
          <w:tcPr>
            <w:tcW w:w="4728"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295"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jc w:val="center"/>
              <w:rPr>
                <w:rFonts w:ascii="Arial" w:hAnsi="Arial" w:cs="Arial"/>
                <w:color w:val="000000"/>
                <w:sz w:val="18"/>
                <w:szCs w:val="22"/>
              </w:rPr>
            </w:pPr>
          </w:p>
        </w:tc>
      </w:tr>
      <w:tr w:rsidR="003831F0" w:rsidRPr="003831F0" w:rsidTr="003831F0">
        <w:trPr>
          <w:trHeight w:val="350"/>
        </w:trPr>
        <w:tc>
          <w:tcPr>
            <w:tcW w:w="4728" w:type="dxa"/>
            <w:tcBorders>
              <w:top w:val="nil"/>
              <w:left w:val="nil"/>
              <w:bottom w:val="nil"/>
              <w:right w:val="nil"/>
            </w:tcBorders>
            <w:shd w:val="clear" w:color="auto" w:fill="auto"/>
            <w:noWrap/>
            <w:vAlign w:val="center"/>
            <w:hideMark/>
          </w:tcPr>
          <w:p w:rsidR="003831F0" w:rsidRPr="003831F0" w:rsidRDefault="003831F0" w:rsidP="003831F0">
            <w:pPr>
              <w:spacing w:after="0" w:line="240" w:lineRule="auto"/>
              <w:rPr>
                <w:rFonts w:ascii="Arial" w:hAnsi="Arial" w:cs="Arial"/>
                <w:b/>
                <w:bCs/>
                <w:color w:val="000000"/>
                <w:sz w:val="18"/>
                <w:szCs w:val="22"/>
              </w:rPr>
            </w:pPr>
            <w:r w:rsidRPr="003831F0">
              <w:rPr>
                <w:rFonts w:ascii="Arial" w:hAnsi="Arial" w:cs="Arial"/>
                <w:b/>
                <w:bCs/>
                <w:color w:val="000000"/>
                <w:sz w:val="18"/>
                <w:szCs w:val="22"/>
              </w:rPr>
              <w:t>Note:</w:t>
            </w: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107"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319"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rPr>
                <w:rFonts w:ascii="Arial" w:hAnsi="Arial" w:cs="Arial"/>
                <w:color w:val="000000"/>
                <w:sz w:val="18"/>
                <w:szCs w:val="22"/>
              </w:rPr>
            </w:pPr>
          </w:p>
        </w:tc>
        <w:tc>
          <w:tcPr>
            <w:tcW w:w="1295" w:type="dxa"/>
            <w:tcBorders>
              <w:top w:val="nil"/>
              <w:left w:val="nil"/>
              <w:bottom w:val="nil"/>
              <w:right w:val="nil"/>
            </w:tcBorders>
            <w:shd w:val="clear" w:color="auto" w:fill="auto"/>
            <w:noWrap/>
            <w:vAlign w:val="bottom"/>
            <w:hideMark/>
          </w:tcPr>
          <w:p w:rsidR="003831F0" w:rsidRPr="003831F0" w:rsidRDefault="003831F0" w:rsidP="003831F0">
            <w:pPr>
              <w:spacing w:after="0" w:line="240" w:lineRule="auto"/>
              <w:jc w:val="center"/>
              <w:rPr>
                <w:rFonts w:ascii="Arial" w:hAnsi="Arial" w:cs="Arial"/>
                <w:color w:val="000000"/>
                <w:sz w:val="18"/>
                <w:szCs w:val="22"/>
              </w:rPr>
            </w:pPr>
          </w:p>
        </w:tc>
      </w:tr>
      <w:tr w:rsidR="003831F0" w:rsidRPr="003831F0" w:rsidTr="003831F0">
        <w:trPr>
          <w:trHeight w:val="324"/>
        </w:trPr>
        <w:tc>
          <w:tcPr>
            <w:tcW w:w="10873" w:type="dxa"/>
            <w:gridSpan w:val="6"/>
            <w:vMerge w:val="restart"/>
            <w:tcBorders>
              <w:top w:val="nil"/>
              <w:left w:val="nil"/>
              <w:bottom w:val="nil"/>
              <w:right w:val="nil"/>
            </w:tcBorders>
            <w:shd w:val="clear" w:color="auto" w:fill="auto"/>
            <w:hideMark/>
          </w:tcPr>
          <w:p w:rsidR="003831F0" w:rsidRPr="003831F0" w:rsidRDefault="003831F0" w:rsidP="003831F0">
            <w:pPr>
              <w:spacing w:after="0" w:line="240" w:lineRule="auto"/>
              <w:rPr>
                <w:rFonts w:ascii="Arial" w:hAnsi="Arial" w:cs="Arial"/>
                <w:color w:val="000000"/>
                <w:sz w:val="18"/>
                <w:szCs w:val="20"/>
              </w:rPr>
            </w:pPr>
            <w:r w:rsidRPr="003831F0">
              <w:rPr>
                <w:rFonts w:ascii="Arial" w:hAnsi="Arial" w:cs="Arial"/>
                <w:color w:val="000000"/>
                <w:sz w:val="18"/>
                <w:szCs w:val="20"/>
              </w:rPr>
              <w:t xml:space="preserve">67 This table was based on the Government’s Public Spending Statistics for 2011-12. This included the Country and Regional Analysis 2012, which provides a further level of public spending analysis by country, region, and function. The regional analyses presented in the Government release show where the individuals and enterprises that benefited from public spending were located; it does not mean that all such spending was planned to benefit a particular region. The analysis is limited to identifiable expenditure for London, which accounts for 86 per cent of total expenditure on services. The expenditure has been classified in ten broad categories, as defined by HM Treasury in its public spending statistics. Using the HM Treasury figures as a baseline for London, the data was cross referenced against information from DCLG’s Revenue Outturn (RO) and Capital Outturn Report (COR) data for 2011-12. This provided further information on the level of expenditure incurred by the GLA and the London boroughs and the City of London. Where the amount of total expenditure was higher than that recorded by London local government it was assumed that the remaining </w:t>
            </w:r>
            <w:proofErr w:type="gramStart"/>
            <w:r w:rsidRPr="003831F0">
              <w:rPr>
                <w:rFonts w:ascii="Arial" w:hAnsi="Arial" w:cs="Arial"/>
                <w:color w:val="000000"/>
                <w:sz w:val="18"/>
                <w:szCs w:val="20"/>
              </w:rPr>
              <w:t>spend</w:t>
            </w:r>
            <w:proofErr w:type="gramEnd"/>
            <w:r w:rsidRPr="003831F0">
              <w:rPr>
                <w:rFonts w:ascii="Arial" w:hAnsi="Arial" w:cs="Arial"/>
                <w:color w:val="000000"/>
                <w:sz w:val="18"/>
                <w:szCs w:val="20"/>
              </w:rPr>
              <w:t xml:space="preserve"> should be attributed to central government. A full reconciliation between these individual returns and HM Treasury statistics has not been possible. However, it is felt that these figures do serve to illustrate, in broad terms, the level of expenditure across the various tiers of government in London and where it is spent. </w:t>
            </w: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332"/>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r w:rsidR="003831F0" w:rsidRPr="003831F0" w:rsidTr="003831F0">
        <w:trPr>
          <w:trHeight w:val="2883"/>
        </w:trPr>
        <w:tc>
          <w:tcPr>
            <w:tcW w:w="10873" w:type="dxa"/>
            <w:gridSpan w:val="6"/>
            <w:vMerge/>
            <w:tcBorders>
              <w:top w:val="nil"/>
              <w:left w:val="nil"/>
              <w:bottom w:val="nil"/>
              <w:right w:val="nil"/>
            </w:tcBorders>
            <w:vAlign w:val="center"/>
            <w:hideMark/>
          </w:tcPr>
          <w:p w:rsidR="003831F0" w:rsidRPr="003831F0" w:rsidRDefault="003831F0" w:rsidP="003831F0">
            <w:pPr>
              <w:spacing w:after="0" w:line="240" w:lineRule="auto"/>
              <w:rPr>
                <w:rFonts w:ascii="Arial" w:hAnsi="Arial" w:cs="Arial"/>
                <w:color w:val="000000"/>
                <w:sz w:val="18"/>
                <w:szCs w:val="20"/>
              </w:rPr>
            </w:pPr>
          </w:p>
        </w:tc>
      </w:tr>
    </w:tbl>
    <w:p w:rsidR="00086668" w:rsidRPr="0005043C" w:rsidRDefault="00086668" w:rsidP="0005043C"/>
    <w:p w:rsidR="0005043C" w:rsidRDefault="0005043C" w:rsidP="0005043C"/>
    <w:p w:rsidR="00750DA2" w:rsidRDefault="008B4AEB" w:rsidP="0005043C">
      <w:r>
        <w:t xml:space="preserve">Do not </w:t>
      </w:r>
      <w:r w:rsidR="00750DA2">
        <w:t>delete – contains the data necessary for the last page footer</w:t>
      </w:r>
      <w:bookmarkEnd w:id="4"/>
    </w:p>
    <w:p w:rsidR="00D4663F" w:rsidRPr="00750DA2" w:rsidRDefault="00C61297" w:rsidP="0005043C">
      <w:pPr>
        <w:rPr>
          <w:sz w:val="12"/>
          <w:szCs w:val="12"/>
        </w:rPr>
      </w:pPr>
      <w:r>
        <w:rPr>
          <w:noProof/>
          <w:sz w:val="12"/>
          <w:szCs w:val="12"/>
        </w:rPr>
        <mc:AlternateContent>
          <mc:Choice Requires="wps">
            <w:drawing>
              <wp:anchor distT="0" distB="0" distL="114935" distR="114935" simplePos="0" relativeHeight="251657728" behindDoc="0" locked="1" layoutInCell="1" allowOverlap="1" wp14:anchorId="6469163D" wp14:editId="2E8719D2">
                <wp:simplePos x="0" y="0"/>
                <wp:positionH relativeFrom="page">
                  <wp:posOffset>0</wp:posOffset>
                </wp:positionH>
                <wp:positionV relativeFrom="page">
                  <wp:posOffset>9359900</wp:posOffset>
                </wp:positionV>
                <wp:extent cx="7560310" cy="1332230"/>
                <wp:effectExtent l="0" t="0" r="2540" b="4445"/>
                <wp:wrapSquare wrapText="bothSides"/>
                <wp:docPr id="2" name="FooterT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332230"/>
                        </a:xfrm>
                        <a:prstGeom prst="rect">
                          <a:avLst/>
                        </a:prstGeom>
                        <a:solidFill>
                          <a:srgbClr val="0163A4"/>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D7" w:rsidRPr="00CE5E0D" w:rsidRDefault="00E45ED7" w:rsidP="00CE5E0D">
                            <w:pPr>
                              <w:pStyle w:val="FooterText"/>
                            </w:pPr>
                            <w:r w:rsidRPr="00CE5E0D">
                              <w:t xml:space="preserve">For more information please </w:t>
                            </w:r>
                            <w:proofErr w:type="gramStart"/>
                            <w:r w:rsidRPr="00CE5E0D">
                              <w:t xml:space="preserve">contact </w:t>
                            </w:r>
                            <w:bookmarkStart w:id="5" w:name="DocType"/>
                            <w:bookmarkStart w:id="6" w:name="DocType2"/>
                            <w:bookmarkStart w:id="7" w:name="Author"/>
                            <w:bookmarkEnd w:id="5"/>
                            <w:bookmarkEnd w:id="6"/>
                            <w:bookmarkEnd w:id="7"/>
                            <w:r>
                              <w:t xml:space="preserve"> </w:t>
                            </w:r>
                            <w:bookmarkStart w:id="8" w:name="bmDocType"/>
                            <w:r>
                              <w:t>GLA</w:t>
                            </w:r>
                            <w:proofErr w:type="gramEnd"/>
                            <w:r>
                              <w:t xml:space="preserve"> Intelligence</w:t>
                            </w:r>
                            <w:bookmarkEnd w:id="8"/>
                          </w:p>
                          <w:p w:rsidR="00E45ED7" w:rsidRPr="00CE5E0D" w:rsidRDefault="00E45ED7" w:rsidP="00CE5E0D">
                            <w:pPr>
                              <w:pStyle w:val="FooterText"/>
                            </w:pPr>
                            <w:bookmarkStart w:id="9" w:name="Address"/>
                            <w:r>
                              <w:t>Greater London Authority, City Hall, The Queen’s Walk, More London, London SE1 2AA</w:t>
                            </w:r>
                            <w:bookmarkEnd w:id="9"/>
                          </w:p>
                          <w:p w:rsidR="00E45ED7" w:rsidRPr="00CE5E0D" w:rsidRDefault="00E45ED7" w:rsidP="00CE5E0D">
                            <w:pPr>
                              <w:pStyle w:val="FooterText"/>
                            </w:pPr>
                            <w:r w:rsidRPr="00CE5E0D">
                              <w:t>Tel</w:t>
                            </w:r>
                            <w:r>
                              <w:t xml:space="preserve">: </w:t>
                            </w:r>
                            <w:bookmarkStart w:id="10" w:name="AuthorTele"/>
                            <w:bookmarkEnd w:id="10"/>
                            <w:r w:rsidRPr="00CE5E0D">
                              <w:t xml:space="preserve"> e-mail</w:t>
                            </w:r>
                            <w:r>
                              <w:t xml:space="preserve">: </w:t>
                            </w:r>
                            <w:bookmarkStart w:id="11" w:name="AuthorEmail"/>
                            <w:bookmarkEnd w:id="11"/>
                          </w:p>
                          <w:p w:rsidR="00E45ED7" w:rsidRPr="00CE5E0D" w:rsidRDefault="00E45ED7" w:rsidP="00CE5E0D">
                            <w:pPr>
                              <w:pStyle w:val="FooterText"/>
                            </w:pPr>
                          </w:p>
                          <w:p w:rsidR="00E45ED7" w:rsidRPr="00CE5E0D" w:rsidRDefault="00E45ED7" w:rsidP="00CE5E0D">
                            <w:pPr>
                              <w:pStyle w:val="FooterText"/>
                            </w:pPr>
                            <w:bookmarkStart w:id="12" w:name="LastPageText"/>
                            <w:bookmarkStart w:id="13" w:name="Copyright"/>
                            <w:bookmarkEnd w:id="12"/>
                            <w:r>
                              <w:t>Copyright © Greater London Authority, 2016</w:t>
                            </w:r>
                            <w:bookmarkEnd w:id="13"/>
                          </w:p>
                          <w:p w:rsidR="00E45ED7" w:rsidRDefault="00E45ED7" w:rsidP="002B7C7E">
                            <w:pPr>
                              <w:pStyle w:val="FooterText"/>
                            </w:pPr>
                          </w:p>
                        </w:txbxContent>
                      </wps:txbx>
                      <wps:bodyPr rot="0" vert="horz" wrap="square" lIns="540004" tIns="72009" rIns="540004"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erTxtBox" o:spid="_x0000_s1026" type="#_x0000_t202" style="position:absolute;margin-left:0;margin-top:737pt;width:595.3pt;height:104.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" fillcolor="#0163a4" stroked="f">
                <v:textbox inset="42.52pt,5.67pt,42.52pt,0">
                  <w:txbxContent>
                    <w:p w:rsidR="00E45ED7" w:rsidRPr="00CE5E0D" w:rsidRDefault="00E45ED7" w:rsidP="00CE5E0D">
                      <w:pPr>
                        <w:pStyle w:val="FooterText"/>
                      </w:pPr>
                      <w:r w:rsidRPr="00CE5E0D">
                        <w:t xml:space="preserve">For more information please </w:t>
                      </w:r>
                      <w:proofErr w:type="gramStart"/>
                      <w:r w:rsidRPr="00CE5E0D">
                        <w:t xml:space="preserve">contact </w:t>
                      </w:r>
                      <w:bookmarkStart w:id="14" w:name="DocType"/>
                      <w:bookmarkStart w:id="15" w:name="DocType2"/>
                      <w:bookmarkStart w:id="16" w:name="Author"/>
                      <w:bookmarkEnd w:id="14"/>
                      <w:bookmarkEnd w:id="15"/>
                      <w:bookmarkEnd w:id="16"/>
                      <w:r>
                        <w:t xml:space="preserve"> </w:t>
                      </w:r>
                      <w:bookmarkStart w:id="17" w:name="bmDocType"/>
                      <w:r>
                        <w:t>GLA</w:t>
                      </w:r>
                      <w:proofErr w:type="gramEnd"/>
                      <w:r>
                        <w:t xml:space="preserve"> Intelligence</w:t>
                      </w:r>
                      <w:bookmarkEnd w:id="17"/>
                    </w:p>
                    <w:p w:rsidR="00E45ED7" w:rsidRPr="00CE5E0D" w:rsidRDefault="00E45ED7" w:rsidP="00CE5E0D">
                      <w:pPr>
                        <w:pStyle w:val="FooterText"/>
                      </w:pPr>
                      <w:bookmarkStart w:id="18" w:name="Address"/>
                      <w:r>
                        <w:t>Greater London Authority, City Hall, The Queen’s Walk, More London, London SE1 2AA</w:t>
                      </w:r>
                      <w:bookmarkEnd w:id="18"/>
                    </w:p>
                    <w:p w:rsidR="00E45ED7" w:rsidRPr="00CE5E0D" w:rsidRDefault="00E45ED7" w:rsidP="00CE5E0D">
                      <w:pPr>
                        <w:pStyle w:val="FooterText"/>
                      </w:pPr>
                      <w:r w:rsidRPr="00CE5E0D">
                        <w:t>Tel</w:t>
                      </w:r>
                      <w:r>
                        <w:t xml:space="preserve">: </w:t>
                      </w:r>
                      <w:bookmarkStart w:id="19" w:name="AuthorTele"/>
                      <w:bookmarkEnd w:id="19"/>
                      <w:r w:rsidRPr="00CE5E0D">
                        <w:t xml:space="preserve"> e-mail</w:t>
                      </w:r>
                      <w:r>
                        <w:t xml:space="preserve">: </w:t>
                      </w:r>
                      <w:bookmarkStart w:id="20" w:name="AuthorEmail"/>
                      <w:bookmarkEnd w:id="20"/>
                    </w:p>
                    <w:p w:rsidR="00E45ED7" w:rsidRPr="00CE5E0D" w:rsidRDefault="00E45ED7" w:rsidP="00CE5E0D">
                      <w:pPr>
                        <w:pStyle w:val="FooterText"/>
                      </w:pPr>
                    </w:p>
                    <w:p w:rsidR="00E45ED7" w:rsidRPr="00CE5E0D" w:rsidRDefault="00E45ED7" w:rsidP="00CE5E0D">
                      <w:pPr>
                        <w:pStyle w:val="FooterText"/>
                      </w:pPr>
                      <w:bookmarkStart w:id="21" w:name="LastPageText"/>
                      <w:bookmarkStart w:id="22" w:name="Copyright"/>
                      <w:bookmarkEnd w:id="21"/>
                      <w:r>
                        <w:t>Copyright © Greater London Authority, 2016</w:t>
                      </w:r>
                      <w:bookmarkEnd w:id="22"/>
                    </w:p>
                    <w:p w:rsidR="00E45ED7" w:rsidRDefault="00E45ED7" w:rsidP="002B7C7E">
                      <w:pPr>
                        <w:pStyle w:val="FooterText"/>
                      </w:pPr>
                    </w:p>
                  </w:txbxContent>
                </v:textbox>
                <w10:wrap type="square" anchorx="page" anchory="page"/>
                <w10:anchorlock/>
              </v:shape>
            </w:pict>
          </mc:Fallback>
        </mc:AlternateContent>
      </w:r>
    </w:p>
    <w:sectPr w:rsidR="00D4663F" w:rsidRPr="00750DA2" w:rsidSect="007D4E28">
      <w:footerReference w:type="default" r:id="rId22"/>
      <w:type w:val="continuous"/>
      <w:pgSz w:w="11906" w:h="16838" w:code="9"/>
      <w:pgMar w:top="1701" w:right="851" w:bottom="56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D7" w:rsidRDefault="00E45ED7" w:rsidP="00B012B8">
      <w:pPr>
        <w:pStyle w:val="Source"/>
      </w:pPr>
      <w:r>
        <w:separator/>
      </w:r>
    </w:p>
  </w:endnote>
  <w:endnote w:type="continuationSeparator" w:id="0">
    <w:p w:rsidR="00E45ED7" w:rsidRDefault="00E45ED7" w:rsidP="00B012B8">
      <w:pPr>
        <w:pStyle w:val="Sourc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undry Form Sans">
    <w:altName w:val="Minion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5113"/>
      <w:gridCol w:w="5091"/>
    </w:tblGrid>
    <w:tr w:rsidR="00E45ED7" w:rsidTr="00A60612">
      <w:tc>
        <w:tcPr>
          <w:tcW w:w="4545" w:type="dxa"/>
          <w:shd w:val="clear" w:color="auto" w:fill="auto"/>
        </w:tcPr>
        <w:p w:rsidR="00E45ED7" w:rsidRDefault="00E45ED7" w:rsidP="00A60612">
          <w:pPr>
            <w:pStyle w:val="Footer"/>
          </w:pPr>
          <w:r>
            <w:fldChar w:fldCharType="begin"/>
          </w:r>
          <w:r>
            <w:instrText xml:space="preserve"> IF </w:instrText>
          </w:r>
          <w:fldSimple w:instr=" DOCVARIABLE  DocDepartment  \* MERGEFORMAT ">
            <w:r w:rsidRPr="00E45ED7">
              <w:rPr>
                <w:b/>
                <w:bCs/>
                <w:lang w:val="en-US"/>
              </w:rPr>
              <w:instrText>GLA Intelligence</w:instrText>
            </w:r>
          </w:fldSimple>
          <w:r>
            <w:instrText xml:space="preserve"> = "Error! No document variable supplied." " ErrorMess" </w:instrText>
          </w:r>
          <w:r>
            <w:fldChar w:fldCharType="begin"/>
          </w:r>
          <w:r>
            <w:instrText xml:space="preserve"> IF </w:instrText>
          </w:r>
          <w:fldSimple w:instr=" DOCVARIABLE  DocDepartment  \* MERGEFORMAT ">
            <w:r>
              <w:instrText>GLA Intelligence</w:instrText>
            </w:r>
          </w:fldSimple>
          <w:r>
            <w:instrText xml:space="preserve"> = "GLA Intelligence" "GLA Intelligence" "GLA Economics" \* MERGEFORMAT </w:instrText>
          </w:r>
          <w:r>
            <w:fldChar w:fldCharType="separate"/>
          </w:r>
          <w:r>
            <w:rPr>
              <w:noProof/>
            </w:rPr>
            <w:instrText>GLA Intelligence</w:instrText>
          </w:r>
          <w:r>
            <w:fldChar w:fldCharType="end"/>
          </w:r>
          <w:r>
            <w:instrText xml:space="preserve"> \* MERGEFORMAT </w:instrText>
          </w:r>
          <w:r>
            <w:fldChar w:fldCharType="separate"/>
          </w:r>
          <w:r>
            <w:rPr>
              <w:noProof/>
            </w:rPr>
            <w:t>GLA Intelligence</w:t>
          </w:r>
          <w:r>
            <w:fldChar w:fldCharType="end"/>
          </w:r>
        </w:p>
      </w:tc>
      <w:tc>
        <w:tcPr>
          <w:tcW w:w="4525" w:type="dxa"/>
          <w:shd w:val="clear" w:color="auto" w:fill="auto"/>
        </w:tcPr>
        <w:p w:rsidR="00E45ED7" w:rsidRDefault="00E45ED7" w:rsidP="00A60612">
          <w:pPr>
            <w:pStyle w:val="Footer"/>
            <w:jc w:val="right"/>
          </w:pPr>
          <w:r>
            <w:fldChar w:fldCharType="begin"/>
          </w:r>
          <w:r>
            <w:instrText xml:space="preserve"> PAGE   \* MERGEFORMAT </w:instrText>
          </w:r>
          <w:r>
            <w:fldChar w:fldCharType="separate"/>
          </w:r>
          <w:r>
            <w:rPr>
              <w:noProof/>
            </w:rPr>
            <w:t>1</w:t>
          </w:r>
          <w:r>
            <w:fldChar w:fldCharType="end"/>
          </w:r>
        </w:p>
      </w:tc>
    </w:tr>
  </w:tbl>
  <w:p w:rsidR="00E45ED7" w:rsidRDefault="00E45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5113"/>
      <w:gridCol w:w="5091"/>
    </w:tblGrid>
    <w:tr w:rsidR="00E45ED7" w:rsidTr="00A60612">
      <w:tc>
        <w:tcPr>
          <w:tcW w:w="4545" w:type="dxa"/>
          <w:shd w:val="clear" w:color="auto" w:fill="auto"/>
        </w:tcPr>
        <w:p w:rsidR="00E45ED7" w:rsidRDefault="00E45ED7" w:rsidP="00A60612">
          <w:pPr>
            <w:pStyle w:val="Footer"/>
          </w:pPr>
          <w:r>
            <w:fldChar w:fldCharType="begin"/>
          </w:r>
          <w:r>
            <w:instrText xml:space="preserve"> IF </w:instrText>
          </w:r>
          <w:fldSimple w:instr=" DOCVARIABLE  DocDepartment  \* MERGEFORMAT ">
            <w:r w:rsidRPr="00E45ED7">
              <w:rPr>
                <w:b/>
                <w:bCs/>
                <w:lang w:val="en-US"/>
              </w:rPr>
              <w:instrText>GLA Intelligence</w:instrText>
            </w:r>
          </w:fldSimple>
          <w:r>
            <w:instrText xml:space="preserve"> = "Error! No document variable supplied." " ErrorMess" </w:instrText>
          </w:r>
          <w:r>
            <w:fldChar w:fldCharType="begin"/>
          </w:r>
          <w:r>
            <w:instrText xml:space="preserve"> IF </w:instrText>
          </w:r>
          <w:fldSimple w:instr=" DOCVARIABLE  DocDepartment  \* MERGEFORMAT ">
            <w:r>
              <w:instrText>GLA Intelligence</w:instrText>
            </w:r>
          </w:fldSimple>
          <w:r>
            <w:instrText xml:space="preserve"> = "GLA Intelligence" "GLA Intelligence" "GLA Economics" \* MERGEFORMAT </w:instrText>
          </w:r>
          <w:r>
            <w:fldChar w:fldCharType="separate"/>
          </w:r>
          <w:r w:rsidR="005A222B">
            <w:rPr>
              <w:noProof/>
            </w:rPr>
            <w:instrText>GLA Intelligence</w:instrText>
          </w:r>
          <w:r>
            <w:fldChar w:fldCharType="end"/>
          </w:r>
          <w:r>
            <w:instrText xml:space="preserve"> \* MERGEFORMAT </w:instrText>
          </w:r>
          <w:r>
            <w:fldChar w:fldCharType="separate"/>
          </w:r>
          <w:r w:rsidR="005A222B">
            <w:rPr>
              <w:noProof/>
            </w:rPr>
            <w:t>GLA Intelligence</w:t>
          </w:r>
          <w:r>
            <w:fldChar w:fldCharType="end"/>
          </w:r>
        </w:p>
      </w:tc>
      <w:tc>
        <w:tcPr>
          <w:tcW w:w="4525" w:type="dxa"/>
          <w:shd w:val="clear" w:color="auto" w:fill="auto"/>
        </w:tcPr>
        <w:p w:rsidR="00E45ED7" w:rsidRDefault="00E45ED7" w:rsidP="00A60612">
          <w:pPr>
            <w:pStyle w:val="Footer"/>
            <w:jc w:val="right"/>
          </w:pPr>
          <w:r>
            <w:fldChar w:fldCharType="begin"/>
          </w:r>
          <w:r>
            <w:instrText xml:space="preserve"> PAGE   \* MERGEFORMAT </w:instrText>
          </w:r>
          <w:r>
            <w:fldChar w:fldCharType="separate"/>
          </w:r>
          <w:r w:rsidR="005A222B">
            <w:rPr>
              <w:noProof/>
            </w:rPr>
            <w:t>1</w:t>
          </w:r>
          <w:r>
            <w:fldChar w:fldCharType="end"/>
          </w:r>
        </w:p>
      </w:tc>
    </w:tr>
  </w:tbl>
  <w:p w:rsidR="00E45ED7" w:rsidRDefault="00E45ED7" w:rsidP="003E7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D7" w:rsidRPr="00972370" w:rsidRDefault="00E45ED7" w:rsidP="007D4E28">
    <w:pPr>
      <w:jc w:val="right"/>
    </w:pPr>
    <w:r>
      <w:rPr>
        <w:noProof/>
      </w:rPr>
      <w:drawing>
        <wp:inline distT="0" distB="0" distL="0" distR="0" wp14:anchorId="69CA43A5" wp14:editId="0F921066">
          <wp:extent cx="2381250" cy="180975"/>
          <wp:effectExtent l="0" t="0" r="0" b="9525"/>
          <wp:docPr id="7" name="Picture 7" descr="Mayor of Lond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or of Lond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D7" w:rsidRDefault="00E45ED7" w:rsidP="009956C2">
      <w:pPr>
        <w:pStyle w:val="Source"/>
        <w:spacing w:before="120" w:after="0"/>
      </w:pPr>
      <w:r>
        <w:separator/>
      </w:r>
    </w:p>
  </w:footnote>
  <w:footnote w:type="continuationSeparator" w:id="0">
    <w:p w:rsidR="00E45ED7" w:rsidRDefault="00E45ED7" w:rsidP="009956C2">
      <w:pPr>
        <w:pStyle w:val="Source"/>
        <w:spacing w:before="120" w:after="0"/>
      </w:pPr>
      <w:r>
        <w:continuationSeparator/>
      </w:r>
    </w:p>
  </w:footnote>
  <w:footnote w:type="continuationNotice" w:id="1">
    <w:p w:rsidR="00E45ED7" w:rsidRPr="008327FA" w:rsidRDefault="00E45ED7" w:rsidP="008327FA">
      <w:pPr>
        <w:spacing w:after="0" w:line="240" w:lineRule="auto"/>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D7" w:rsidRPr="00E3095A" w:rsidRDefault="00E45ED7" w:rsidP="00B2105A">
    <w:pPr>
      <w:pStyle w:val="HeaderBold"/>
    </w:pPr>
    <w:r w:rsidRPr="00DD6566">
      <w:fldChar w:fldCharType="begin"/>
    </w:r>
    <w:r w:rsidRPr="00E3095A">
      <w:instrText xml:space="preserve"> IF </w:instrText>
    </w:r>
    <w:r w:rsidRPr="00DD6566">
      <w:fldChar w:fldCharType="begin"/>
    </w:r>
    <w:r w:rsidRPr="00E3095A">
      <w:instrText xml:space="preserve"> DOCVARIABLE  </w:instrText>
    </w:r>
    <w:r w:rsidRPr="00A85A49">
      <w:instrText>HeaderText</w:instrText>
    </w:r>
    <w:r w:rsidRPr="00E3095A">
      <w:instrText xml:space="preserve">  \* MERGEFORMAT </w:instrText>
    </w:r>
    <w:r w:rsidRPr="00DD6566">
      <w:fldChar w:fldCharType="separate"/>
    </w:r>
    <w:r>
      <w:instrText>London Finance Commission</w:instrText>
    </w:r>
    <w:r w:rsidRPr="00DD6566">
      <w:fldChar w:fldCharType="end"/>
    </w:r>
    <w:r w:rsidRPr="00E3095A">
      <w:instrText xml:space="preserve"> = "Error! No document variable supplied." " " </w:instrText>
    </w:r>
    <w:r w:rsidRPr="00DD6566">
      <w:fldChar w:fldCharType="begin"/>
    </w:r>
    <w:r w:rsidRPr="00E3095A">
      <w:instrText xml:space="preserve"> DOCVARIABLE  </w:instrText>
    </w:r>
    <w:r w:rsidRPr="00A85A49">
      <w:instrText>HeaderText</w:instrText>
    </w:r>
    <w:r w:rsidRPr="00E3095A">
      <w:instrText xml:space="preserve">  \* MERGEFORMAT </w:instrText>
    </w:r>
    <w:r w:rsidRPr="00DD6566">
      <w:fldChar w:fldCharType="separate"/>
    </w:r>
    <w:r>
      <w:instrText>London Finance Commission</w:instrText>
    </w:r>
    <w:r w:rsidRPr="00DD6566">
      <w:fldChar w:fldCharType="end"/>
    </w:r>
    <w:r w:rsidRPr="00E3095A">
      <w:instrText xml:space="preserve"> \* MERGEFORMAT </w:instrText>
    </w:r>
    <w:r w:rsidRPr="00DD6566">
      <w:fldChar w:fldCharType="separate"/>
    </w:r>
    <w:r>
      <w:rPr>
        <w:noProof/>
      </w:rPr>
      <w:t>London Finance Commission</w:t>
    </w:r>
    <w:r w:rsidRPr="00DD6566">
      <w:fldChar w:fldCharType="end"/>
    </w:r>
  </w:p>
  <w:p w:rsidR="00E45ED7" w:rsidRPr="00E3095A" w:rsidRDefault="00E45ED7" w:rsidP="00B2105A">
    <w:pPr>
      <w:pStyle w:val="Header"/>
    </w:pPr>
    <w:r w:rsidRPr="00DD6566">
      <w:fldChar w:fldCharType="begin"/>
    </w:r>
    <w:r w:rsidRPr="00E3095A">
      <w:instrText xml:space="preserve"> IF </w:instrText>
    </w:r>
    <w:r w:rsidRPr="00DD6566">
      <w:fldChar w:fldCharType="begin"/>
    </w:r>
    <w:r w:rsidRPr="00E3095A">
      <w:instrText xml:space="preserve"> DOCVARIABLE  </w:instrText>
    </w:r>
    <w:r w:rsidRPr="00A85A49">
      <w:instrText>HeaderText2</w:instrText>
    </w:r>
    <w:r w:rsidRPr="00E3095A">
      <w:instrText xml:space="preserve">  \* MERGEFORMAT </w:instrText>
    </w:r>
    <w:r w:rsidRPr="00DD6566">
      <w:fldChar w:fldCharType="separate"/>
    </w:r>
    <w:r>
      <w:instrText>Update of charts and tables in LFC Raising the Capital report</w:instrText>
    </w:r>
    <w:r w:rsidRPr="00DD6566">
      <w:fldChar w:fldCharType="end"/>
    </w:r>
    <w:r w:rsidRPr="00E3095A">
      <w:instrText xml:space="preserve"> = "Error! No document variable supplied." " " </w:instrText>
    </w:r>
    <w:r w:rsidRPr="00DD6566">
      <w:fldChar w:fldCharType="begin"/>
    </w:r>
    <w:r w:rsidRPr="00E3095A">
      <w:instrText xml:space="preserve"> DOCVARIABLE  </w:instrText>
    </w:r>
    <w:r w:rsidRPr="00A85A49">
      <w:instrText>HeaderText2</w:instrText>
    </w:r>
    <w:r w:rsidRPr="00E3095A">
      <w:instrText xml:space="preserve">  \* MERGEFORMAT </w:instrText>
    </w:r>
    <w:r w:rsidRPr="00DD6566">
      <w:fldChar w:fldCharType="separate"/>
    </w:r>
    <w:r>
      <w:instrText>Update of charts and tables in LFC Raising the Capital report</w:instrText>
    </w:r>
    <w:r w:rsidRPr="00DD6566">
      <w:fldChar w:fldCharType="end"/>
    </w:r>
    <w:r w:rsidRPr="00E3095A">
      <w:instrText xml:space="preserve"> \* MERGEFORMAT </w:instrText>
    </w:r>
    <w:r w:rsidRPr="00DD6566">
      <w:fldChar w:fldCharType="separate"/>
    </w:r>
    <w:r>
      <w:rPr>
        <w:noProof/>
      </w:rPr>
      <w:t>Update of charts and tables in LFC Raising the Capital report</w:t>
    </w:r>
    <w:r w:rsidRPr="00DD6566">
      <w:fldChar w:fldCharType="end"/>
    </w:r>
  </w:p>
  <w:p w:rsidR="00E45ED7" w:rsidRDefault="00E45ED7" w:rsidP="00B2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D7" w:rsidRDefault="00E45ED7" w:rsidP="0076789D">
    <w:pPr>
      <w:pStyle w:val="Header"/>
    </w:pPr>
    <w:r>
      <w:fldChar w:fldCharType="begin"/>
    </w:r>
    <w:r>
      <w:instrText xml:space="preserve"> IF </w:instrText>
    </w:r>
    <w:fldSimple w:instr=" DOCVARIABLE  DocDepartment  \* MERGEFORMAT ">
      <w:r w:rsidRPr="00E45ED7">
        <w:rPr>
          <w:b/>
          <w:bCs/>
          <w:lang w:val="en-US"/>
        </w:rPr>
        <w:instrText>GLA Intelligence</w:instrText>
      </w:r>
    </w:fldSimple>
    <w:r>
      <w:instrText xml:space="preserve"> = "Error! No document variable supplied." " ErrorMess" </w:instrText>
    </w:r>
    <w:r>
      <w:fldChar w:fldCharType="begin"/>
    </w:r>
    <w:r>
      <w:instrText xml:space="preserve"> IF </w:instrText>
    </w:r>
    <w:fldSimple w:instr=" DOCVARIABLE  DocDepartment  \* MERGEFORMAT ">
      <w:r>
        <w:instrText>GLA Intelligence</w:instrText>
      </w:r>
    </w:fldSimple>
    <w:r>
      <w:instrText xml:space="preserve"> = "GLA Intelligence" "</w:instrText>
    </w:r>
    <w:r>
      <w:rPr>
        <w:noProof/>
      </w:rPr>
      <w:drawing>
        <wp:inline distT="0" distB="0" distL="0" distR="0" wp14:anchorId="3F337C41" wp14:editId="3532AAB9">
          <wp:extent cx="2847975" cy="257175"/>
          <wp:effectExtent l="0" t="0" r="9525" b="9525"/>
          <wp:docPr id="5" name="Picture 5" descr="GLA Intelligenc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 Intelligenc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instrText>" "</w:instrText>
    </w:r>
    <w:r>
      <w:rPr>
        <w:noProof/>
      </w:rPr>
      <w:drawing>
        <wp:inline distT="0" distB="0" distL="0" distR="0" wp14:anchorId="73CC3E44" wp14:editId="7D7DA658">
          <wp:extent cx="2581275" cy="247650"/>
          <wp:effectExtent l="0" t="0" r="9525" b="0"/>
          <wp:docPr id="6" name="Picture 6" descr="GLA Economicswhiteout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 Economicswhiteout 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247650"/>
                  </a:xfrm>
                  <a:prstGeom prst="rect">
                    <a:avLst/>
                  </a:prstGeom>
                  <a:noFill/>
                  <a:ln>
                    <a:noFill/>
                  </a:ln>
                </pic:spPr>
              </pic:pic>
            </a:graphicData>
          </a:graphic>
        </wp:inline>
      </w:drawing>
    </w:r>
    <w:r>
      <w:instrText xml:space="preserve">" \* MERGEFORMAT </w:instrText>
    </w:r>
    <w:r>
      <w:fldChar w:fldCharType="separate"/>
    </w:r>
    <w:r w:rsidR="005A222B">
      <w:rPr>
        <w:noProof/>
      </w:rPr>
      <w:drawing>
        <wp:inline distT="0" distB="0" distL="0" distR="0" wp14:anchorId="3F337C41" wp14:editId="3532AAB9">
          <wp:extent cx="2847975" cy="257175"/>
          <wp:effectExtent l="0" t="0" r="9525" b="9525"/>
          <wp:docPr id="1811" name="Picture 1811" descr="GLA Intelligenc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 Intelligenc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fldChar w:fldCharType="end"/>
    </w:r>
    <w:r>
      <w:instrText xml:space="preserve"> \* MERGEFORMAT </w:instrText>
    </w:r>
    <w:r>
      <w:fldChar w:fldCharType="separate"/>
    </w:r>
    <w:r w:rsidR="005A222B">
      <w:rPr>
        <w:noProof/>
      </w:rPr>
      <w:drawing>
        <wp:inline distT="0" distB="0" distL="0" distR="0" wp14:anchorId="3F337C41" wp14:editId="3532AAB9">
          <wp:extent cx="2847975" cy="257175"/>
          <wp:effectExtent l="0" t="0" r="9525" b="9525"/>
          <wp:docPr id="1812" name="Picture 1812" descr="GLA Intelligenc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 Intelligence-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fldChar w:fldCharType="end"/>
    </w:r>
  </w:p>
  <w:p w:rsidR="00E45ED7" w:rsidRDefault="00E45ED7" w:rsidP="0076789D">
    <w:pPr>
      <w:pStyle w:val="Header"/>
      <w:ind w:right="90"/>
    </w:pPr>
    <w:r>
      <w:rPr>
        <w:noProof/>
      </w:rPr>
      <mc:AlternateContent>
        <mc:Choice Requires="wps">
          <w:drawing>
            <wp:anchor distT="0" distB="0" distL="114935" distR="114935" simplePos="0" relativeHeight="251657728" behindDoc="1" locked="1" layoutInCell="0" allowOverlap="0" wp14:anchorId="19C537AB" wp14:editId="3DF55A23">
              <wp:simplePos x="0" y="0"/>
              <wp:positionH relativeFrom="page">
                <wp:posOffset>0</wp:posOffset>
              </wp:positionH>
              <wp:positionV relativeFrom="page">
                <wp:posOffset>0</wp:posOffset>
              </wp:positionV>
              <wp:extent cx="7560310" cy="3204210"/>
              <wp:effectExtent l="0" t="0" r="21590" b="15240"/>
              <wp:wrapNone/>
              <wp:docPr id="1" name="GLATitlePag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04210"/>
                      </a:xfrm>
                      <a:prstGeom prst="rect">
                        <a:avLst/>
                      </a:prstGeom>
                      <a:solidFill>
                        <a:srgbClr val="0163A4"/>
                      </a:solidFill>
                      <a:ln w="9525">
                        <a:solidFill>
                          <a:srgbClr val="0163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80E2A" id="GLATitlePageBox" o:spid="_x0000_s1026" style="position:absolute;margin-left:0;margin-top:0;width:595.3pt;height:252.3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" o:allowincell="f" o:allowoverlap="f" fillcolor="#0163a4" strokecolor="#0163a4">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8672AC"/>
    <w:lvl w:ilvl="0">
      <w:start w:val="1"/>
      <w:numFmt w:val="decimal"/>
      <w:lvlText w:val="%1."/>
      <w:lvlJc w:val="left"/>
      <w:pPr>
        <w:tabs>
          <w:tab w:val="num" w:pos="1492"/>
        </w:tabs>
        <w:ind w:left="1492" w:hanging="360"/>
      </w:pPr>
    </w:lvl>
  </w:abstractNum>
  <w:abstractNum w:abstractNumId="1">
    <w:nsid w:val="FFFFFF7D"/>
    <w:multiLevelType w:val="singleLevel"/>
    <w:tmpl w:val="C1DC86CC"/>
    <w:lvl w:ilvl="0">
      <w:start w:val="1"/>
      <w:numFmt w:val="decimal"/>
      <w:lvlText w:val="%1."/>
      <w:lvlJc w:val="left"/>
      <w:pPr>
        <w:tabs>
          <w:tab w:val="num" w:pos="1209"/>
        </w:tabs>
        <w:ind w:left="1209" w:hanging="360"/>
      </w:pPr>
    </w:lvl>
  </w:abstractNum>
  <w:abstractNum w:abstractNumId="2">
    <w:nsid w:val="FFFFFF7E"/>
    <w:multiLevelType w:val="singleLevel"/>
    <w:tmpl w:val="5380DAF6"/>
    <w:lvl w:ilvl="0">
      <w:start w:val="1"/>
      <w:numFmt w:val="decimal"/>
      <w:lvlText w:val="%1."/>
      <w:lvlJc w:val="left"/>
      <w:pPr>
        <w:tabs>
          <w:tab w:val="num" w:pos="926"/>
        </w:tabs>
        <w:ind w:left="926" w:hanging="360"/>
      </w:pPr>
    </w:lvl>
  </w:abstractNum>
  <w:abstractNum w:abstractNumId="3">
    <w:nsid w:val="FFFFFF7F"/>
    <w:multiLevelType w:val="singleLevel"/>
    <w:tmpl w:val="F3689248"/>
    <w:lvl w:ilvl="0">
      <w:start w:val="1"/>
      <w:numFmt w:val="decimal"/>
      <w:lvlText w:val="%1."/>
      <w:lvlJc w:val="left"/>
      <w:pPr>
        <w:tabs>
          <w:tab w:val="num" w:pos="643"/>
        </w:tabs>
        <w:ind w:left="643" w:hanging="360"/>
      </w:pPr>
    </w:lvl>
  </w:abstractNum>
  <w:abstractNum w:abstractNumId="4">
    <w:nsid w:val="FFFFFF80"/>
    <w:multiLevelType w:val="singleLevel"/>
    <w:tmpl w:val="E716B6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6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424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E49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2ED110"/>
    <w:lvl w:ilvl="0">
      <w:start w:val="1"/>
      <w:numFmt w:val="decimal"/>
      <w:lvlText w:val="%1."/>
      <w:lvlJc w:val="left"/>
      <w:pPr>
        <w:tabs>
          <w:tab w:val="num" w:pos="360"/>
        </w:tabs>
        <w:ind w:left="360" w:hanging="360"/>
      </w:pPr>
    </w:lvl>
  </w:abstractNum>
  <w:abstractNum w:abstractNumId="9">
    <w:nsid w:val="FFFFFF89"/>
    <w:multiLevelType w:val="singleLevel"/>
    <w:tmpl w:val="4DCC21A4"/>
    <w:lvl w:ilvl="0">
      <w:start w:val="1"/>
      <w:numFmt w:val="bullet"/>
      <w:lvlText w:val=""/>
      <w:lvlJc w:val="left"/>
      <w:pPr>
        <w:tabs>
          <w:tab w:val="num" w:pos="360"/>
        </w:tabs>
        <w:ind w:left="360" w:hanging="360"/>
      </w:pPr>
      <w:rPr>
        <w:rFonts w:ascii="Symbol" w:hAnsi="Symbol" w:hint="default"/>
      </w:rPr>
    </w:lvl>
  </w:abstractNum>
  <w:abstractNum w:abstractNumId="10">
    <w:nsid w:val="27900BCA"/>
    <w:multiLevelType w:val="multilevel"/>
    <w:tmpl w:val="2528D642"/>
    <w:styleLink w:val="NumbLstHeading"/>
    <w:lvl w:ilvl="0">
      <w:start w:val="1"/>
      <w:numFmt w:val="decimal"/>
      <w:pStyle w:val="Heading1Numb"/>
      <w:lvlText w:val="%1"/>
      <w:lvlJc w:val="left"/>
      <w:pPr>
        <w:tabs>
          <w:tab w:val="num" w:pos="794"/>
        </w:tabs>
        <w:ind w:left="794" w:hanging="794"/>
      </w:pPr>
      <w:rPr>
        <w:rFonts w:hint="default"/>
      </w:rPr>
    </w:lvl>
    <w:lvl w:ilvl="1">
      <w:start w:val="1"/>
      <w:numFmt w:val="decimal"/>
      <w:pStyle w:val="Heading2Numb"/>
      <w:lvlText w:val="%1.%2"/>
      <w:lvlJc w:val="left"/>
      <w:pPr>
        <w:tabs>
          <w:tab w:val="num" w:pos="794"/>
        </w:tabs>
        <w:ind w:left="794" w:hanging="794"/>
      </w:pPr>
      <w:rPr>
        <w:rFonts w:hint="default"/>
      </w:rPr>
    </w:lvl>
    <w:lvl w:ilvl="2">
      <w:start w:val="1"/>
      <w:numFmt w:val="decimal"/>
      <w:pStyle w:val="Heading3Numb"/>
      <w:lvlText w:val="%1.%2.%3"/>
      <w:lvlJc w:val="left"/>
      <w:pPr>
        <w:tabs>
          <w:tab w:val="num" w:pos="794"/>
        </w:tabs>
        <w:ind w:left="794" w:hanging="794"/>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1">
    <w:nsid w:val="2BC97A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071808"/>
    <w:multiLevelType w:val="multilevel"/>
    <w:tmpl w:val="1B60AA54"/>
    <w:styleLink w:val="NumbL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bullet"/>
      <w:pStyle w:val="Bullet3"/>
      <w:lvlText w:val="○"/>
      <w:lvlJc w:val="left"/>
      <w:pPr>
        <w:tabs>
          <w:tab w:val="num" w:pos="1021"/>
        </w:tabs>
        <w:ind w:left="1021" w:hanging="341"/>
      </w:pPr>
      <w:rPr>
        <w:rFonts w:ascii="Times New Roman" w:hAnsi="Times New Roman" w:cs="Times New Roman"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nsid w:val="46795A53"/>
    <w:multiLevelType w:val="multilevel"/>
    <w:tmpl w:val="E98E6ECC"/>
    <w:styleLink w:val="NumbListNumber"/>
    <w:lvl w:ilvl="0">
      <w:start w:val="1"/>
      <w:numFmt w:val="decimal"/>
      <w:pStyle w:val="NumbList1"/>
      <w:lvlText w:val="%1)"/>
      <w:lvlJc w:val="left"/>
      <w:pPr>
        <w:tabs>
          <w:tab w:val="num" w:pos="340"/>
        </w:tabs>
        <w:ind w:left="340" w:hanging="340"/>
      </w:pPr>
      <w:rPr>
        <w:rFonts w:hint="default"/>
      </w:rPr>
    </w:lvl>
    <w:lvl w:ilvl="1">
      <w:start w:val="1"/>
      <w:numFmt w:val="lowerLetter"/>
      <w:pStyle w:val="NumbList2"/>
      <w:lvlText w:val="%2)"/>
      <w:lvlJc w:val="left"/>
      <w:pPr>
        <w:tabs>
          <w:tab w:val="num" w:pos="680"/>
        </w:tabs>
        <w:ind w:left="680" w:hanging="340"/>
      </w:pPr>
      <w:rPr>
        <w:rFonts w:hint="default"/>
      </w:rPr>
    </w:lvl>
    <w:lvl w:ilvl="2">
      <w:start w:val="1"/>
      <w:numFmt w:val="lowerRoman"/>
      <w:pStyle w:val="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nsid w:val="4F566AC7"/>
    <w:multiLevelType w:val="multilevel"/>
    <w:tmpl w:val="87B244D0"/>
    <w:styleLink w:val="NumbLstTable"/>
    <w:lvl w:ilvl="0">
      <w:start w:val="1"/>
      <w:numFmt w:val="decimal"/>
      <w:pStyle w:val="TableTitle"/>
      <w:suff w:val="space"/>
      <w:lvlText w:val="Table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57621D97"/>
    <w:multiLevelType w:val="multilevel"/>
    <w:tmpl w:val="ACCA40B2"/>
    <w:styleLink w:val="NumbLstFigure"/>
    <w:lvl w:ilvl="0">
      <w:start w:val="1"/>
      <w:numFmt w:val="decimal"/>
      <w:pStyle w:val="FigureTitle"/>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BC67B36"/>
    <w:multiLevelType w:val="multilevel"/>
    <w:tmpl w:val="0809001F"/>
    <w:numStyleLink w:val="111111"/>
  </w:abstractNum>
  <w:abstractNum w:abstractNumId="17">
    <w:nsid w:val="62D70C0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C6156"/>
    <w:multiLevelType w:val="multilevel"/>
    <w:tmpl w:val="1B60AA54"/>
    <w:numStyleLink w:val="NumbLstBullet"/>
  </w:abstractNum>
  <w:abstractNum w:abstractNumId="19">
    <w:nsid w:val="6C8E4332"/>
    <w:multiLevelType w:val="multilevel"/>
    <w:tmpl w:val="2528D642"/>
    <w:numStyleLink w:val="NumbLstHead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1"/>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14"/>
  </w:num>
  <w:num w:numId="19">
    <w:abstractNumId w:val="15"/>
  </w:num>
  <w:num w:numId="20">
    <w:abstractNumId w:val="15"/>
  </w:num>
  <w:num w:numId="21">
    <w:abstractNumId w:val="14"/>
  </w:num>
  <w:num w:numId="22">
    <w:abstractNumId w:val="10"/>
  </w:num>
  <w:num w:numId="23">
    <w:abstractNumId w:val="13"/>
  </w:num>
  <w:num w:numId="24">
    <w:abstractNumId w:val="10"/>
  </w:num>
  <w:num w:numId="25">
    <w:abstractNumId w:val="10"/>
  </w:num>
  <w:num w:numId="26">
    <w:abstractNumId w:val="13"/>
  </w:num>
  <w:num w:numId="27">
    <w:abstractNumId w:val="12"/>
  </w:num>
  <w:num w:numId="28">
    <w:abstractNumId w:val="12"/>
  </w:num>
  <w:num w:numId="29">
    <w:abstractNumId w:val="15"/>
  </w:num>
  <w:num w:numId="30">
    <w:abstractNumId w:val="1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drawingGridHorizontalSpacing w:val="120"/>
  <w:displayHorizontalDrawingGridEvery w:val="2"/>
  <w:characterSpacingControl w:val="doNotCompress"/>
  <w:hdrShapeDefaults>
    <o:shapedefaults v:ext="edit" spidmax="12289" fillcolor="white">
      <v:fill color="white"/>
      <o:colormru v:ext="edit" colors="#66f,blue,#0163a4"/>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ckPage" w:val="True"/>
    <w:docVar w:name="BackPageType" w:val="Banner"/>
    <w:docVar w:name="CONTACTNO" w:val="07412570976"/>
    <w:docVar w:name="CurrentTemplateDate" w:val="10 May 2013"/>
    <w:docVar w:name="CurrentTemplateName" w:val="GLA Update.dotm"/>
    <w:docVar w:name="CurrentTemplateVersion" w:val="2.2"/>
    <w:docVar w:name="Department" w:val="GLA Economics"/>
    <w:docVar w:name="DocAuthor" w:val="DocAuthor"/>
    <w:docVar w:name="DocDate" w:val="September 2016"/>
    <w:docVar w:name="DocDepartment" w:val="GLA Intelligence"/>
    <w:docVar w:name="DocTemplateName" w:val="GLA Update.dotm"/>
    <w:docVar w:name="DocTitle" w:val="Update of charts and tables in LFC Raising the Capital report"/>
    <w:docVar w:name="DocType" w:val="Update"/>
    <w:docVar w:name="dv_DeptTelNo" w:val="DeptTelNo"/>
    <w:docVar w:name="dv_EMAIL" w:val="glaeconomics@london.gov.uk"/>
    <w:docVar w:name="dv_GDeptEmail" w:val="DeptEmail"/>
    <w:docVar w:name="dv_GLAFaxNo" w:val="GLAFaxNo"/>
    <w:docVar w:name="dv_GLAMinicom" w:val="GLAMinicom"/>
    <w:docVar w:name="dv_GLATelNo" w:val="GLATelNo"/>
    <w:docVar w:name="dv_GLAWeb" w:val="GLAWeb"/>
    <w:docVar w:name="dv_ISBN" w:val="ISBNnumber"/>
    <w:docVar w:name="dv_PhotoSource" w:val="PhotoSource"/>
    <w:docVar w:name="EMAIL" w:val="nghnhghnghn"/>
    <w:docVar w:name="HeaderText" w:val="London Finance Commission"/>
    <w:docVar w:name="HeaderText2" w:val="Update of charts and tables in LFC Raising the Capital report"/>
    <w:docVar w:name="InitialTemplateDate" w:val="10 May 2013"/>
    <w:docVar w:name="InitialTemplateName" w:val="GLA Update.dotm"/>
    <w:docVar w:name="InitialTemplateVersion" w:val="2.2"/>
    <w:docVar w:name="InsidePageText" w:val="GLA Economics provides expert advice and analysis on London’s economy and the economic issues facing the capital. Data and analysis from GLA Economics form a basis for the policy and investment decisions facing the Mayor of London and the GLA group. The u"/>
    <w:docVar w:name="InsideTitlePage" w:val="True"/>
    <w:docVar w:name="ISBN" w:val="ghnghnghn"/>
    <w:docVar w:name="PHOTOGRAPH" w:val="ghnghn"/>
    <w:docVar w:name="Telephone" w:val="ghnghnghn"/>
    <w:docVar w:name="TitlePage" w:val="True"/>
  </w:docVars>
  <w:rsids>
    <w:rsidRoot w:val="005931A0"/>
    <w:rsid w:val="00000DB6"/>
    <w:rsid w:val="00004587"/>
    <w:rsid w:val="0000490A"/>
    <w:rsid w:val="0000669F"/>
    <w:rsid w:val="000074F5"/>
    <w:rsid w:val="00007C43"/>
    <w:rsid w:val="00012310"/>
    <w:rsid w:val="0001421B"/>
    <w:rsid w:val="00015594"/>
    <w:rsid w:val="000160DD"/>
    <w:rsid w:val="000211AD"/>
    <w:rsid w:val="000218D5"/>
    <w:rsid w:val="00022D1E"/>
    <w:rsid w:val="0002312E"/>
    <w:rsid w:val="0002349E"/>
    <w:rsid w:val="00023539"/>
    <w:rsid w:val="00024FC1"/>
    <w:rsid w:val="000277BD"/>
    <w:rsid w:val="00030047"/>
    <w:rsid w:val="00032D67"/>
    <w:rsid w:val="00034083"/>
    <w:rsid w:val="00035EF7"/>
    <w:rsid w:val="00036301"/>
    <w:rsid w:val="00036E2F"/>
    <w:rsid w:val="00042A82"/>
    <w:rsid w:val="00045882"/>
    <w:rsid w:val="0005043C"/>
    <w:rsid w:val="000536BF"/>
    <w:rsid w:val="0005474E"/>
    <w:rsid w:val="0005648E"/>
    <w:rsid w:val="00060DB1"/>
    <w:rsid w:val="00063D9D"/>
    <w:rsid w:val="00064521"/>
    <w:rsid w:val="00064AC9"/>
    <w:rsid w:val="00065B24"/>
    <w:rsid w:val="000660BC"/>
    <w:rsid w:val="0006618E"/>
    <w:rsid w:val="00070AEE"/>
    <w:rsid w:val="00072ACD"/>
    <w:rsid w:val="00072DE2"/>
    <w:rsid w:val="00074043"/>
    <w:rsid w:val="000756C8"/>
    <w:rsid w:val="00075A6A"/>
    <w:rsid w:val="00077529"/>
    <w:rsid w:val="00082CC4"/>
    <w:rsid w:val="0008362D"/>
    <w:rsid w:val="00085594"/>
    <w:rsid w:val="00086668"/>
    <w:rsid w:val="00090572"/>
    <w:rsid w:val="00092DAA"/>
    <w:rsid w:val="00093C80"/>
    <w:rsid w:val="00094873"/>
    <w:rsid w:val="00097B92"/>
    <w:rsid w:val="000A0456"/>
    <w:rsid w:val="000A2158"/>
    <w:rsid w:val="000A300A"/>
    <w:rsid w:val="000A3386"/>
    <w:rsid w:val="000A5B72"/>
    <w:rsid w:val="000B6FDE"/>
    <w:rsid w:val="000C37C4"/>
    <w:rsid w:val="000C3EA5"/>
    <w:rsid w:val="000C4C34"/>
    <w:rsid w:val="000C5EF9"/>
    <w:rsid w:val="000C64A9"/>
    <w:rsid w:val="000C68EE"/>
    <w:rsid w:val="000C7952"/>
    <w:rsid w:val="000D1C5D"/>
    <w:rsid w:val="000D1D98"/>
    <w:rsid w:val="000D2121"/>
    <w:rsid w:val="000D2E90"/>
    <w:rsid w:val="000D3D84"/>
    <w:rsid w:val="000D4B7A"/>
    <w:rsid w:val="000D5D68"/>
    <w:rsid w:val="000D6450"/>
    <w:rsid w:val="000E30BC"/>
    <w:rsid w:val="000E43AB"/>
    <w:rsid w:val="000F0727"/>
    <w:rsid w:val="000F0C47"/>
    <w:rsid w:val="000F2575"/>
    <w:rsid w:val="000F262F"/>
    <w:rsid w:val="000F3127"/>
    <w:rsid w:val="000F3532"/>
    <w:rsid w:val="000F3622"/>
    <w:rsid w:val="000F5FDE"/>
    <w:rsid w:val="000F62BF"/>
    <w:rsid w:val="00100703"/>
    <w:rsid w:val="00102228"/>
    <w:rsid w:val="00103CA5"/>
    <w:rsid w:val="001042F0"/>
    <w:rsid w:val="00105CE3"/>
    <w:rsid w:val="00106015"/>
    <w:rsid w:val="00106750"/>
    <w:rsid w:val="0010736B"/>
    <w:rsid w:val="001079D8"/>
    <w:rsid w:val="00107B1E"/>
    <w:rsid w:val="00110F18"/>
    <w:rsid w:val="00111C8C"/>
    <w:rsid w:val="001122CD"/>
    <w:rsid w:val="00112EE8"/>
    <w:rsid w:val="00113149"/>
    <w:rsid w:val="001208BE"/>
    <w:rsid w:val="0012270B"/>
    <w:rsid w:val="0012292B"/>
    <w:rsid w:val="001268E5"/>
    <w:rsid w:val="0012791D"/>
    <w:rsid w:val="00130689"/>
    <w:rsid w:val="00135AFB"/>
    <w:rsid w:val="00135BBD"/>
    <w:rsid w:val="00135EA2"/>
    <w:rsid w:val="00136FC4"/>
    <w:rsid w:val="001402EB"/>
    <w:rsid w:val="0014237B"/>
    <w:rsid w:val="00144A9C"/>
    <w:rsid w:val="0014615E"/>
    <w:rsid w:val="001461B9"/>
    <w:rsid w:val="00150ACD"/>
    <w:rsid w:val="00151938"/>
    <w:rsid w:val="00151B93"/>
    <w:rsid w:val="00154889"/>
    <w:rsid w:val="00154962"/>
    <w:rsid w:val="00154B96"/>
    <w:rsid w:val="00154ECA"/>
    <w:rsid w:val="00157D07"/>
    <w:rsid w:val="00157EED"/>
    <w:rsid w:val="001667B5"/>
    <w:rsid w:val="0017126D"/>
    <w:rsid w:val="00171BB4"/>
    <w:rsid w:val="00172664"/>
    <w:rsid w:val="001740EA"/>
    <w:rsid w:val="00176C6E"/>
    <w:rsid w:val="001869D6"/>
    <w:rsid w:val="00186FD8"/>
    <w:rsid w:val="00187F61"/>
    <w:rsid w:val="00194653"/>
    <w:rsid w:val="0019501D"/>
    <w:rsid w:val="00195388"/>
    <w:rsid w:val="0019538A"/>
    <w:rsid w:val="00196223"/>
    <w:rsid w:val="00196C8E"/>
    <w:rsid w:val="001A11D3"/>
    <w:rsid w:val="001A48C0"/>
    <w:rsid w:val="001B79EB"/>
    <w:rsid w:val="001C3A2E"/>
    <w:rsid w:val="001C459C"/>
    <w:rsid w:val="001C4E96"/>
    <w:rsid w:val="001C5DDC"/>
    <w:rsid w:val="001D036E"/>
    <w:rsid w:val="001D0F10"/>
    <w:rsid w:val="001D2B51"/>
    <w:rsid w:val="001D4D56"/>
    <w:rsid w:val="001D5B5F"/>
    <w:rsid w:val="001E1B20"/>
    <w:rsid w:val="001E3D08"/>
    <w:rsid w:val="001E472F"/>
    <w:rsid w:val="001E60C7"/>
    <w:rsid w:val="001F024D"/>
    <w:rsid w:val="001F11C5"/>
    <w:rsid w:val="001F44D2"/>
    <w:rsid w:val="001F4DE9"/>
    <w:rsid w:val="001F5067"/>
    <w:rsid w:val="001F5926"/>
    <w:rsid w:val="00201EC5"/>
    <w:rsid w:val="002045F4"/>
    <w:rsid w:val="00205206"/>
    <w:rsid w:val="002054BA"/>
    <w:rsid w:val="00215A95"/>
    <w:rsid w:val="002164EC"/>
    <w:rsid w:val="00220657"/>
    <w:rsid w:val="00224AC2"/>
    <w:rsid w:val="00226884"/>
    <w:rsid w:val="002302CF"/>
    <w:rsid w:val="00230393"/>
    <w:rsid w:val="00232D9C"/>
    <w:rsid w:val="00233A3F"/>
    <w:rsid w:val="0023598C"/>
    <w:rsid w:val="00235BE7"/>
    <w:rsid w:val="0024332A"/>
    <w:rsid w:val="00245C1D"/>
    <w:rsid w:val="00245D01"/>
    <w:rsid w:val="00247F4E"/>
    <w:rsid w:val="00253195"/>
    <w:rsid w:val="00256FD2"/>
    <w:rsid w:val="00257902"/>
    <w:rsid w:val="002613EB"/>
    <w:rsid w:val="00261870"/>
    <w:rsid w:val="00263990"/>
    <w:rsid w:val="00263DBB"/>
    <w:rsid w:val="00265358"/>
    <w:rsid w:val="0027025F"/>
    <w:rsid w:val="00270590"/>
    <w:rsid w:val="002717B5"/>
    <w:rsid w:val="002769D4"/>
    <w:rsid w:val="00280BC4"/>
    <w:rsid w:val="002832B0"/>
    <w:rsid w:val="002834C6"/>
    <w:rsid w:val="00286436"/>
    <w:rsid w:val="00286988"/>
    <w:rsid w:val="00286B1F"/>
    <w:rsid w:val="002966EC"/>
    <w:rsid w:val="00296A4C"/>
    <w:rsid w:val="002A1353"/>
    <w:rsid w:val="002B3AB6"/>
    <w:rsid w:val="002B3C44"/>
    <w:rsid w:val="002B5722"/>
    <w:rsid w:val="002B6C31"/>
    <w:rsid w:val="002B7C7E"/>
    <w:rsid w:val="002C4C8C"/>
    <w:rsid w:val="002C6C77"/>
    <w:rsid w:val="002C7D79"/>
    <w:rsid w:val="002D0383"/>
    <w:rsid w:val="002D3870"/>
    <w:rsid w:val="002D5A80"/>
    <w:rsid w:val="002D7A4A"/>
    <w:rsid w:val="002E2B0E"/>
    <w:rsid w:val="002E4133"/>
    <w:rsid w:val="002E4151"/>
    <w:rsid w:val="002E4559"/>
    <w:rsid w:val="002E47DD"/>
    <w:rsid w:val="002E4FA2"/>
    <w:rsid w:val="002F2C82"/>
    <w:rsid w:val="002F2F12"/>
    <w:rsid w:val="00300293"/>
    <w:rsid w:val="00300D07"/>
    <w:rsid w:val="00301484"/>
    <w:rsid w:val="003014E9"/>
    <w:rsid w:val="00304902"/>
    <w:rsid w:val="00304B65"/>
    <w:rsid w:val="0030614D"/>
    <w:rsid w:val="00306A0B"/>
    <w:rsid w:val="00307EB0"/>
    <w:rsid w:val="0031357E"/>
    <w:rsid w:val="00313597"/>
    <w:rsid w:val="0031474B"/>
    <w:rsid w:val="00314DAC"/>
    <w:rsid w:val="00315584"/>
    <w:rsid w:val="00315DD6"/>
    <w:rsid w:val="0031725C"/>
    <w:rsid w:val="003177C7"/>
    <w:rsid w:val="003200E0"/>
    <w:rsid w:val="00320846"/>
    <w:rsid w:val="00320FEC"/>
    <w:rsid w:val="00321149"/>
    <w:rsid w:val="00321652"/>
    <w:rsid w:val="00322F7D"/>
    <w:rsid w:val="00323384"/>
    <w:rsid w:val="00325927"/>
    <w:rsid w:val="00332614"/>
    <w:rsid w:val="003328C3"/>
    <w:rsid w:val="00332F9C"/>
    <w:rsid w:val="003343D5"/>
    <w:rsid w:val="003343FD"/>
    <w:rsid w:val="003362D7"/>
    <w:rsid w:val="00342063"/>
    <w:rsid w:val="0034347B"/>
    <w:rsid w:val="00343F32"/>
    <w:rsid w:val="003468B1"/>
    <w:rsid w:val="0034729D"/>
    <w:rsid w:val="003479CF"/>
    <w:rsid w:val="003501CE"/>
    <w:rsid w:val="00351A88"/>
    <w:rsid w:val="0035412E"/>
    <w:rsid w:val="00355631"/>
    <w:rsid w:val="00356D8D"/>
    <w:rsid w:val="00361AF5"/>
    <w:rsid w:val="003632A8"/>
    <w:rsid w:val="003634A3"/>
    <w:rsid w:val="00366802"/>
    <w:rsid w:val="00373B79"/>
    <w:rsid w:val="00374577"/>
    <w:rsid w:val="0037469D"/>
    <w:rsid w:val="0038063E"/>
    <w:rsid w:val="0038206A"/>
    <w:rsid w:val="003831F0"/>
    <w:rsid w:val="00387974"/>
    <w:rsid w:val="00391519"/>
    <w:rsid w:val="00397061"/>
    <w:rsid w:val="003A1265"/>
    <w:rsid w:val="003A1588"/>
    <w:rsid w:val="003A175C"/>
    <w:rsid w:val="003A5BB3"/>
    <w:rsid w:val="003A74F6"/>
    <w:rsid w:val="003B1E96"/>
    <w:rsid w:val="003B4E2B"/>
    <w:rsid w:val="003B5ABD"/>
    <w:rsid w:val="003B65A3"/>
    <w:rsid w:val="003B7DCD"/>
    <w:rsid w:val="003C0923"/>
    <w:rsid w:val="003C1276"/>
    <w:rsid w:val="003C1F22"/>
    <w:rsid w:val="003C30F4"/>
    <w:rsid w:val="003C3B67"/>
    <w:rsid w:val="003C73FF"/>
    <w:rsid w:val="003D0E54"/>
    <w:rsid w:val="003D133F"/>
    <w:rsid w:val="003D35A9"/>
    <w:rsid w:val="003D50C6"/>
    <w:rsid w:val="003D56C7"/>
    <w:rsid w:val="003D7E03"/>
    <w:rsid w:val="003E3C44"/>
    <w:rsid w:val="003E438C"/>
    <w:rsid w:val="003E5CDF"/>
    <w:rsid w:val="003E6937"/>
    <w:rsid w:val="003E745D"/>
    <w:rsid w:val="003F1BD0"/>
    <w:rsid w:val="003F2631"/>
    <w:rsid w:val="003F2703"/>
    <w:rsid w:val="003F2AF2"/>
    <w:rsid w:val="003F2E9D"/>
    <w:rsid w:val="003F3263"/>
    <w:rsid w:val="003F3ABA"/>
    <w:rsid w:val="003F405C"/>
    <w:rsid w:val="003F6165"/>
    <w:rsid w:val="003F6B58"/>
    <w:rsid w:val="003F741D"/>
    <w:rsid w:val="003F7B80"/>
    <w:rsid w:val="00400ECB"/>
    <w:rsid w:val="00402334"/>
    <w:rsid w:val="0040273C"/>
    <w:rsid w:val="00405B03"/>
    <w:rsid w:val="004175B6"/>
    <w:rsid w:val="00417696"/>
    <w:rsid w:val="0041797C"/>
    <w:rsid w:val="00417C02"/>
    <w:rsid w:val="004237EB"/>
    <w:rsid w:val="00425580"/>
    <w:rsid w:val="00427932"/>
    <w:rsid w:val="0043086A"/>
    <w:rsid w:val="00431CF4"/>
    <w:rsid w:val="00433D49"/>
    <w:rsid w:val="00437819"/>
    <w:rsid w:val="0044030A"/>
    <w:rsid w:val="004420A6"/>
    <w:rsid w:val="004424DE"/>
    <w:rsid w:val="004451CF"/>
    <w:rsid w:val="00450540"/>
    <w:rsid w:val="004536AB"/>
    <w:rsid w:val="00454D68"/>
    <w:rsid w:val="004568F2"/>
    <w:rsid w:val="00457218"/>
    <w:rsid w:val="00461D8F"/>
    <w:rsid w:val="004623A8"/>
    <w:rsid w:val="00464BD4"/>
    <w:rsid w:val="00472CDB"/>
    <w:rsid w:val="00472F91"/>
    <w:rsid w:val="004733C3"/>
    <w:rsid w:val="0047678A"/>
    <w:rsid w:val="00480BD6"/>
    <w:rsid w:val="00480F8B"/>
    <w:rsid w:val="00483B29"/>
    <w:rsid w:val="004865BB"/>
    <w:rsid w:val="004869DB"/>
    <w:rsid w:val="00492FC9"/>
    <w:rsid w:val="0049516B"/>
    <w:rsid w:val="00496C44"/>
    <w:rsid w:val="004A3334"/>
    <w:rsid w:val="004A498F"/>
    <w:rsid w:val="004A597B"/>
    <w:rsid w:val="004A6FBB"/>
    <w:rsid w:val="004B5B2E"/>
    <w:rsid w:val="004B65D3"/>
    <w:rsid w:val="004C23FF"/>
    <w:rsid w:val="004C3BB6"/>
    <w:rsid w:val="004C4055"/>
    <w:rsid w:val="004C59DD"/>
    <w:rsid w:val="004C5ED4"/>
    <w:rsid w:val="004C75BF"/>
    <w:rsid w:val="004D0CEF"/>
    <w:rsid w:val="004D2DD3"/>
    <w:rsid w:val="004D49D5"/>
    <w:rsid w:val="004D4C5C"/>
    <w:rsid w:val="004D643D"/>
    <w:rsid w:val="004E1284"/>
    <w:rsid w:val="004E52D4"/>
    <w:rsid w:val="004E5E82"/>
    <w:rsid w:val="004E5EE4"/>
    <w:rsid w:val="004E6238"/>
    <w:rsid w:val="004E6A2C"/>
    <w:rsid w:val="004F73A9"/>
    <w:rsid w:val="004F747E"/>
    <w:rsid w:val="00500004"/>
    <w:rsid w:val="00501685"/>
    <w:rsid w:val="0050233D"/>
    <w:rsid w:val="00502608"/>
    <w:rsid w:val="005028E3"/>
    <w:rsid w:val="005040B8"/>
    <w:rsid w:val="0050444B"/>
    <w:rsid w:val="00506EDA"/>
    <w:rsid w:val="0050743E"/>
    <w:rsid w:val="00515C49"/>
    <w:rsid w:val="005304E6"/>
    <w:rsid w:val="00536584"/>
    <w:rsid w:val="005367D9"/>
    <w:rsid w:val="00541598"/>
    <w:rsid w:val="00541CBC"/>
    <w:rsid w:val="00542E81"/>
    <w:rsid w:val="005443F7"/>
    <w:rsid w:val="005449FD"/>
    <w:rsid w:val="00545E24"/>
    <w:rsid w:val="00550781"/>
    <w:rsid w:val="00550D6C"/>
    <w:rsid w:val="0055367E"/>
    <w:rsid w:val="005537AD"/>
    <w:rsid w:val="005538A7"/>
    <w:rsid w:val="0055461E"/>
    <w:rsid w:val="00555ACA"/>
    <w:rsid w:val="00560FE4"/>
    <w:rsid w:val="00561836"/>
    <w:rsid w:val="00563A63"/>
    <w:rsid w:val="00567914"/>
    <w:rsid w:val="00570962"/>
    <w:rsid w:val="00571FAC"/>
    <w:rsid w:val="0057416D"/>
    <w:rsid w:val="00576F8A"/>
    <w:rsid w:val="00581F0A"/>
    <w:rsid w:val="005842C4"/>
    <w:rsid w:val="005931A0"/>
    <w:rsid w:val="005934D6"/>
    <w:rsid w:val="005947FC"/>
    <w:rsid w:val="005966B1"/>
    <w:rsid w:val="00597C17"/>
    <w:rsid w:val="005A1CE6"/>
    <w:rsid w:val="005A1F59"/>
    <w:rsid w:val="005A222B"/>
    <w:rsid w:val="005A7A10"/>
    <w:rsid w:val="005B0BB7"/>
    <w:rsid w:val="005B2C0F"/>
    <w:rsid w:val="005B4EB2"/>
    <w:rsid w:val="005B7459"/>
    <w:rsid w:val="005C075D"/>
    <w:rsid w:val="005C0F9B"/>
    <w:rsid w:val="005C6A8D"/>
    <w:rsid w:val="005D0335"/>
    <w:rsid w:val="005D09A7"/>
    <w:rsid w:val="005D14BA"/>
    <w:rsid w:val="005D18E6"/>
    <w:rsid w:val="005D5A2B"/>
    <w:rsid w:val="005D5E95"/>
    <w:rsid w:val="005E3105"/>
    <w:rsid w:val="005E44A9"/>
    <w:rsid w:val="005E7EA1"/>
    <w:rsid w:val="005E7EFE"/>
    <w:rsid w:val="005F0C9D"/>
    <w:rsid w:val="005F3170"/>
    <w:rsid w:val="005F548F"/>
    <w:rsid w:val="005F5806"/>
    <w:rsid w:val="005F5A5E"/>
    <w:rsid w:val="005F6CE0"/>
    <w:rsid w:val="0060022F"/>
    <w:rsid w:val="0060037C"/>
    <w:rsid w:val="00600A88"/>
    <w:rsid w:val="00601047"/>
    <w:rsid w:val="00603C9F"/>
    <w:rsid w:val="00604413"/>
    <w:rsid w:val="00604837"/>
    <w:rsid w:val="0060675B"/>
    <w:rsid w:val="00610F86"/>
    <w:rsid w:val="00611BFC"/>
    <w:rsid w:val="00612008"/>
    <w:rsid w:val="00615912"/>
    <w:rsid w:val="006160CF"/>
    <w:rsid w:val="006216DD"/>
    <w:rsid w:val="006235D9"/>
    <w:rsid w:val="00627F3E"/>
    <w:rsid w:val="00630AAB"/>
    <w:rsid w:val="00632D63"/>
    <w:rsid w:val="00633268"/>
    <w:rsid w:val="006359B1"/>
    <w:rsid w:val="00635A4E"/>
    <w:rsid w:val="00636EF6"/>
    <w:rsid w:val="00637637"/>
    <w:rsid w:val="006378AA"/>
    <w:rsid w:val="0064032B"/>
    <w:rsid w:val="0064301E"/>
    <w:rsid w:val="00646AF4"/>
    <w:rsid w:val="006509EF"/>
    <w:rsid w:val="00651369"/>
    <w:rsid w:val="00654328"/>
    <w:rsid w:val="00654F25"/>
    <w:rsid w:val="00655717"/>
    <w:rsid w:val="006574BC"/>
    <w:rsid w:val="00661397"/>
    <w:rsid w:val="00661820"/>
    <w:rsid w:val="00662708"/>
    <w:rsid w:val="0066308F"/>
    <w:rsid w:val="00663F0F"/>
    <w:rsid w:val="00664E0E"/>
    <w:rsid w:val="006675CE"/>
    <w:rsid w:val="00667C55"/>
    <w:rsid w:val="00671698"/>
    <w:rsid w:val="00672182"/>
    <w:rsid w:val="006723B0"/>
    <w:rsid w:val="00674A71"/>
    <w:rsid w:val="00690044"/>
    <w:rsid w:val="00691B61"/>
    <w:rsid w:val="00691E32"/>
    <w:rsid w:val="00693DBE"/>
    <w:rsid w:val="00695A11"/>
    <w:rsid w:val="00695C75"/>
    <w:rsid w:val="00697E6A"/>
    <w:rsid w:val="006A0A3D"/>
    <w:rsid w:val="006A19DF"/>
    <w:rsid w:val="006A4667"/>
    <w:rsid w:val="006A49EB"/>
    <w:rsid w:val="006A4DF5"/>
    <w:rsid w:val="006A4EA4"/>
    <w:rsid w:val="006A764C"/>
    <w:rsid w:val="006B014B"/>
    <w:rsid w:val="006B15CB"/>
    <w:rsid w:val="006B1D13"/>
    <w:rsid w:val="006B2454"/>
    <w:rsid w:val="006B26BC"/>
    <w:rsid w:val="006B3127"/>
    <w:rsid w:val="006B3F87"/>
    <w:rsid w:val="006C0D91"/>
    <w:rsid w:val="006C1809"/>
    <w:rsid w:val="006C315D"/>
    <w:rsid w:val="006C53DB"/>
    <w:rsid w:val="006C7FF0"/>
    <w:rsid w:val="006D23B4"/>
    <w:rsid w:val="006D3DD9"/>
    <w:rsid w:val="006D4DC0"/>
    <w:rsid w:val="006D5DD1"/>
    <w:rsid w:val="006D6687"/>
    <w:rsid w:val="006D66BB"/>
    <w:rsid w:val="006E2CCC"/>
    <w:rsid w:val="006E3B17"/>
    <w:rsid w:val="006E4464"/>
    <w:rsid w:val="006E5112"/>
    <w:rsid w:val="006E539C"/>
    <w:rsid w:val="006F1248"/>
    <w:rsid w:val="006F17BB"/>
    <w:rsid w:val="006F23D3"/>
    <w:rsid w:val="006F2EAB"/>
    <w:rsid w:val="006F38B6"/>
    <w:rsid w:val="006F4585"/>
    <w:rsid w:val="006F5943"/>
    <w:rsid w:val="006F6FD6"/>
    <w:rsid w:val="006F7E33"/>
    <w:rsid w:val="00707001"/>
    <w:rsid w:val="007076E3"/>
    <w:rsid w:val="00710459"/>
    <w:rsid w:val="00715A72"/>
    <w:rsid w:val="007161CA"/>
    <w:rsid w:val="00717854"/>
    <w:rsid w:val="00720628"/>
    <w:rsid w:val="007259DD"/>
    <w:rsid w:val="007325DE"/>
    <w:rsid w:val="00733EB9"/>
    <w:rsid w:val="007363F1"/>
    <w:rsid w:val="007376A7"/>
    <w:rsid w:val="007433DA"/>
    <w:rsid w:val="007442C5"/>
    <w:rsid w:val="0074525A"/>
    <w:rsid w:val="00750DA2"/>
    <w:rsid w:val="00751B19"/>
    <w:rsid w:val="0075373E"/>
    <w:rsid w:val="00760A6A"/>
    <w:rsid w:val="007627A9"/>
    <w:rsid w:val="007641F0"/>
    <w:rsid w:val="00766BC9"/>
    <w:rsid w:val="0076789D"/>
    <w:rsid w:val="00771852"/>
    <w:rsid w:val="00773241"/>
    <w:rsid w:val="007744CC"/>
    <w:rsid w:val="00774895"/>
    <w:rsid w:val="00774D1B"/>
    <w:rsid w:val="00775ACB"/>
    <w:rsid w:val="00777D6C"/>
    <w:rsid w:val="00777EA7"/>
    <w:rsid w:val="0078059D"/>
    <w:rsid w:val="0078139C"/>
    <w:rsid w:val="007819EB"/>
    <w:rsid w:val="0078342E"/>
    <w:rsid w:val="00783A14"/>
    <w:rsid w:val="007857C4"/>
    <w:rsid w:val="00787CFD"/>
    <w:rsid w:val="00790985"/>
    <w:rsid w:val="00791E55"/>
    <w:rsid w:val="0079350B"/>
    <w:rsid w:val="007944CC"/>
    <w:rsid w:val="00794ABF"/>
    <w:rsid w:val="0079592D"/>
    <w:rsid w:val="007962AE"/>
    <w:rsid w:val="00797E1C"/>
    <w:rsid w:val="007A1D31"/>
    <w:rsid w:val="007A1DF0"/>
    <w:rsid w:val="007A50A7"/>
    <w:rsid w:val="007A70B9"/>
    <w:rsid w:val="007B03BE"/>
    <w:rsid w:val="007B4B5B"/>
    <w:rsid w:val="007B7634"/>
    <w:rsid w:val="007C2F02"/>
    <w:rsid w:val="007C5081"/>
    <w:rsid w:val="007D0105"/>
    <w:rsid w:val="007D2258"/>
    <w:rsid w:val="007D4E28"/>
    <w:rsid w:val="007D545E"/>
    <w:rsid w:val="007D77D9"/>
    <w:rsid w:val="007D7812"/>
    <w:rsid w:val="007E1F1B"/>
    <w:rsid w:val="007E21C2"/>
    <w:rsid w:val="007E4B53"/>
    <w:rsid w:val="007E4E95"/>
    <w:rsid w:val="007E7114"/>
    <w:rsid w:val="007F2B4E"/>
    <w:rsid w:val="007F4210"/>
    <w:rsid w:val="007F5E5B"/>
    <w:rsid w:val="0080098C"/>
    <w:rsid w:val="00800C5C"/>
    <w:rsid w:val="008015FF"/>
    <w:rsid w:val="00802646"/>
    <w:rsid w:val="00802D6A"/>
    <w:rsid w:val="00803F4C"/>
    <w:rsid w:val="0080438C"/>
    <w:rsid w:val="008044BB"/>
    <w:rsid w:val="00804DED"/>
    <w:rsid w:val="00806A92"/>
    <w:rsid w:val="0081052E"/>
    <w:rsid w:val="00812AE0"/>
    <w:rsid w:val="00814825"/>
    <w:rsid w:val="00815D7D"/>
    <w:rsid w:val="00817A48"/>
    <w:rsid w:val="00817DCD"/>
    <w:rsid w:val="00820047"/>
    <w:rsid w:val="00826383"/>
    <w:rsid w:val="00826A63"/>
    <w:rsid w:val="008312D5"/>
    <w:rsid w:val="00831941"/>
    <w:rsid w:val="00831D8E"/>
    <w:rsid w:val="008327FA"/>
    <w:rsid w:val="00832CEA"/>
    <w:rsid w:val="00835B52"/>
    <w:rsid w:val="008362F9"/>
    <w:rsid w:val="00836B2A"/>
    <w:rsid w:val="008370AA"/>
    <w:rsid w:val="00837950"/>
    <w:rsid w:val="008403A1"/>
    <w:rsid w:val="00843C0F"/>
    <w:rsid w:val="008517FE"/>
    <w:rsid w:val="00851C47"/>
    <w:rsid w:val="00854E3C"/>
    <w:rsid w:val="008556C6"/>
    <w:rsid w:val="00855A2A"/>
    <w:rsid w:val="00855E57"/>
    <w:rsid w:val="00856FE0"/>
    <w:rsid w:val="00857F88"/>
    <w:rsid w:val="008620D3"/>
    <w:rsid w:val="008637AD"/>
    <w:rsid w:val="00863FC2"/>
    <w:rsid w:val="00866DFB"/>
    <w:rsid w:val="00873ED7"/>
    <w:rsid w:val="00875386"/>
    <w:rsid w:val="008753EC"/>
    <w:rsid w:val="0087542E"/>
    <w:rsid w:val="00876261"/>
    <w:rsid w:val="00876AA8"/>
    <w:rsid w:val="00883414"/>
    <w:rsid w:val="00886C71"/>
    <w:rsid w:val="0089132E"/>
    <w:rsid w:val="008921F6"/>
    <w:rsid w:val="00893FB7"/>
    <w:rsid w:val="00895244"/>
    <w:rsid w:val="00895C02"/>
    <w:rsid w:val="00897EF6"/>
    <w:rsid w:val="008A11A3"/>
    <w:rsid w:val="008A38EC"/>
    <w:rsid w:val="008A3978"/>
    <w:rsid w:val="008A3C10"/>
    <w:rsid w:val="008A4715"/>
    <w:rsid w:val="008A5777"/>
    <w:rsid w:val="008A5B2B"/>
    <w:rsid w:val="008A7051"/>
    <w:rsid w:val="008B0BA7"/>
    <w:rsid w:val="008B15B2"/>
    <w:rsid w:val="008B3F9B"/>
    <w:rsid w:val="008B4AEB"/>
    <w:rsid w:val="008B4FF3"/>
    <w:rsid w:val="008B5BF6"/>
    <w:rsid w:val="008B5FA5"/>
    <w:rsid w:val="008B6009"/>
    <w:rsid w:val="008C26EF"/>
    <w:rsid w:val="008C2F6A"/>
    <w:rsid w:val="008C5B02"/>
    <w:rsid w:val="008D033B"/>
    <w:rsid w:val="008D447C"/>
    <w:rsid w:val="008D542E"/>
    <w:rsid w:val="008E0BB2"/>
    <w:rsid w:val="008E43D4"/>
    <w:rsid w:val="008E4A83"/>
    <w:rsid w:val="008F0E7D"/>
    <w:rsid w:val="008F1803"/>
    <w:rsid w:val="008F3500"/>
    <w:rsid w:val="008F3A17"/>
    <w:rsid w:val="008F4969"/>
    <w:rsid w:val="008F73B4"/>
    <w:rsid w:val="008F7883"/>
    <w:rsid w:val="00902D9D"/>
    <w:rsid w:val="0090781B"/>
    <w:rsid w:val="00914082"/>
    <w:rsid w:val="009205BC"/>
    <w:rsid w:val="009208AB"/>
    <w:rsid w:val="00921F67"/>
    <w:rsid w:val="0092313E"/>
    <w:rsid w:val="00924CD6"/>
    <w:rsid w:val="00925A40"/>
    <w:rsid w:val="00925E90"/>
    <w:rsid w:val="00926B31"/>
    <w:rsid w:val="00931773"/>
    <w:rsid w:val="00934EC1"/>
    <w:rsid w:val="00935C94"/>
    <w:rsid w:val="009375B6"/>
    <w:rsid w:val="00940150"/>
    <w:rsid w:val="00940737"/>
    <w:rsid w:val="0094107D"/>
    <w:rsid w:val="009434F3"/>
    <w:rsid w:val="00946581"/>
    <w:rsid w:val="0095040C"/>
    <w:rsid w:val="0095055E"/>
    <w:rsid w:val="00950BCB"/>
    <w:rsid w:val="009517EC"/>
    <w:rsid w:val="009530BA"/>
    <w:rsid w:val="00954BE4"/>
    <w:rsid w:val="00956A6F"/>
    <w:rsid w:val="00957D30"/>
    <w:rsid w:val="009606CF"/>
    <w:rsid w:val="0096265C"/>
    <w:rsid w:val="0096338D"/>
    <w:rsid w:val="00963A62"/>
    <w:rsid w:val="009645C8"/>
    <w:rsid w:val="00965B70"/>
    <w:rsid w:val="00966935"/>
    <w:rsid w:val="00970ED2"/>
    <w:rsid w:val="00972370"/>
    <w:rsid w:val="009755D3"/>
    <w:rsid w:val="00976B7B"/>
    <w:rsid w:val="0098252B"/>
    <w:rsid w:val="00982A8C"/>
    <w:rsid w:val="009853C5"/>
    <w:rsid w:val="009901BA"/>
    <w:rsid w:val="0099461F"/>
    <w:rsid w:val="0099482A"/>
    <w:rsid w:val="009956C2"/>
    <w:rsid w:val="009A060D"/>
    <w:rsid w:val="009A13C8"/>
    <w:rsid w:val="009A170C"/>
    <w:rsid w:val="009A37FD"/>
    <w:rsid w:val="009A385B"/>
    <w:rsid w:val="009A44AD"/>
    <w:rsid w:val="009B2304"/>
    <w:rsid w:val="009B508C"/>
    <w:rsid w:val="009B6C27"/>
    <w:rsid w:val="009B73BF"/>
    <w:rsid w:val="009B79FB"/>
    <w:rsid w:val="009C0369"/>
    <w:rsid w:val="009C160B"/>
    <w:rsid w:val="009C2A4F"/>
    <w:rsid w:val="009C3C9F"/>
    <w:rsid w:val="009D01D9"/>
    <w:rsid w:val="009E3522"/>
    <w:rsid w:val="009E4292"/>
    <w:rsid w:val="009E452A"/>
    <w:rsid w:val="009E4B19"/>
    <w:rsid w:val="009E7581"/>
    <w:rsid w:val="009F37DA"/>
    <w:rsid w:val="009F471D"/>
    <w:rsid w:val="00A00CAB"/>
    <w:rsid w:val="00A010F0"/>
    <w:rsid w:val="00A05B1C"/>
    <w:rsid w:val="00A06CE1"/>
    <w:rsid w:val="00A109A4"/>
    <w:rsid w:val="00A10E5A"/>
    <w:rsid w:val="00A123D7"/>
    <w:rsid w:val="00A1243B"/>
    <w:rsid w:val="00A12B2B"/>
    <w:rsid w:val="00A14902"/>
    <w:rsid w:val="00A22B28"/>
    <w:rsid w:val="00A23E45"/>
    <w:rsid w:val="00A24722"/>
    <w:rsid w:val="00A27E40"/>
    <w:rsid w:val="00A31E43"/>
    <w:rsid w:val="00A322B3"/>
    <w:rsid w:val="00A359F7"/>
    <w:rsid w:val="00A37FE1"/>
    <w:rsid w:val="00A41B14"/>
    <w:rsid w:val="00A43309"/>
    <w:rsid w:val="00A45ED3"/>
    <w:rsid w:val="00A51222"/>
    <w:rsid w:val="00A60612"/>
    <w:rsid w:val="00A6479F"/>
    <w:rsid w:val="00A70E9D"/>
    <w:rsid w:val="00A75128"/>
    <w:rsid w:val="00A758CF"/>
    <w:rsid w:val="00A77196"/>
    <w:rsid w:val="00A77240"/>
    <w:rsid w:val="00A7724E"/>
    <w:rsid w:val="00A81B38"/>
    <w:rsid w:val="00A82BA0"/>
    <w:rsid w:val="00A83EDA"/>
    <w:rsid w:val="00A84645"/>
    <w:rsid w:val="00A85A49"/>
    <w:rsid w:val="00A90543"/>
    <w:rsid w:val="00A93C87"/>
    <w:rsid w:val="00A960C6"/>
    <w:rsid w:val="00A9658A"/>
    <w:rsid w:val="00A96FEA"/>
    <w:rsid w:val="00AA306A"/>
    <w:rsid w:val="00AA37CF"/>
    <w:rsid w:val="00AA464F"/>
    <w:rsid w:val="00AA6A36"/>
    <w:rsid w:val="00AB2286"/>
    <w:rsid w:val="00AB2EC5"/>
    <w:rsid w:val="00AB3E5C"/>
    <w:rsid w:val="00AC30EC"/>
    <w:rsid w:val="00AC6E7A"/>
    <w:rsid w:val="00AC72BF"/>
    <w:rsid w:val="00AD0913"/>
    <w:rsid w:val="00AD2CB9"/>
    <w:rsid w:val="00AD4EC4"/>
    <w:rsid w:val="00AD5D7D"/>
    <w:rsid w:val="00AD6C9C"/>
    <w:rsid w:val="00AE1E58"/>
    <w:rsid w:val="00AE37C5"/>
    <w:rsid w:val="00AE7857"/>
    <w:rsid w:val="00AF1E48"/>
    <w:rsid w:val="00AF2513"/>
    <w:rsid w:val="00AF33CE"/>
    <w:rsid w:val="00AF374D"/>
    <w:rsid w:val="00AF5273"/>
    <w:rsid w:val="00AF6410"/>
    <w:rsid w:val="00AF752C"/>
    <w:rsid w:val="00B000B0"/>
    <w:rsid w:val="00B00A36"/>
    <w:rsid w:val="00B012B8"/>
    <w:rsid w:val="00B02AB4"/>
    <w:rsid w:val="00B03848"/>
    <w:rsid w:val="00B050C6"/>
    <w:rsid w:val="00B105F4"/>
    <w:rsid w:val="00B1115F"/>
    <w:rsid w:val="00B1326E"/>
    <w:rsid w:val="00B15CCB"/>
    <w:rsid w:val="00B2105A"/>
    <w:rsid w:val="00B2245D"/>
    <w:rsid w:val="00B22BD7"/>
    <w:rsid w:val="00B23178"/>
    <w:rsid w:val="00B233DE"/>
    <w:rsid w:val="00B24572"/>
    <w:rsid w:val="00B256F4"/>
    <w:rsid w:val="00B26F2A"/>
    <w:rsid w:val="00B311D6"/>
    <w:rsid w:val="00B34B6D"/>
    <w:rsid w:val="00B36886"/>
    <w:rsid w:val="00B37512"/>
    <w:rsid w:val="00B436E2"/>
    <w:rsid w:val="00B43F0C"/>
    <w:rsid w:val="00B4517D"/>
    <w:rsid w:val="00B45D93"/>
    <w:rsid w:val="00B47C54"/>
    <w:rsid w:val="00B555DB"/>
    <w:rsid w:val="00B55AA3"/>
    <w:rsid w:val="00B6003C"/>
    <w:rsid w:val="00B60905"/>
    <w:rsid w:val="00B650E9"/>
    <w:rsid w:val="00B66E78"/>
    <w:rsid w:val="00B707E7"/>
    <w:rsid w:val="00B742D8"/>
    <w:rsid w:val="00B749C9"/>
    <w:rsid w:val="00B76DD6"/>
    <w:rsid w:val="00B81E6E"/>
    <w:rsid w:val="00B8266A"/>
    <w:rsid w:val="00B82708"/>
    <w:rsid w:val="00B83BA4"/>
    <w:rsid w:val="00B86851"/>
    <w:rsid w:val="00B875B7"/>
    <w:rsid w:val="00B94273"/>
    <w:rsid w:val="00B95177"/>
    <w:rsid w:val="00BA17B2"/>
    <w:rsid w:val="00BA4F95"/>
    <w:rsid w:val="00BA6D89"/>
    <w:rsid w:val="00BA6E1E"/>
    <w:rsid w:val="00BA6FDC"/>
    <w:rsid w:val="00BA71A0"/>
    <w:rsid w:val="00BB3A40"/>
    <w:rsid w:val="00BB591D"/>
    <w:rsid w:val="00BB5EC4"/>
    <w:rsid w:val="00BB63F2"/>
    <w:rsid w:val="00BB6B34"/>
    <w:rsid w:val="00BC488E"/>
    <w:rsid w:val="00BC4B83"/>
    <w:rsid w:val="00BD1325"/>
    <w:rsid w:val="00BD2DB7"/>
    <w:rsid w:val="00BD43FB"/>
    <w:rsid w:val="00BD70BB"/>
    <w:rsid w:val="00BD7368"/>
    <w:rsid w:val="00BD7A37"/>
    <w:rsid w:val="00BE0008"/>
    <w:rsid w:val="00BE2406"/>
    <w:rsid w:val="00BE47C9"/>
    <w:rsid w:val="00BE71CA"/>
    <w:rsid w:val="00BE76DA"/>
    <w:rsid w:val="00BE7B02"/>
    <w:rsid w:val="00BF31AF"/>
    <w:rsid w:val="00BF589D"/>
    <w:rsid w:val="00BF614E"/>
    <w:rsid w:val="00C01423"/>
    <w:rsid w:val="00C01C69"/>
    <w:rsid w:val="00C0256E"/>
    <w:rsid w:val="00C02AD2"/>
    <w:rsid w:val="00C02CB3"/>
    <w:rsid w:val="00C03B91"/>
    <w:rsid w:val="00C06C63"/>
    <w:rsid w:val="00C07DAE"/>
    <w:rsid w:val="00C10C30"/>
    <w:rsid w:val="00C1220A"/>
    <w:rsid w:val="00C12530"/>
    <w:rsid w:val="00C12963"/>
    <w:rsid w:val="00C1630F"/>
    <w:rsid w:val="00C20084"/>
    <w:rsid w:val="00C25088"/>
    <w:rsid w:val="00C30CF7"/>
    <w:rsid w:val="00C31DFD"/>
    <w:rsid w:val="00C33BBC"/>
    <w:rsid w:val="00C3798E"/>
    <w:rsid w:val="00C37EAE"/>
    <w:rsid w:val="00C403F5"/>
    <w:rsid w:val="00C41106"/>
    <w:rsid w:val="00C41FA9"/>
    <w:rsid w:val="00C45F09"/>
    <w:rsid w:val="00C46495"/>
    <w:rsid w:val="00C4678A"/>
    <w:rsid w:val="00C4696B"/>
    <w:rsid w:val="00C4755A"/>
    <w:rsid w:val="00C5077A"/>
    <w:rsid w:val="00C53495"/>
    <w:rsid w:val="00C54504"/>
    <w:rsid w:val="00C54C4C"/>
    <w:rsid w:val="00C54FC1"/>
    <w:rsid w:val="00C559C5"/>
    <w:rsid w:val="00C5623B"/>
    <w:rsid w:val="00C56799"/>
    <w:rsid w:val="00C5705C"/>
    <w:rsid w:val="00C57D95"/>
    <w:rsid w:val="00C61297"/>
    <w:rsid w:val="00C6183F"/>
    <w:rsid w:val="00C63004"/>
    <w:rsid w:val="00C6554F"/>
    <w:rsid w:val="00C67FFD"/>
    <w:rsid w:val="00C708CC"/>
    <w:rsid w:val="00C70DB8"/>
    <w:rsid w:val="00C70F4C"/>
    <w:rsid w:val="00C713E2"/>
    <w:rsid w:val="00C7569A"/>
    <w:rsid w:val="00C7579F"/>
    <w:rsid w:val="00C7674E"/>
    <w:rsid w:val="00C76FF2"/>
    <w:rsid w:val="00C779E4"/>
    <w:rsid w:val="00C80BAE"/>
    <w:rsid w:val="00C82D0E"/>
    <w:rsid w:val="00C83008"/>
    <w:rsid w:val="00C84A85"/>
    <w:rsid w:val="00C84C5B"/>
    <w:rsid w:val="00C84FB0"/>
    <w:rsid w:val="00C86CA9"/>
    <w:rsid w:val="00C871DB"/>
    <w:rsid w:val="00C90A70"/>
    <w:rsid w:val="00C91B05"/>
    <w:rsid w:val="00C9403C"/>
    <w:rsid w:val="00CA3DBF"/>
    <w:rsid w:val="00CB04B6"/>
    <w:rsid w:val="00CB21B8"/>
    <w:rsid w:val="00CB4396"/>
    <w:rsid w:val="00CB560D"/>
    <w:rsid w:val="00CB680A"/>
    <w:rsid w:val="00CB6CA0"/>
    <w:rsid w:val="00CC0205"/>
    <w:rsid w:val="00CC03FA"/>
    <w:rsid w:val="00CC4711"/>
    <w:rsid w:val="00CC5311"/>
    <w:rsid w:val="00CC7635"/>
    <w:rsid w:val="00CD3392"/>
    <w:rsid w:val="00CD4CCA"/>
    <w:rsid w:val="00CD6719"/>
    <w:rsid w:val="00CD7EE1"/>
    <w:rsid w:val="00CE2B6A"/>
    <w:rsid w:val="00CE2BDB"/>
    <w:rsid w:val="00CE384D"/>
    <w:rsid w:val="00CE5E0D"/>
    <w:rsid w:val="00CE71BD"/>
    <w:rsid w:val="00CF18A6"/>
    <w:rsid w:val="00CF1C21"/>
    <w:rsid w:val="00CF2231"/>
    <w:rsid w:val="00CF2B4F"/>
    <w:rsid w:val="00CF6792"/>
    <w:rsid w:val="00D02595"/>
    <w:rsid w:val="00D064D8"/>
    <w:rsid w:val="00D07CAE"/>
    <w:rsid w:val="00D1001C"/>
    <w:rsid w:val="00D11128"/>
    <w:rsid w:val="00D11E26"/>
    <w:rsid w:val="00D14AD1"/>
    <w:rsid w:val="00D176B4"/>
    <w:rsid w:val="00D17DB4"/>
    <w:rsid w:val="00D20530"/>
    <w:rsid w:val="00D209A7"/>
    <w:rsid w:val="00D20F22"/>
    <w:rsid w:val="00D20F54"/>
    <w:rsid w:val="00D25AEC"/>
    <w:rsid w:val="00D31712"/>
    <w:rsid w:val="00D329F3"/>
    <w:rsid w:val="00D33027"/>
    <w:rsid w:val="00D3372C"/>
    <w:rsid w:val="00D35AAC"/>
    <w:rsid w:val="00D41FEC"/>
    <w:rsid w:val="00D42C39"/>
    <w:rsid w:val="00D43E54"/>
    <w:rsid w:val="00D4663F"/>
    <w:rsid w:val="00D46D00"/>
    <w:rsid w:val="00D5267E"/>
    <w:rsid w:val="00D54A37"/>
    <w:rsid w:val="00D55B15"/>
    <w:rsid w:val="00D6132C"/>
    <w:rsid w:val="00D62B1B"/>
    <w:rsid w:val="00D64616"/>
    <w:rsid w:val="00D72EB5"/>
    <w:rsid w:val="00D73690"/>
    <w:rsid w:val="00D73DD3"/>
    <w:rsid w:val="00D74D25"/>
    <w:rsid w:val="00D76749"/>
    <w:rsid w:val="00D76FD0"/>
    <w:rsid w:val="00D77800"/>
    <w:rsid w:val="00D801ED"/>
    <w:rsid w:val="00D80285"/>
    <w:rsid w:val="00D8047B"/>
    <w:rsid w:val="00D81F41"/>
    <w:rsid w:val="00D832DF"/>
    <w:rsid w:val="00D83370"/>
    <w:rsid w:val="00DA350F"/>
    <w:rsid w:val="00DA616E"/>
    <w:rsid w:val="00DA6478"/>
    <w:rsid w:val="00DA68E0"/>
    <w:rsid w:val="00DA7E06"/>
    <w:rsid w:val="00DB2368"/>
    <w:rsid w:val="00DB6513"/>
    <w:rsid w:val="00DB6720"/>
    <w:rsid w:val="00DC06B6"/>
    <w:rsid w:val="00DC2A03"/>
    <w:rsid w:val="00DC3A79"/>
    <w:rsid w:val="00DC4364"/>
    <w:rsid w:val="00DC5566"/>
    <w:rsid w:val="00DC5FC5"/>
    <w:rsid w:val="00DC6970"/>
    <w:rsid w:val="00DC6D44"/>
    <w:rsid w:val="00DC7142"/>
    <w:rsid w:val="00DC7A30"/>
    <w:rsid w:val="00DC7E61"/>
    <w:rsid w:val="00DD4575"/>
    <w:rsid w:val="00DE0D54"/>
    <w:rsid w:val="00DE21B6"/>
    <w:rsid w:val="00DE765B"/>
    <w:rsid w:val="00DF0893"/>
    <w:rsid w:val="00E007B6"/>
    <w:rsid w:val="00E027D8"/>
    <w:rsid w:val="00E04969"/>
    <w:rsid w:val="00E07129"/>
    <w:rsid w:val="00E076E8"/>
    <w:rsid w:val="00E07F6E"/>
    <w:rsid w:val="00E103AD"/>
    <w:rsid w:val="00E1061F"/>
    <w:rsid w:val="00E10760"/>
    <w:rsid w:val="00E14766"/>
    <w:rsid w:val="00E14E73"/>
    <w:rsid w:val="00E15F28"/>
    <w:rsid w:val="00E22B1E"/>
    <w:rsid w:val="00E22D70"/>
    <w:rsid w:val="00E241D8"/>
    <w:rsid w:val="00E2569A"/>
    <w:rsid w:val="00E25895"/>
    <w:rsid w:val="00E25DD3"/>
    <w:rsid w:val="00E274AF"/>
    <w:rsid w:val="00E33041"/>
    <w:rsid w:val="00E343BB"/>
    <w:rsid w:val="00E35936"/>
    <w:rsid w:val="00E3598C"/>
    <w:rsid w:val="00E35CE5"/>
    <w:rsid w:val="00E3601E"/>
    <w:rsid w:val="00E3672D"/>
    <w:rsid w:val="00E37002"/>
    <w:rsid w:val="00E3792D"/>
    <w:rsid w:val="00E42040"/>
    <w:rsid w:val="00E456E1"/>
    <w:rsid w:val="00E45ED7"/>
    <w:rsid w:val="00E468C3"/>
    <w:rsid w:val="00E476A9"/>
    <w:rsid w:val="00E504FA"/>
    <w:rsid w:val="00E5240A"/>
    <w:rsid w:val="00E53B1B"/>
    <w:rsid w:val="00E544B7"/>
    <w:rsid w:val="00E56096"/>
    <w:rsid w:val="00E56718"/>
    <w:rsid w:val="00E56732"/>
    <w:rsid w:val="00E60B25"/>
    <w:rsid w:val="00E61FE8"/>
    <w:rsid w:val="00E622E1"/>
    <w:rsid w:val="00E66E31"/>
    <w:rsid w:val="00E70381"/>
    <w:rsid w:val="00E70E8F"/>
    <w:rsid w:val="00E76E01"/>
    <w:rsid w:val="00E76F2B"/>
    <w:rsid w:val="00E832E0"/>
    <w:rsid w:val="00E845BA"/>
    <w:rsid w:val="00E847A4"/>
    <w:rsid w:val="00E870CA"/>
    <w:rsid w:val="00E91A74"/>
    <w:rsid w:val="00E929EC"/>
    <w:rsid w:val="00E95F74"/>
    <w:rsid w:val="00E97936"/>
    <w:rsid w:val="00EA2F68"/>
    <w:rsid w:val="00EA4CFB"/>
    <w:rsid w:val="00EA4EB4"/>
    <w:rsid w:val="00EA574A"/>
    <w:rsid w:val="00EA6640"/>
    <w:rsid w:val="00EA6F52"/>
    <w:rsid w:val="00EB0350"/>
    <w:rsid w:val="00EB1A39"/>
    <w:rsid w:val="00EB20BA"/>
    <w:rsid w:val="00EB2988"/>
    <w:rsid w:val="00EB34F3"/>
    <w:rsid w:val="00EB563F"/>
    <w:rsid w:val="00EB6E84"/>
    <w:rsid w:val="00EB7F76"/>
    <w:rsid w:val="00EC0973"/>
    <w:rsid w:val="00EC27AE"/>
    <w:rsid w:val="00EC6A0D"/>
    <w:rsid w:val="00EC74A4"/>
    <w:rsid w:val="00ED058E"/>
    <w:rsid w:val="00ED1843"/>
    <w:rsid w:val="00ED2E55"/>
    <w:rsid w:val="00ED4D4E"/>
    <w:rsid w:val="00ED5EE1"/>
    <w:rsid w:val="00ED6B42"/>
    <w:rsid w:val="00EE04A6"/>
    <w:rsid w:val="00EE2145"/>
    <w:rsid w:val="00EE2210"/>
    <w:rsid w:val="00EE7A5D"/>
    <w:rsid w:val="00EF0A13"/>
    <w:rsid w:val="00EF28E1"/>
    <w:rsid w:val="00EF2C7D"/>
    <w:rsid w:val="00EF2D05"/>
    <w:rsid w:val="00EF3CEE"/>
    <w:rsid w:val="00F02DC1"/>
    <w:rsid w:val="00F03B38"/>
    <w:rsid w:val="00F03C03"/>
    <w:rsid w:val="00F05531"/>
    <w:rsid w:val="00F13F73"/>
    <w:rsid w:val="00F157A3"/>
    <w:rsid w:val="00F15F08"/>
    <w:rsid w:val="00F17041"/>
    <w:rsid w:val="00F176A2"/>
    <w:rsid w:val="00F21509"/>
    <w:rsid w:val="00F21751"/>
    <w:rsid w:val="00F2368B"/>
    <w:rsid w:val="00F26274"/>
    <w:rsid w:val="00F27180"/>
    <w:rsid w:val="00F3187B"/>
    <w:rsid w:val="00F3248C"/>
    <w:rsid w:val="00F332A8"/>
    <w:rsid w:val="00F33B02"/>
    <w:rsid w:val="00F34608"/>
    <w:rsid w:val="00F37D8F"/>
    <w:rsid w:val="00F40436"/>
    <w:rsid w:val="00F45755"/>
    <w:rsid w:val="00F45E43"/>
    <w:rsid w:val="00F469B0"/>
    <w:rsid w:val="00F50131"/>
    <w:rsid w:val="00F50AA7"/>
    <w:rsid w:val="00F51476"/>
    <w:rsid w:val="00F53DBC"/>
    <w:rsid w:val="00F547A7"/>
    <w:rsid w:val="00F55D07"/>
    <w:rsid w:val="00F5615E"/>
    <w:rsid w:val="00F604B5"/>
    <w:rsid w:val="00F60BBB"/>
    <w:rsid w:val="00F60E14"/>
    <w:rsid w:val="00F62475"/>
    <w:rsid w:val="00F6439A"/>
    <w:rsid w:val="00F65A68"/>
    <w:rsid w:val="00F67C6C"/>
    <w:rsid w:val="00F67C83"/>
    <w:rsid w:val="00F7148B"/>
    <w:rsid w:val="00F718B2"/>
    <w:rsid w:val="00F7236B"/>
    <w:rsid w:val="00F747A1"/>
    <w:rsid w:val="00F7650B"/>
    <w:rsid w:val="00F803B6"/>
    <w:rsid w:val="00F81500"/>
    <w:rsid w:val="00F831D2"/>
    <w:rsid w:val="00F84977"/>
    <w:rsid w:val="00F904B3"/>
    <w:rsid w:val="00F906F1"/>
    <w:rsid w:val="00F9096D"/>
    <w:rsid w:val="00F96781"/>
    <w:rsid w:val="00FA2DFF"/>
    <w:rsid w:val="00FA497C"/>
    <w:rsid w:val="00FB24AC"/>
    <w:rsid w:val="00FB29B0"/>
    <w:rsid w:val="00FB2A01"/>
    <w:rsid w:val="00FB56CF"/>
    <w:rsid w:val="00FB61F2"/>
    <w:rsid w:val="00FC2E51"/>
    <w:rsid w:val="00FC2F17"/>
    <w:rsid w:val="00FC4255"/>
    <w:rsid w:val="00FC5B1E"/>
    <w:rsid w:val="00FD13D8"/>
    <w:rsid w:val="00FE107E"/>
    <w:rsid w:val="00FE2CCB"/>
    <w:rsid w:val="00FE38B8"/>
    <w:rsid w:val="00FE3BBD"/>
    <w:rsid w:val="00FE3DBF"/>
    <w:rsid w:val="00FE539F"/>
    <w:rsid w:val="00FE6333"/>
    <w:rsid w:val="00FE728A"/>
    <w:rsid w:val="00FE7C0C"/>
    <w:rsid w:val="00FF0D70"/>
    <w:rsid w:val="00FF110E"/>
    <w:rsid w:val="00FF1925"/>
    <w:rsid w:val="00FF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66f,blue,#0163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5"/>
    <w:pPr>
      <w:spacing w:after="240" w:line="280" w:lineRule="atLeast"/>
    </w:pPr>
    <w:rPr>
      <w:rFonts w:ascii="Foundry Form Sans" w:hAnsi="Foundry Form Sans"/>
      <w:sz w:val="24"/>
      <w:szCs w:val="24"/>
    </w:rPr>
  </w:style>
  <w:style w:type="paragraph" w:styleId="Heading1">
    <w:name w:val="heading 1"/>
    <w:basedOn w:val="Normal"/>
    <w:next w:val="Normal"/>
    <w:qFormat/>
    <w:rsid w:val="0043086A"/>
    <w:pPr>
      <w:keepNext/>
      <w:spacing w:before="360" w:line="360" w:lineRule="atLeast"/>
      <w:outlineLvl w:val="0"/>
    </w:pPr>
    <w:rPr>
      <w:rFonts w:cs="Arial"/>
      <w:b/>
      <w:bCs/>
      <w:kern w:val="32"/>
      <w:sz w:val="32"/>
      <w:szCs w:val="32"/>
    </w:rPr>
  </w:style>
  <w:style w:type="paragraph" w:styleId="Heading2">
    <w:name w:val="heading 2"/>
    <w:basedOn w:val="Normal"/>
    <w:next w:val="Normal"/>
    <w:qFormat/>
    <w:rsid w:val="007962AE"/>
    <w:pPr>
      <w:keepNext/>
      <w:spacing w:before="240" w:after="0" w:line="320" w:lineRule="atLeast"/>
      <w:outlineLvl w:val="1"/>
    </w:pPr>
    <w:rPr>
      <w:rFonts w:cs="Arial"/>
      <w:b/>
      <w:bCs/>
      <w:iCs/>
      <w:sz w:val="28"/>
      <w:szCs w:val="28"/>
    </w:rPr>
  </w:style>
  <w:style w:type="paragraph" w:styleId="Heading3">
    <w:name w:val="heading 3"/>
    <w:basedOn w:val="Normal"/>
    <w:next w:val="Normal"/>
    <w:qFormat/>
    <w:rsid w:val="001C5DDC"/>
    <w:pPr>
      <w:keepNext/>
      <w:spacing w:before="240" w:after="0"/>
      <w:outlineLvl w:val="2"/>
    </w:pPr>
    <w:rPr>
      <w:rFonts w:cs="Arial"/>
      <w:b/>
      <w:bCs/>
      <w:szCs w:val="26"/>
    </w:rPr>
  </w:style>
  <w:style w:type="paragraph" w:styleId="Heading4">
    <w:name w:val="heading 4"/>
    <w:basedOn w:val="Normal"/>
    <w:next w:val="Normal"/>
    <w:qFormat/>
    <w:rsid w:val="007962AE"/>
    <w:pPr>
      <w:keepNext/>
      <w:spacing w:before="240" w:after="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List1Last">
    <w:name w:val="NumbList1Last"/>
    <w:basedOn w:val="NumbList1"/>
    <w:next w:val="Normal"/>
    <w:rsid w:val="005E44A9"/>
    <w:pPr>
      <w:spacing w:after="240"/>
    </w:pPr>
  </w:style>
  <w:style w:type="paragraph" w:customStyle="1" w:styleId="TableHeading">
    <w:name w:val="TableHeading"/>
    <w:basedOn w:val="Heading2"/>
    <w:rsid w:val="00E468C3"/>
    <w:pPr>
      <w:spacing w:before="0" w:line="240" w:lineRule="atLeast"/>
    </w:pPr>
    <w:rPr>
      <w:color w:val="FFFFFF"/>
      <w:sz w:val="20"/>
    </w:rPr>
  </w:style>
  <w:style w:type="table" w:styleId="TableGrid">
    <w:name w:val="Table Grid"/>
    <w:basedOn w:val="TableNormal"/>
    <w:rsid w:val="00DC7A30"/>
    <w:pPr>
      <w:spacing w:after="12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next w:val="Normal"/>
    <w:rsid w:val="008370AA"/>
    <w:pPr>
      <w:spacing w:line="200" w:lineRule="atLeast"/>
    </w:pPr>
    <w:rPr>
      <w:rFonts w:cs="Arial"/>
      <w:bCs/>
      <w:i/>
      <w:iCs/>
      <w:sz w:val="20"/>
      <w:szCs w:val="28"/>
    </w:rPr>
  </w:style>
  <w:style w:type="paragraph" w:customStyle="1" w:styleId="FigureTitle">
    <w:name w:val="FigureTitle"/>
    <w:basedOn w:val="TableHeading"/>
    <w:next w:val="Normal"/>
    <w:rsid w:val="00B45D93"/>
    <w:pPr>
      <w:numPr>
        <w:numId w:val="29"/>
      </w:numPr>
      <w:spacing w:before="240" w:after="120" w:line="280" w:lineRule="atLeast"/>
    </w:pPr>
    <w:rPr>
      <w:color w:val="auto"/>
      <w:sz w:val="24"/>
    </w:rPr>
  </w:style>
  <w:style w:type="paragraph" w:customStyle="1" w:styleId="Quotes">
    <w:name w:val="Quotes"/>
    <w:basedOn w:val="Normal"/>
    <w:next w:val="QuotesAuthor"/>
    <w:rsid w:val="00E468C3"/>
    <w:pPr>
      <w:spacing w:before="240" w:after="0"/>
    </w:pPr>
    <w:rPr>
      <w:i/>
    </w:rPr>
  </w:style>
  <w:style w:type="paragraph" w:customStyle="1" w:styleId="QuotesAuthor">
    <w:name w:val="QuotesAuthor"/>
    <w:basedOn w:val="Quotes"/>
    <w:rsid w:val="00E468C3"/>
    <w:pPr>
      <w:spacing w:before="0" w:after="240"/>
    </w:pPr>
    <w:rPr>
      <w:b/>
    </w:rPr>
  </w:style>
  <w:style w:type="paragraph" w:styleId="FootnoteText">
    <w:name w:val="footnote text"/>
    <w:basedOn w:val="Normal"/>
    <w:semiHidden/>
    <w:rsid w:val="00B1115F"/>
    <w:pPr>
      <w:spacing w:after="0" w:line="220" w:lineRule="atLeast"/>
    </w:pPr>
    <w:rPr>
      <w:sz w:val="18"/>
      <w:szCs w:val="20"/>
    </w:rPr>
  </w:style>
  <w:style w:type="character" w:styleId="FootnoteReference">
    <w:name w:val="footnote reference"/>
    <w:semiHidden/>
    <w:rsid w:val="005F5A5E"/>
    <w:rPr>
      <w:vertAlign w:val="superscript"/>
    </w:rPr>
  </w:style>
  <w:style w:type="paragraph" w:customStyle="1" w:styleId="NumbList2Last">
    <w:name w:val="NumbList2Last"/>
    <w:basedOn w:val="NumbList2"/>
    <w:next w:val="Normal"/>
    <w:rsid w:val="005E44A9"/>
    <w:pPr>
      <w:spacing w:after="240"/>
    </w:pPr>
  </w:style>
  <w:style w:type="paragraph" w:styleId="Header">
    <w:name w:val="header"/>
    <w:basedOn w:val="Normal"/>
    <w:rsid w:val="00EB563F"/>
    <w:pPr>
      <w:tabs>
        <w:tab w:val="center" w:pos="4153"/>
        <w:tab w:val="right" w:pos="8306"/>
      </w:tabs>
      <w:spacing w:after="0" w:line="200" w:lineRule="atLeast"/>
      <w:jc w:val="right"/>
    </w:pPr>
    <w:rPr>
      <w:sz w:val="18"/>
    </w:rPr>
  </w:style>
  <w:style w:type="paragraph" w:styleId="Footer">
    <w:name w:val="footer"/>
    <w:basedOn w:val="Normal"/>
    <w:rsid w:val="00A41B14"/>
    <w:pPr>
      <w:tabs>
        <w:tab w:val="right" w:pos="9072"/>
      </w:tabs>
      <w:spacing w:after="0"/>
    </w:pPr>
    <w:rPr>
      <w:sz w:val="18"/>
    </w:rPr>
  </w:style>
  <w:style w:type="paragraph" w:customStyle="1" w:styleId="Bullet1Last">
    <w:name w:val="Bullet1Last"/>
    <w:basedOn w:val="Bullet1"/>
    <w:next w:val="Normal"/>
    <w:rsid w:val="005E44A9"/>
    <w:pPr>
      <w:spacing w:after="240"/>
    </w:pPr>
  </w:style>
  <w:style w:type="paragraph" w:customStyle="1" w:styleId="DocTitle">
    <w:name w:val="DocTitle"/>
    <w:basedOn w:val="Heading1"/>
    <w:rsid w:val="00855E57"/>
    <w:pPr>
      <w:spacing w:before="120" w:line="520" w:lineRule="atLeast"/>
      <w:outlineLvl w:val="9"/>
    </w:pPr>
    <w:rPr>
      <w:b w:val="0"/>
      <w:color w:val="FFFFFF"/>
      <w:sz w:val="48"/>
    </w:rPr>
  </w:style>
  <w:style w:type="paragraph" w:customStyle="1" w:styleId="NormalPage1">
    <w:name w:val="NormalPage1"/>
    <w:basedOn w:val="Normal"/>
    <w:rsid w:val="00A81B38"/>
    <w:rPr>
      <w:color w:val="FFFFFF"/>
    </w:rPr>
  </w:style>
  <w:style w:type="paragraph" w:customStyle="1" w:styleId="H3Page1">
    <w:name w:val="H3Page1"/>
    <w:basedOn w:val="Heading3"/>
    <w:next w:val="DocTitle"/>
    <w:rsid w:val="00A81B38"/>
    <w:rPr>
      <w:color w:val="FFFFFF"/>
    </w:rPr>
  </w:style>
  <w:style w:type="paragraph" w:customStyle="1" w:styleId="TableText">
    <w:name w:val="TableText"/>
    <w:basedOn w:val="Normal"/>
    <w:rsid w:val="00E468C3"/>
    <w:pPr>
      <w:spacing w:after="0" w:line="200" w:lineRule="atLeast"/>
    </w:pPr>
    <w:rPr>
      <w:sz w:val="20"/>
    </w:rPr>
  </w:style>
  <w:style w:type="paragraph" w:customStyle="1" w:styleId="TableTextBold">
    <w:name w:val="TableTextBold"/>
    <w:basedOn w:val="Normal"/>
    <w:rsid w:val="00342063"/>
    <w:pPr>
      <w:spacing w:after="0" w:line="240" w:lineRule="atLeast"/>
    </w:pPr>
    <w:rPr>
      <w:b/>
      <w:sz w:val="18"/>
    </w:rPr>
  </w:style>
  <w:style w:type="paragraph" w:customStyle="1" w:styleId="Bullet2Last">
    <w:name w:val="Bullet2Last"/>
    <w:basedOn w:val="Bullet2"/>
    <w:next w:val="Normal"/>
    <w:rsid w:val="005E44A9"/>
    <w:pPr>
      <w:spacing w:after="240"/>
    </w:pPr>
  </w:style>
  <w:style w:type="paragraph" w:customStyle="1" w:styleId="TableTitle">
    <w:name w:val="TableTitle"/>
    <w:basedOn w:val="Normal"/>
    <w:next w:val="Normal"/>
    <w:rsid w:val="00555ACA"/>
    <w:pPr>
      <w:keepNext/>
      <w:numPr>
        <w:numId w:val="30"/>
      </w:numPr>
      <w:spacing w:before="240" w:after="120"/>
    </w:pPr>
    <w:rPr>
      <w:b/>
    </w:rPr>
  </w:style>
  <w:style w:type="paragraph" w:customStyle="1" w:styleId="TableSource">
    <w:name w:val="TableSource"/>
    <w:basedOn w:val="Normal"/>
    <w:next w:val="Normal"/>
    <w:rsid w:val="0089132E"/>
    <w:pPr>
      <w:pBdr>
        <w:bottom w:val="single" w:sz="2" w:space="4" w:color="auto"/>
      </w:pBdr>
    </w:pPr>
    <w:rPr>
      <w:sz w:val="12"/>
    </w:rPr>
  </w:style>
  <w:style w:type="paragraph" w:customStyle="1" w:styleId="Heading1NoTOC">
    <w:name w:val="Heading 1NoTOC"/>
    <w:basedOn w:val="Heading1"/>
    <w:next w:val="Normal"/>
    <w:rsid w:val="007A1DF0"/>
  </w:style>
  <w:style w:type="paragraph" w:customStyle="1" w:styleId="Heading2NoTOC">
    <w:name w:val="Heading 2NoTOC"/>
    <w:basedOn w:val="Heading2"/>
    <w:next w:val="Normal"/>
    <w:rsid w:val="00C07DAE"/>
  </w:style>
  <w:style w:type="paragraph" w:customStyle="1" w:styleId="Bullet3Last">
    <w:name w:val="Bullet3Last"/>
    <w:basedOn w:val="Bullet3"/>
    <w:next w:val="Normal"/>
    <w:rsid w:val="005E44A9"/>
    <w:pPr>
      <w:spacing w:after="240"/>
      <w:ind w:left="851"/>
    </w:pPr>
  </w:style>
  <w:style w:type="paragraph" w:customStyle="1" w:styleId="Bullet1">
    <w:name w:val="Bullet1"/>
    <w:basedOn w:val="Normal"/>
    <w:qFormat/>
    <w:rsid w:val="00D35AAC"/>
    <w:pPr>
      <w:numPr>
        <w:numId w:val="11"/>
      </w:numPr>
      <w:spacing w:after="0"/>
    </w:pPr>
  </w:style>
  <w:style w:type="paragraph" w:customStyle="1" w:styleId="Bullet2">
    <w:name w:val="Bullet2"/>
    <w:basedOn w:val="Normal"/>
    <w:qFormat/>
    <w:rsid w:val="00D35AAC"/>
    <w:pPr>
      <w:numPr>
        <w:ilvl w:val="1"/>
        <w:numId w:val="11"/>
      </w:numPr>
      <w:spacing w:after="0"/>
    </w:pPr>
  </w:style>
  <w:style w:type="paragraph" w:customStyle="1" w:styleId="Bullet3">
    <w:name w:val="Bullet3"/>
    <w:basedOn w:val="Normal"/>
    <w:qFormat/>
    <w:rsid w:val="00D35AAC"/>
    <w:pPr>
      <w:numPr>
        <w:ilvl w:val="2"/>
        <w:numId w:val="11"/>
      </w:numPr>
      <w:spacing w:after="0"/>
    </w:pPr>
  </w:style>
  <w:style w:type="numbering" w:customStyle="1" w:styleId="NumbLstBullet">
    <w:name w:val="NumbLstBullet"/>
    <w:rsid w:val="00D35AAC"/>
    <w:pPr>
      <w:numPr>
        <w:numId w:val="11"/>
      </w:numPr>
    </w:pPr>
  </w:style>
  <w:style w:type="paragraph" w:customStyle="1" w:styleId="NormalNoSpace">
    <w:name w:val="NormalNoSpace"/>
    <w:basedOn w:val="Normal"/>
    <w:link w:val="NormalNoSpaceChar"/>
    <w:rsid w:val="00BA4F95"/>
    <w:pPr>
      <w:spacing w:after="0"/>
    </w:pPr>
  </w:style>
  <w:style w:type="paragraph" w:customStyle="1" w:styleId="NormalIndent1">
    <w:name w:val="NormalIndent1"/>
    <w:basedOn w:val="Normal"/>
    <w:rsid w:val="00501685"/>
    <w:pPr>
      <w:ind w:left="340"/>
    </w:pPr>
  </w:style>
  <w:style w:type="paragraph" w:customStyle="1" w:styleId="NormalIndent2">
    <w:name w:val="NormalIndent2"/>
    <w:basedOn w:val="Normal"/>
    <w:rsid w:val="00501685"/>
    <w:pPr>
      <w:ind w:left="680"/>
    </w:pPr>
  </w:style>
  <w:style w:type="paragraph" w:customStyle="1" w:styleId="NumbList1">
    <w:name w:val="NumbList1"/>
    <w:basedOn w:val="Normal"/>
    <w:qFormat/>
    <w:rsid w:val="00D35AAC"/>
    <w:pPr>
      <w:numPr>
        <w:numId w:val="14"/>
      </w:numPr>
      <w:spacing w:after="0"/>
    </w:pPr>
  </w:style>
  <w:style w:type="paragraph" w:customStyle="1" w:styleId="NumbList2">
    <w:name w:val="NumbList2"/>
    <w:basedOn w:val="Normal"/>
    <w:qFormat/>
    <w:rsid w:val="00D35AAC"/>
    <w:pPr>
      <w:numPr>
        <w:ilvl w:val="1"/>
        <w:numId w:val="14"/>
      </w:numPr>
      <w:spacing w:after="0"/>
    </w:pPr>
  </w:style>
  <w:style w:type="paragraph" w:customStyle="1" w:styleId="NumbList3">
    <w:name w:val="NumbList3"/>
    <w:basedOn w:val="Normal"/>
    <w:qFormat/>
    <w:rsid w:val="00D35AAC"/>
    <w:pPr>
      <w:numPr>
        <w:ilvl w:val="2"/>
        <w:numId w:val="14"/>
      </w:numPr>
      <w:spacing w:after="0"/>
    </w:pPr>
  </w:style>
  <w:style w:type="numbering" w:customStyle="1" w:styleId="NumbListNumber">
    <w:name w:val="NumbListNumber"/>
    <w:rsid w:val="00D35AAC"/>
    <w:pPr>
      <w:numPr>
        <w:numId w:val="14"/>
      </w:numPr>
    </w:pPr>
  </w:style>
  <w:style w:type="paragraph" w:customStyle="1" w:styleId="NormalIndent3">
    <w:name w:val="NormalIndent3"/>
    <w:basedOn w:val="Normal"/>
    <w:rsid w:val="00501685"/>
    <w:pPr>
      <w:ind w:left="1021"/>
    </w:pPr>
  </w:style>
  <w:style w:type="paragraph" w:customStyle="1" w:styleId="Hidden">
    <w:name w:val="Hidden"/>
    <w:basedOn w:val="Normal"/>
    <w:rsid w:val="00750DA2"/>
    <w:pPr>
      <w:spacing w:after="120" w:line="220" w:lineRule="atLeast"/>
      <w:jc w:val="both"/>
    </w:pPr>
    <w:rPr>
      <w:rFonts w:ascii="Lucida Sans" w:hAnsi="Lucida Sans"/>
      <w:noProof/>
      <w:vanish/>
      <w:color w:val="A3BF2A"/>
      <w:sz w:val="18"/>
      <w:lang w:eastAsia="ja-JP"/>
    </w:rPr>
  </w:style>
  <w:style w:type="paragraph" w:customStyle="1" w:styleId="NumbList3Last">
    <w:name w:val="NumbList3Last"/>
    <w:basedOn w:val="NumbList3"/>
    <w:qFormat/>
    <w:rsid w:val="00FF110E"/>
    <w:pPr>
      <w:spacing w:after="240"/>
    </w:pPr>
  </w:style>
  <w:style w:type="paragraph" w:customStyle="1" w:styleId="DocType">
    <w:name w:val="DocType"/>
    <w:basedOn w:val="DocTitle"/>
    <w:qFormat/>
    <w:rsid w:val="00855E57"/>
    <w:pPr>
      <w:spacing w:after="360" w:line="280" w:lineRule="atLeast"/>
    </w:pPr>
    <w:rPr>
      <w:sz w:val="24"/>
    </w:rPr>
  </w:style>
  <w:style w:type="paragraph" w:customStyle="1" w:styleId="DocAuthor">
    <w:name w:val="DocAuthor"/>
    <w:basedOn w:val="DocTitle"/>
    <w:qFormat/>
    <w:rsid w:val="00855E57"/>
    <w:pPr>
      <w:spacing w:after="120" w:line="360" w:lineRule="atLeast"/>
    </w:pPr>
    <w:rPr>
      <w:sz w:val="32"/>
    </w:rPr>
  </w:style>
  <w:style w:type="paragraph" w:customStyle="1" w:styleId="DocDate">
    <w:name w:val="DocDate"/>
    <w:basedOn w:val="DocTitle"/>
    <w:qFormat/>
    <w:rsid w:val="00F27180"/>
    <w:pPr>
      <w:spacing w:after="120" w:line="280" w:lineRule="atLeast"/>
    </w:pPr>
    <w:rPr>
      <w:sz w:val="24"/>
    </w:rPr>
  </w:style>
  <w:style w:type="paragraph" w:styleId="TOC1">
    <w:name w:val="toc 1"/>
    <w:basedOn w:val="Normal"/>
    <w:next w:val="Normal"/>
    <w:autoRedefine/>
    <w:semiHidden/>
    <w:rsid w:val="00502608"/>
    <w:pPr>
      <w:tabs>
        <w:tab w:val="right" w:leader="dot" w:pos="9060"/>
      </w:tabs>
      <w:spacing w:before="120" w:after="120"/>
    </w:pPr>
  </w:style>
  <w:style w:type="character" w:styleId="Hyperlink">
    <w:name w:val="Hyperlink"/>
    <w:rsid w:val="007962AE"/>
    <w:rPr>
      <w:color w:val="0000FF"/>
      <w:u w:val="single"/>
    </w:rPr>
  </w:style>
  <w:style w:type="paragraph" w:customStyle="1" w:styleId="HeaderBold">
    <w:name w:val="HeaderBold"/>
    <w:basedOn w:val="Header"/>
    <w:rsid w:val="00EB563F"/>
    <w:rPr>
      <w:b/>
    </w:rPr>
  </w:style>
  <w:style w:type="paragraph" w:customStyle="1" w:styleId="FooterText">
    <w:name w:val="FooterText"/>
    <w:basedOn w:val="NormalNoSpace"/>
    <w:rsid w:val="002B7C7E"/>
    <w:rPr>
      <w:color w:val="FFFFFF"/>
    </w:rPr>
  </w:style>
  <w:style w:type="paragraph" w:customStyle="1" w:styleId="NormalNoSpaceBold">
    <w:name w:val="NormalNoSpaceBold"/>
    <w:basedOn w:val="Normal"/>
    <w:rsid w:val="00555ACA"/>
    <w:pPr>
      <w:spacing w:after="0"/>
    </w:pPr>
    <w:rPr>
      <w:b/>
    </w:rPr>
  </w:style>
  <w:style w:type="paragraph" w:customStyle="1" w:styleId="NormalSmall">
    <w:name w:val="NormalSmall"/>
    <w:basedOn w:val="Normal"/>
    <w:rsid w:val="005D5E95"/>
    <w:pPr>
      <w:spacing w:line="240" w:lineRule="atLeast"/>
    </w:pPr>
    <w:rPr>
      <w:sz w:val="20"/>
    </w:rPr>
  </w:style>
  <w:style w:type="paragraph" w:styleId="TOC2">
    <w:name w:val="toc 2"/>
    <w:basedOn w:val="Normal"/>
    <w:next w:val="Normal"/>
    <w:autoRedefine/>
    <w:semiHidden/>
    <w:rsid w:val="00502608"/>
    <w:pPr>
      <w:spacing w:after="0"/>
      <w:ind w:left="238"/>
    </w:pPr>
  </w:style>
  <w:style w:type="paragraph" w:customStyle="1" w:styleId="Heading1Numb">
    <w:name w:val="Heading 1Numb"/>
    <w:basedOn w:val="Heading1"/>
    <w:next w:val="Normal"/>
    <w:rsid w:val="000D1D98"/>
    <w:pPr>
      <w:numPr>
        <w:numId w:val="25"/>
      </w:numPr>
    </w:pPr>
  </w:style>
  <w:style w:type="paragraph" w:customStyle="1" w:styleId="Heading2Numb">
    <w:name w:val="Heading 2Numb"/>
    <w:basedOn w:val="Heading2"/>
    <w:next w:val="Normal"/>
    <w:rsid w:val="000D1D98"/>
    <w:pPr>
      <w:numPr>
        <w:ilvl w:val="1"/>
        <w:numId w:val="25"/>
      </w:numPr>
    </w:pPr>
  </w:style>
  <w:style w:type="paragraph" w:customStyle="1" w:styleId="Heading3Numb">
    <w:name w:val="Heading 3Numb"/>
    <w:basedOn w:val="Heading3"/>
    <w:next w:val="Normal"/>
    <w:rsid w:val="000D1D98"/>
    <w:pPr>
      <w:numPr>
        <w:ilvl w:val="2"/>
        <w:numId w:val="25"/>
      </w:numPr>
    </w:pPr>
  </w:style>
  <w:style w:type="numbering" w:customStyle="1" w:styleId="NumbLstHeading">
    <w:name w:val="NumbLstHeading"/>
    <w:rsid w:val="003E5CDF"/>
    <w:pPr>
      <w:numPr>
        <w:numId w:val="16"/>
      </w:numPr>
    </w:pPr>
  </w:style>
  <w:style w:type="numbering" w:customStyle="1" w:styleId="NumbLstTable">
    <w:name w:val="NumbLstTable"/>
    <w:rsid w:val="00FC5B1E"/>
    <w:pPr>
      <w:numPr>
        <w:numId w:val="18"/>
      </w:numPr>
    </w:pPr>
  </w:style>
  <w:style w:type="numbering" w:customStyle="1" w:styleId="NumbLstFigure">
    <w:name w:val="NumbLstFigure"/>
    <w:rsid w:val="00FC5B1E"/>
    <w:pPr>
      <w:numPr>
        <w:numId w:val="19"/>
      </w:numPr>
    </w:pPr>
  </w:style>
  <w:style w:type="paragraph" w:customStyle="1" w:styleId="TableSubHeading">
    <w:name w:val="TableSubHeading"/>
    <w:basedOn w:val="TableHeading"/>
    <w:rsid w:val="003328C3"/>
    <w:rPr>
      <w:color w:val="auto"/>
    </w:rPr>
  </w:style>
  <w:style w:type="character" w:customStyle="1" w:styleId="NormalNoSpaceChar">
    <w:name w:val="NormalNoSpace Char"/>
    <w:link w:val="NormalNoSpace"/>
    <w:rsid w:val="007F2B4E"/>
    <w:rPr>
      <w:rFonts w:ascii="Foundry Form Sans" w:hAnsi="Foundry Form Sans"/>
      <w:sz w:val="24"/>
      <w:szCs w:val="24"/>
      <w:lang w:val="en-GB" w:eastAsia="en-GB" w:bidi="ar-SA"/>
    </w:rPr>
  </w:style>
  <w:style w:type="paragraph" w:customStyle="1" w:styleId="TableTitleNoNumb">
    <w:name w:val="TableTitleNoNumb"/>
    <w:basedOn w:val="TableTitle"/>
    <w:next w:val="Normal"/>
    <w:rsid w:val="0043086A"/>
    <w:pPr>
      <w:numPr>
        <w:numId w:val="0"/>
      </w:numPr>
    </w:pPr>
  </w:style>
  <w:style w:type="paragraph" w:customStyle="1" w:styleId="FigureTitleNoNumb">
    <w:name w:val="FigureTitleNoNumb"/>
    <w:basedOn w:val="FigureTitle"/>
    <w:next w:val="Normal"/>
    <w:rsid w:val="006F23D3"/>
    <w:pPr>
      <w:numPr>
        <w:numId w:val="0"/>
      </w:numPr>
    </w:pPr>
  </w:style>
  <w:style w:type="paragraph" w:styleId="BalloonText">
    <w:name w:val="Balloon Text"/>
    <w:basedOn w:val="Normal"/>
    <w:link w:val="BalloonTextChar"/>
    <w:rsid w:val="00A3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59F7"/>
    <w:rPr>
      <w:rFonts w:ascii="Tahoma" w:hAnsi="Tahoma" w:cs="Tahoma"/>
      <w:sz w:val="16"/>
      <w:szCs w:val="16"/>
    </w:rPr>
  </w:style>
  <w:style w:type="numbering" w:styleId="111111">
    <w:name w:val="Outline List 2"/>
    <w:basedOn w:val="NoList"/>
    <w:rsid w:val="0005043C"/>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5"/>
    <w:pPr>
      <w:spacing w:after="240" w:line="280" w:lineRule="atLeast"/>
    </w:pPr>
    <w:rPr>
      <w:rFonts w:ascii="Foundry Form Sans" w:hAnsi="Foundry Form Sans"/>
      <w:sz w:val="24"/>
      <w:szCs w:val="24"/>
    </w:rPr>
  </w:style>
  <w:style w:type="paragraph" w:styleId="Heading1">
    <w:name w:val="heading 1"/>
    <w:basedOn w:val="Normal"/>
    <w:next w:val="Normal"/>
    <w:qFormat/>
    <w:rsid w:val="0043086A"/>
    <w:pPr>
      <w:keepNext/>
      <w:spacing w:before="360" w:line="360" w:lineRule="atLeast"/>
      <w:outlineLvl w:val="0"/>
    </w:pPr>
    <w:rPr>
      <w:rFonts w:cs="Arial"/>
      <w:b/>
      <w:bCs/>
      <w:kern w:val="32"/>
      <w:sz w:val="32"/>
      <w:szCs w:val="32"/>
    </w:rPr>
  </w:style>
  <w:style w:type="paragraph" w:styleId="Heading2">
    <w:name w:val="heading 2"/>
    <w:basedOn w:val="Normal"/>
    <w:next w:val="Normal"/>
    <w:qFormat/>
    <w:rsid w:val="007962AE"/>
    <w:pPr>
      <w:keepNext/>
      <w:spacing w:before="240" w:after="0" w:line="320" w:lineRule="atLeast"/>
      <w:outlineLvl w:val="1"/>
    </w:pPr>
    <w:rPr>
      <w:rFonts w:cs="Arial"/>
      <w:b/>
      <w:bCs/>
      <w:iCs/>
      <w:sz w:val="28"/>
      <w:szCs w:val="28"/>
    </w:rPr>
  </w:style>
  <w:style w:type="paragraph" w:styleId="Heading3">
    <w:name w:val="heading 3"/>
    <w:basedOn w:val="Normal"/>
    <w:next w:val="Normal"/>
    <w:qFormat/>
    <w:rsid w:val="001C5DDC"/>
    <w:pPr>
      <w:keepNext/>
      <w:spacing w:before="240" w:after="0"/>
      <w:outlineLvl w:val="2"/>
    </w:pPr>
    <w:rPr>
      <w:rFonts w:cs="Arial"/>
      <w:b/>
      <w:bCs/>
      <w:szCs w:val="26"/>
    </w:rPr>
  </w:style>
  <w:style w:type="paragraph" w:styleId="Heading4">
    <w:name w:val="heading 4"/>
    <w:basedOn w:val="Normal"/>
    <w:next w:val="Normal"/>
    <w:qFormat/>
    <w:rsid w:val="007962AE"/>
    <w:pPr>
      <w:keepNext/>
      <w:spacing w:before="240" w:after="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List1Last">
    <w:name w:val="NumbList1Last"/>
    <w:basedOn w:val="NumbList1"/>
    <w:next w:val="Normal"/>
    <w:rsid w:val="005E44A9"/>
    <w:pPr>
      <w:spacing w:after="240"/>
    </w:pPr>
  </w:style>
  <w:style w:type="paragraph" w:customStyle="1" w:styleId="TableHeading">
    <w:name w:val="TableHeading"/>
    <w:basedOn w:val="Heading2"/>
    <w:rsid w:val="00E468C3"/>
    <w:pPr>
      <w:spacing w:before="0" w:line="240" w:lineRule="atLeast"/>
    </w:pPr>
    <w:rPr>
      <w:color w:val="FFFFFF"/>
      <w:sz w:val="20"/>
    </w:rPr>
  </w:style>
  <w:style w:type="table" w:styleId="TableGrid">
    <w:name w:val="Table Grid"/>
    <w:basedOn w:val="TableNormal"/>
    <w:rsid w:val="00DC7A30"/>
    <w:pPr>
      <w:spacing w:after="12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next w:val="Normal"/>
    <w:rsid w:val="008370AA"/>
    <w:pPr>
      <w:spacing w:line="200" w:lineRule="atLeast"/>
    </w:pPr>
    <w:rPr>
      <w:rFonts w:cs="Arial"/>
      <w:bCs/>
      <w:i/>
      <w:iCs/>
      <w:sz w:val="20"/>
      <w:szCs w:val="28"/>
    </w:rPr>
  </w:style>
  <w:style w:type="paragraph" w:customStyle="1" w:styleId="FigureTitle">
    <w:name w:val="FigureTitle"/>
    <w:basedOn w:val="TableHeading"/>
    <w:next w:val="Normal"/>
    <w:rsid w:val="00B45D93"/>
    <w:pPr>
      <w:numPr>
        <w:numId w:val="29"/>
      </w:numPr>
      <w:spacing w:before="240" w:after="120" w:line="280" w:lineRule="atLeast"/>
    </w:pPr>
    <w:rPr>
      <w:color w:val="auto"/>
      <w:sz w:val="24"/>
    </w:rPr>
  </w:style>
  <w:style w:type="paragraph" w:customStyle="1" w:styleId="Quotes">
    <w:name w:val="Quotes"/>
    <w:basedOn w:val="Normal"/>
    <w:next w:val="QuotesAuthor"/>
    <w:rsid w:val="00E468C3"/>
    <w:pPr>
      <w:spacing w:before="240" w:after="0"/>
    </w:pPr>
    <w:rPr>
      <w:i/>
    </w:rPr>
  </w:style>
  <w:style w:type="paragraph" w:customStyle="1" w:styleId="QuotesAuthor">
    <w:name w:val="QuotesAuthor"/>
    <w:basedOn w:val="Quotes"/>
    <w:rsid w:val="00E468C3"/>
    <w:pPr>
      <w:spacing w:before="0" w:after="240"/>
    </w:pPr>
    <w:rPr>
      <w:b/>
    </w:rPr>
  </w:style>
  <w:style w:type="paragraph" w:styleId="FootnoteText">
    <w:name w:val="footnote text"/>
    <w:basedOn w:val="Normal"/>
    <w:semiHidden/>
    <w:rsid w:val="00B1115F"/>
    <w:pPr>
      <w:spacing w:after="0" w:line="220" w:lineRule="atLeast"/>
    </w:pPr>
    <w:rPr>
      <w:sz w:val="18"/>
      <w:szCs w:val="20"/>
    </w:rPr>
  </w:style>
  <w:style w:type="character" w:styleId="FootnoteReference">
    <w:name w:val="footnote reference"/>
    <w:semiHidden/>
    <w:rsid w:val="005F5A5E"/>
    <w:rPr>
      <w:vertAlign w:val="superscript"/>
    </w:rPr>
  </w:style>
  <w:style w:type="paragraph" w:customStyle="1" w:styleId="NumbList2Last">
    <w:name w:val="NumbList2Last"/>
    <w:basedOn w:val="NumbList2"/>
    <w:next w:val="Normal"/>
    <w:rsid w:val="005E44A9"/>
    <w:pPr>
      <w:spacing w:after="240"/>
    </w:pPr>
  </w:style>
  <w:style w:type="paragraph" w:styleId="Header">
    <w:name w:val="header"/>
    <w:basedOn w:val="Normal"/>
    <w:rsid w:val="00EB563F"/>
    <w:pPr>
      <w:tabs>
        <w:tab w:val="center" w:pos="4153"/>
        <w:tab w:val="right" w:pos="8306"/>
      </w:tabs>
      <w:spacing w:after="0" w:line="200" w:lineRule="atLeast"/>
      <w:jc w:val="right"/>
    </w:pPr>
    <w:rPr>
      <w:sz w:val="18"/>
    </w:rPr>
  </w:style>
  <w:style w:type="paragraph" w:styleId="Footer">
    <w:name w:val="footer"/>
    <w:basedOn w:val="Normal"/>
    <w:rsid w:val="00A41B14"/>
    <w:pPr>
      <w:tabs>
        <w:tab w:val="right" w:pos="9072"/>
      </w:tabs>
      <w:spacing w:after="0"/>
    </w:pPr>
    <w:rPr>
      <w:sz w:val="18"/>
    </w:rPr>
  </w:style>
  <w:style w:type="paragraph" w:customStyle="1" w:styleId="Bullet1Last">
    <w:name w:val="Bullet1Last"/>
    <w:basedOn w:val="Bullet1"/>
    <w:next w:val="Normal"/>
    <w:rsid w:val="005E44A9"/>
    <w:pPr>
      <w:spacing w:after="240"/>
    </w:pPr>
  </w:style>
  <w:style w:type="paragraph" w:customStyle="1" w:styleId="DocTitle">
    <w:name w:val="DocTitle"/>
    <w:basedOn w:val="Heading1"/>
    <w:rsid w:val="00855E57"/>
    <w:pPr>
      <w:spacing w:before="120" w:line="520" w:lineRule="atLeast"/>
      <w:outlineLvl w:val="9"/>
    </w:pPr>
    <w:rPr>
      <w:b w:val="0"/>
      <w:color w:val="FFFFFF"/>
      <w:sz w:val="48"/>
    </w:rPr>
  </w:style>
  <w:style w:type="paragraph" w:customStyle="1" w:styleId="NormalPage1">
    <w:name w:val="NormalPage1"/>
    <w:basedOn w:val="Normal"/>
    <w:rsid w:val="00A81B38"/>
    <w:rPr>
      <w:color w:val="FFFFFF"/>
    </w:rPr>
  </w:style>
  <w:style w:type="paragraph" w:customStyle="1" w:styleId="H3Page1">
    <w:name w:val="H3Page1"/>
    <w:basedOn w:val="Heading3"/>
    <w:next w:val="DocTitle"/>
    <w:rsid w:val="00A81B38"/>
    <w:rPr>
      <w:color w:val="FFFFFF"/>
    </w:rPr>
  </w:style>
  <w:style w:type="paragraph" w:customStyle="1" w:styleId="TableText">
    <w:name w:val="TableText"/>
    <w:basedOn w:val="Normal"/>
    <w:rsid w:val="00E468C3"/>
    <w:pPr>
      <w:spacing w:after="0" w:line="200" w:lineRule="atLeast"/>
    </w:pPr>
    <w:rPr>
      <w:sz w:val="20"/>
    </w:rPr>
  </w:style>
  <w:style w:type="paragraph" w:customStyle="1" w:styleId="TableTextBold">
    <w:name w:val="TableTextBold"/>
    <w:basedOn w:val="Normal"/>
    <w:rsid w:val="00342063"/>
    <w:pPr>
      <w:spacing w:after="0" w:line="240" w:lineRule="atLeast"/>
    </w:pPr>
    <w:rPr>
      <w:b/>
      <w:sz w:val="18"/>
    </w:rPr>
  </w:style>
  <w:style w:type="paragraph" w:customStyle="1" w:styleId="Bullet2Last">
    <w:name w:val="Bullet2Last"/>
    <w:basedOn w:val="Bullet2"/>
    <w:next w:val="Normal"/>
    <w:rsid w:val="005E44A9"/>
    <w:pPr>
      <w:spacing w:after="240"/>
    </w:pPr>
  </w:style>
  <w:style w:type="paragraph" w:customStyle="1" w:styleId="TableTitle">
    <w:name w:val="TableTitle"/>
    <w:basedOn w:val="Normal"/>
    <w:next w:val="Normal"/>
    <w:rsid w:val="00555ACA"/>
    <w:pPr>
      <w:keepNext/>
      <w:numPr>
        <w:numId w:val="30"/>
      </w:numPr>
      <w:spacing w:before="240" w:after="120"/>
    </w:pPr>
    <w:rPr>
      <w:b/>
    </w:rPr>
  </w:style>
  <w:style w:type="paragraph" w:customStyle="1" w:styleId="TableSource">
    <w:name w:val="TableSource"/>
    <w:basedOn w:val="Normal"/>
    <w:next w:val="Normal"/>
    <w:rsid w:val="0089132E"/>
    <w:pPr>
      <w:pBdr>
        <w:bottom w:val="single" w:sz="2" w:space="4" w:color="auto"/>
      </w:pBdr>
    </w:pPr>
    <w:rPr>
      <w:sz w:val="12"/>
    </w:rPr>
  </w:style>
  <w:style w:type="paragraph" w:customStyle="1" w:styleId="Heading1NoTOC">
    <w:name w:val="Heading 1NoTOC"/>
    <w:basedOn w:val="Heading1"/>
    <w:next w:val="Normal"/>
    <w:rsid w:val="007A1DF0"/>
  </w:style>
  <w:style w:type="paragraph" w:customStyle="1" w:styleId="Heading2NoTOC">
    <w:name w:val="Heading 2NoTOC"/>
    <w:basedOn w:val="Heading2"/>
    <w:next w:val="Normal"/>
    <w:rsid w:val="00C07DAE"/>
  </w:style>
  <w:style w:type="paragraph" w:customStyle="1" w:styleId="Bullet3Last">
    <w:name w:val="Bullet3Last"/>
    <w:basedOn w:val="Bullet3"/>
    <w:next w:val="Normal"/>
    <w:rsid w:val="005E44A9"/>
    <w:pPr>
      <w:spacing w:after="240"/>
      <w:ind w:left="851"/>
    </w:pPr>
  </w:style>
  <w:style w:type="paragraph" w:customStyle="1" w:styleId="Bullet1">
    <w:name w:val="Bullet1"/>
    <w:basedOn w:val="Normal"/>
    <w:qFormat/>
    <w:rsid w:val="00D35AAC"/>
    <w:pPr>
      <w:numPr>
        <w:numId w:val="11"/>
      </w:numPr>
      <w:spacing w:after="0"/>
    </w:pPr>
  </w:style>
  <w:style w:type="paragraph" w:customStyle="1" w:styleId="Bullet2">
    <w:name w:val="Bullet2"/>
    <w:basedOn w:val="Normal"/>
    <w:qFormat/>
    <w:rsid w:val="00D35AAC"/>
    <w:pPr>
      <w:numPr>
        <w:ilvl w:val="1"/>
        <w:numId w:val="11"/>
      </w:numPr>
      <w:spacing w:after="0"/>
    </w:pPr>
  </w:style>
  <w:style w:type="paragraph" w:customStyle="1" w:styleId="Bullet3">
    <w:name w:val="Bullet3"/>
    <w:basedOn w:val="Normal"/>
    <w:qFormat/>
    <w:rsid w:val="00D35AAC"/>
    <w:pPr>
      <w:numPr>
        <w:ilvl w:val="2"/>
        <w:numId w:val="11"/>
      </w:numPr>
      <w:spacing w:after="0"/>
    </w:pPr>
  </w:style>
  <w:style w:type="numbering" w:customStyle="1" w:styleId="NumbLstBullet">
    <w:name w:val="NumbLstBullet"/>
    <w:rsid w:val="00D35AAC"/>
    <w:pPr>
      <w:numPr>
        <w:numId w:val="11"/>
      </w:numPr>
    </w:pPr>
  </w:style>
  <w:style w:type="paragraph" w:customStyle="1" w:styleId="NormalNoSpace">
    <w:name w:val="NormalNoSpace"/>
    <w:basedOn w:val="Normal"/>
    <w:link w:val="NormalNoSpaceChar"/>
    <w:rsid w:val="00BA4F95"/>
    <w:pPr>
      <w:spacing w:after="0"/>
    </w:pPr>
  </w:style>
  <w:style w:type="paragraph" w:customStyle="1" w:styleId="NormalIndent1">
    <w:name w:val="NormalIndent1"/>
    <w:basedOn w:val="Normal"/>
    <w:rsid w:val="00501685"/>
    <w:pPr>
      <w:ind w:left="340"/>
    </w:pPr>
  </w:style>
  <w:style w:type="paragraph" w:customStyle="1" w:styleId="NormalIndent2">
    <w:name w:val="NormalIndent2"/>
    <w:basedOn w:val="Normal"/>
    <w:rsid w:val="00501685"/>
    <w:pPr>
      <w:ind w:left="680"/>
    </w:pPr>
  </w:style>
  <w:style w:type="paragraph" w:customStyle="1" w:styleId="NumbList1">
    <w:name w:val="NumbList1"/>
    <w:basedOn w:val="Normal"/>
    <w:qFormat/>
    <w:rsid w:val="00D35AAC"/>
    <w:pPr>
      <w:numPr>
        <w:numId w:val="14"/>
      </w:numPr>
      <w:spacing w:after="0"/>
    </w:pPr>
  </w:style>
  <w:style w:type="paragraph" w:customStyle="1" w:styleId="NumbList2">
    <w:name w:val="NumbList2"/>
    <w:basedOn w:val="Normal"/>
    <w:qFormat/>
    <w:rsid w:val="00D35AAC"/>
    <w:pPr>
      <w:numPr>
        <w:ilvl w:val="1"/>
        <w:numId w:val="14"/>
      </w:numPr>
      <w:spacing w:after="0"/>
    </w:pPr>
  </w:style>
  <w:style w:type="paragraph" w:customStyle="1" w:styleId="NumbList3">
    <w:name w:val="NumbList3"/>
    <w:basedOn w:val="Normal"/>
    <w:qFormat/>
    <w:rsid w:val="00D35AAC"/>
    <w:pPr>
      <w:numPr>
        <w:ilvl w:val="2"/>
        <w:numId w:val="14"/>
      </w:numPr>
      <w:spacing w:after="0"/>
    </w:pPr>
  </w:style>
  <w:style w:type="numbering" w:customStyle="1" w:styleId="NumbListNumber">
    <w:name w:val="NumbListNumber"/>
    <w:rsid w:val="00D35AAC"/>
    <w:pPr>
      <w:numPr>
        <w:numId w:val="14"/>
      </w:numPr>
    </w:pPr>
  </w:style>
  <w:style w:type="paragraph" w:customStyle="1" w:styleId="NormalIndent3">
    <w:name w:val="NormalIndent3"/>
    <w:basedOn w:val="Normal"/>
    <w:rsid w:val="00501685"/>
    <w:pPr>
      <w:ind w:left="1021"/>
    </w:pPr>
  </w:style>
  <w:style w:type="paragraph" w:customStyle="1" w:styleId="Hidden">
    <w:name w:val="Hidden"/>
    <w:basedOn w:val="Normal"/>
    <w:rsid w:val="00750DA2"/>
    <w:pPr>
      <w:spacing w:after="120" w:line="220" w:lineRule="atLeast"/>
      <w:jc w:val="both"/>
    </w:pPr>
    <w:rPr>
      <w:rFonts w:ascii="Lucida Sans" w:hAnsi="Lucida Sans"/>
      <w:noProof/>
      <w:vanish/>
      <w:color w:val="A3BF2A"/>
      <w:sz w:val="18"/>
      <w:lang w:eastAsia="ja-JP"/>
    </w:rPr>
  </w:style>
  <w:style w:type="paragraph" w:customStyle="1" w:styleId="NumbList3Last">
    <w:name w:val="NumbList3Last"/>
    <w:basedOn w:val="NumbList3"/>
    <w:qFormat/>
    <w:rsid w:val="00FF110E"/>
    <w:pPr>
      <w:spacing w:after="240"/>
    </w:pPr>
  </w:style>
  <w:style w:type="paragraph" w:customStyle="1" w:styleId="DocType">
    <w:name w:val="DocType"/>
    <w:basedOn w:val="DocTitle"/>
    <w:qFormat/>
    <w:rsid w:val="00855E57"/>
    <w:pPr>
      <w:spacing w:after="360" w:line="280" w:lineRule="atLeast"/>
    </w:pPr>
    <w:rPr>
      <w:sz w:val="24"/>
    </w:rPr>
  </w:style>
  <w:style w:type="paragraph" w:customStyle="1" w:styleId="DocAuthor">
    <w:name w:val="DocAuthor"/>
    <w:basedOn w:val="DocTitle"/>
    <w:qFormat/>
    <w:rsid w:val="00855E57"/>
    <w:pPr>
      <w:spacing w:after="120" w:line="360" w:lineRule="atLeast"/>
    </w:pPr>
    <w:rPr>
      <w:sz w:val="32"/>
    </w:rPr>
  </w:style>
  <w:style w:type="paragraph" w:customStyle="1" w:styleId="DocDate">
    <w:name w:val="DocDate"/>
    <w:basedOn w:val="DocTitle"/>
    <w:qFormat/>
    <w:rsid w:val="00F27180"/>
    <w:pPr>
      <w:spacing w:after="120" w:line="280" w:lineRule="atLeast"/>
    </w:pPr>
    <w:rPr>
      <w:sz w:val="24"/>
    </w:rPr>
  </w:style>
  <w:style w:type="paragraph" w:styleId="TOC1">
    <w:name w:val="toc 1"/>
    <w:basedOn w:val="Normal"/>
    <w:next w:val="Normal"/>
    <w:autoRedefine/>
    <w:semiHidden/>
    <w:rsid w:val="00502608"/>
    <w:pPr>
      <w:tabs>
        <w:tab w:val="right" w:leader="dot" w:pos="9060"/>
      </w:tabs>
      <w:spacing w:before="120" w:after="120"/>
    </w:pPr>
  </w:style>
  <w:style w:type="character" w:styleId="Hyperlink">
    <w:name w:val="Hyperlink"/>
    <w:rsid w:val="007962AE"/>
    <w:rPr>
      <w:color w:val="0000FF"/>
      <w:u w:val="single"/>
    </w:rPr>
  </w:style>
  <w:style w:type="paragraph" w:customStyle="1" w:styleId="HeaderBold">
    <w:name w:val="HeaderBold"/>
    <w:basedOn w:val="Header"/>
    <w:rsid w:val="00EB563F"/>
    <w:rPr>
      <w:b/>
    </w:rPr>
  </w:style>
  <w:style w:type="paragraph" w:customStyle="1" w:styleId="FooterText">
    <w:name w:val="FooterText"/>
    <w:basedOn w:val="NormalNoSpace"/>
    <w:rsid w:val="002B7C7E"/>
    <w:rPr>
      <w:color w:val="FFFFFF"/>
    </w:rPr>
  </w:style>
  <w:style w:type="paragraph" w:customStyle="1" w:styleId="NormalNoSpaceBold">
    <w:name w:val="NormalNoSpaceBold"/>
    <w:basedOn w:val="Normal"/>
    <w:rsid w:val="00555ACA"/>
    <w:pPr>
      <w:spacing w:after="0"/>
    </w:pPr>
    <w:rPr>
      <w:b/>
    </w:rPr>
  </w:style>
  <w:style w:type="paragraph" w:customStyle="1" w:styleId="NormalSmall">
    <w:name w:val="NormalSmall"/>
    <w:basedOn w:val="Normal"/>
    <w:rsid w:val="005D5E95"/>
    <w:pPr>
      <w:spacing w:line="240" w:lineRule="atLeast"/>
    </w:pPr>
    <w:rPr>
      <w:sz w:val="20"/>
    </w:rPr>
  </w:style>
  <w:style w:type="paragraph" w:styleId="TOC2">
    <w:name w:val="toc 2"/>
    <w:basedOn w:val="Normal"/>
    <w:next w:val="Normal"/>
    <w:autoRedefine/>
    <w:semiHidden/>
    <w:rsid w:val="00502608"/>
    <w:pPr>
      <w:spacing w:after="0"/>
      <w:ind w:left="238"/>
    </w:pPr>
  </w:style>
  <w:style w:type="paragraph" w:customStyle="1" w:styleId="Heading1Numb">
    <w:name w:val="Heading 1Numb"/>
    <w:basedOn w:val="Heading1"/>
    <w:next w:val="Normal"/>
    <w:rsid w:val="000D1D98"/>
    <w:pPr>
      <w:numPr>
        <w:numId w:val="25"/>
      </w:numPr>
    </w:pPr>
  </w:style>
  <w:style w:type="paragraph" w:customStyle="1" w:styleId="Heading2Numb">
    <w:name w:val="Heading 2Numb"/>
    <w:basedOn w:val="Heading2"/>
    <w:next w:val="Normal"/>
    <w:rsid w:val="000D1D98"/>
    <w:pPr>
      <w:numPr>
        <w:ilvl w:val="1"/>
        <w:numId w:val="25"/>
      </w:numPr>
    </w:pPr>
  </w:style>
  <w:style w:type="paragraph" w:customStyle="1" w:styleId="Heading3Numb">
    <w:name w:val="Heading 3Numb"/>
    <w:basedOn w:val="Heading3"/>
    <w:next w:val="Normal"/>
    <w:rsid w:val="000D1D98"/>
    <w:pPr>
      <w:numPr>
        <w:ilvl w:val="2"/>
        <w:numId w:val="25"/>
      </w:numPr>
    </w:pPr>
  </w:style>
  <w:style w:type="numbering" w:customStyle="1" w:styleId="NumbLstHeading">
    <w:name w:val="NumbLstHeading"/>
    <w:rsid w:val="003E5CDF"/>
    <w:pPr>
      <w:numPr>
        <w:numId w:val="16"/>
      </w:numPr>
    </w:pPr>
  </w:style>
  <w:style w:type="numbering" w:customStyle="1" w:styleId="NumbLstTable">
    <w:name w:val="NumbLstTable"/>
    <w:rsid w:val="00FC5B1E"/>
    <w:pPr>
      <w:numPr>
        <w:numId w:val="18"/>
      </w:numPr>
    </w:pPr>
  </w:style>
  <w:style w:type="numbering" w:customStyle="1" w:styleId="NumbLstFigure">
    <w:name w:val="NumbLstFigure"/>
    <w:rsid w:val="00FC5B1E"/>
    <w:pPr>
      <w:numPr>
        <w:numId w:val="19"/>
      </w:numPr>
    </w:pPr>
  </w:style>
  <w:style w:type="paragraph" w:customStyle="1" w:styleId="TableSubHeading">
    <w:name w:val="TableSubHeading"/>
    <w:basedOn w:val="TableHeading"/>
    <w:rsid w:val="003328C3"/>
    <w:rPr>
      <w:color w:val="auto"/>
    </w:rPr>
  </w:style>
  <w:style w:type="character" w:customStyle="1" w:styleId="NormalNoSpaceChar">
    <w:name w:val="NormalNoSpace Char"/>
    <w:link w:val="NormalNoSpace"/>
    <w:rsid w:val="007F2B4E"/>
    <w:rPr>
      <w:rFonts w:ascii="Foundry Form Sans" w:hAnsi="Foundry Form Sans"/>
      <w:sz w:val="24"/>
      <w:szCs w:val="24"/>
      <w:lang w:val="en-GB" w:eastAsia="en-GB" w:bidi="ar-SA"/>
    </w:rPr>
  </w:style>
  <w:style w:type="paragraph" w:customStyle="1" w:styleId="TableTitleNoNumb">
    <w:name w:val="TableTitleNoNumb"/>
    <w:basedOn w:val="TableTitle"/>
    <w:next w:val="Normal"/>
    <w:rsid w:val="0043086A"/>
    <w:pPr>
      <w:numPr>
        <w:numId w:val="0"/>
      </w:numPr>
    </w:pPr>
  </w:style>
  <w:style w:type="paragraph" w:customStyle="1" w:styleId="FigureTitleNoNumb">
    <w:name w:val="FigureTitleNoNumb"/>
    <w:basedOn w:val="FigureTitle"/>
    <w:next w:val="Normal"/>
    <w:rsid w:val="006F23D3"/>
    <w:pPr>
      <w:numPr>
        <w:numId w:val="0"/>
      </w:numPr>
    </w:pPr>
  </w:style>
  <w:style w:type="paragraph" w:styleId="BalloonText">
    <w:name w:val="Balloon Text"/>
    <w:basedOn w:val="Normal"/>
    <w:link w:val="BalloonTextChar"/>
    <w:rsid w:val="00A3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59F7"/>
    <w:rPr>
      <w:rFonts w:ascii="Tahoma" w:hAnsi="Tahoma" w:cs="Tahoma"/>
      <w:sz w:val="16"/>
      <w:szCs w:val="16"/>
    </w:rPr>
  </w:style>
  <w:style w:type="numbering" w:styleId="111111">
    <w:name w:val="Outline List 2"/>
    <w:basedOn w:val="NoList"/>
    <w:rsid w:val="0005043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8895">
      <w:bodyDiv w:val="1"/>
      <w:marLeft w:val="0"/>
      <w:marRight w:val="0"/>
      <w:marTop w:val="0"/>
      <w:marBottom w:val="0"/>
      <w:divBdr>
        <w:top w:val="none" w:sz="0" w:space="0" w:color="auto"/>
        <w:left w:val="none" w:sz="0" w:space="0" w:color="auto"/>
        <w:bottom w:val="none" w:sz="0" w:space="0" w:color="auto"/>
        <w:right w:val="none" w:sz="0" w:space="0" w:color="auto"/>
      </w:divBdr>
    </w:div>
    <w:div w:id="290287370">
      <w:bodyDiv w:val="1"/>
      <w:marLeft w:val="0"/>
      <w:marRight w:val="0"/>
      <w:marTop w:val="0"/>
      <w:marBottom w:val="0"/>
      <w:divBdr>
        <w:top w:val="none" w:sz="0" w:space="0" w:color="auto"/>
        <w:left w:val="none" w:sz="0" w:space="0" w:color="auto"/>
        <w:bottom w:val="none" w:sz="0" w:space="0" w:color="auto"/>
        <w:right w:val="none" w:sz="0" w:space="0" w:color="auto"/>
      </w:divBdr>
    </w:div>
    <w:div w:id="292029753">
      <w:bodyDiv w:val="1"/>
      <w:marLeft w:val="0"/>
      <w:marRight w:val="0"/>
      <w:marTop w:val="0"/>
      <w:marBottom w:val="0"/>
      <w:divBdr>
        <w:top w:val="none" w:sz="0" w:space="0" w:color="auto"/>
        <w:left w:val="none" w:sz="0" w:space="0" w:color="auto"/>
        <w:bottom w:val="none" w:sz="0" w:space="0" w:color="auto"/>
        <w:right w:val="none" w:sz="0" w:space="0" w:color="auto"/>
      </w:divBdr>
    </w:div>
    <w:div w:id="665593142">
      <w:bodyDiv w:val="1"/>
      <w:marLeft w:val="0"/>
      <w:marRight w:val="0"/>
      <w:marTop w:val="0"/>
      <w:marBottom w:val="0"/>
      <w:divBdr>
        <w:top w:val="none" w:sz="0" w:space="0" w:color="auto"/>
        <w:left w:val="none" w:sz="0" w:space="0" w:color="auto"/>
        <w:bottom w:val="none" w:sz="0" w:space="0" w:color="auto"/>
        <w:right w:val="none" w:sz="0" w:space="0" w:color="auto"/>
      </w:divBdr>
    </w:div>
    <w:div w:id="735126581">
      <w:bodyDiv w:val="1"/>
      <w:marLeft w:val="0"/>
      <w:marRight w:val="0"/>
      <w:marTop w:val="0"/>
      <w:marBottom w:val="0"/>
      <w:divBdr>
        <w:top w:val="none" w:sz="0" w:space="0" w:color="auto"/>
        <w:left w:val="none" w:sz="0" w:space="0" w:color="auto"/>
        <w:bottom w:val="none" w:sz="0" w:space="0" w:color="auto"/>
        <w:right w:val="none" w:sz="0" w:space="0" w:color="auto"/>
      </w:divBdr>
    </w:div>
    <w:div w:id="767697080">
      <w:bodyDiv w:val="1"/>
      <w:marLeft w:val="0"/>
      <w:marRight w:val="0"/>
      <w:marTop w:val="0"/>
      <w:marBottom w:val="0"/>
      <w:divBdr>
        <w:top w:val="none" w:sz="0" w:space="0" w:color="auto"/>
        <w:left w:val="none" w:sz="0" w:space="0" w:color="auto"/>
        <w:bottom w:val="none" w:sz="0" w:space="0" w:color="auto"/>
        <w:right w:val="none" w:sz="0" w:space="0" w:color="auto"/>
      </w:divBdr>
    </w:div>
    <w:div w:id="950287532">
      <w:bodyDiv w:val="1"/>
      <w:marLeft w:val="0"/>
      <w:marRight w:val="0"/>
      <w:marTop w:val="0"/>
      <w:marBottom w:val="0"/>
      <w:divBdr>
        <w:top w:val="none" w:sz="0" w:space="0" w:color="auto"/>
        <w:left w:val="none" w:sz="0" w:space="0" w:color="auto"/>
        <w:bottom w:val="none" w:sz="0" w:space="0" w:color="auto"/>
        <w:right w:val="none" w:sz="0" w:space="0" w:color="auto"/>
      </w:divBdr>
    </w:div>
    <w:div w:id="1067608541">
      <w:bodyDiv w:val="1"/>
      <w:marLeft w:val="0"/>
      <w:marRight w:val="0"/>
      <w:marTop w:val="0"/>
      <w:marBottom w:val="0"/>
      <w:divBdr>
        <w:top w:val="none" w:sz="0" w:space="0" w:color="auto"/>
        <w:left w:val="none" w:sz="0" w:space="0" w:color="auto"/>
        <w:bottom w:val="none" w:sz="0" w:space="0" w:color="auto"/>
        <w:right w:val="none" w:sz="0" w:space="0" w:color="auto"/>
      </w:divBdr>
    </w:div>
    <w:div w:id="1129740581">
      <w:bodyDiv w:val="1"/>
      <w:marLeft w:val="0"/>
      <w:marRight w:val="0"/>
      <w:marTop w:val="0"/>
      <w:marBottom w:val="0"/>
      <w:divBdr>
        <w:top w:val="none" w:sz="0" w:space="0" w:color="auto"/>
        <w:left w:val="none" w:sz="0" w:space="0" w:color="auto"/>
        <w:bottom w:val="none" w:sz="0" w:space="0" w:color="auto"/>
        <w:right w:val="none" w:sz="0" w:space="0" w:color="auto"/>
      </w:divBdr>
    </w:div>
    <w:div w:id="1357776876">
      <w:bodyDiv w:val="1"/>
      <w:marLeft w:val="0"/>
      <w:marRight w:val="0"/>
      <w:marTop w:val="0"/>
      <w:marBottom w:val="0"/>
      <w:divBdr>
        <w:top w:val="none" w:sz="0" w:space="0" w:color="auto"/>
        <w:left w:val="none" w:sz="0" w:space="0" w:color="auto"/>
        <w:bottom w:val="none" w:sz="0" w:space="0" w:color="auto"/>
        <w:right w:val="none" w:sz="0" w:space="0" w:color="auto"/>
      </w:divBdr>
    </w:div>
    <w:div w:id="1364163916">
      <w:bodyDiv w:val="1"/>
      <w:marLeft w:val="0"/>
      <w:marRight w:val="0"/>
      <w:marTop w:val="0"/>
      <w:marBottom w:val="0"/>
      <w:divBdr>
        <w:top w:val="none" w:sz="0" w:space="0" w:color="auto"/>
        <w:left w:val="none" w:sz="0" w:space="0" w:color="auto"/>
        <w:bottom w:val="none" w:sz="0" w:space="0" w:color="auto"/>
        <w:right w:val="none" w:sz="0" w:space="0" w:color="auto"/>
      </w:divBdr>
    </w:div>
    <w:div w:id="1568495197">
      <w:bodyDiv w:val="1"/>
      <w:marLeft w:val="0"/>
      <w:marRight w:val="0"/>
      <w:marTop w:val="0"/>
      <w:marBottom w:val="0"/>
      <w:divBdr>
        <w:top w:val="none" w:sz="0" w:space="0" w:color="auto"/>
        <w:left w:val="none" w:sz="0" w:space="0" w:color="auto"/>
        <w:bottom w:val="none" w:sz="0" w:space="0" w:color="auto"/>
        <w:right w:val="none" w:sz="0" w:space="0" w:color="auto"/>
      </w:divBdr>
    </w:div>
    <w:div w:id="1704674945">
      <w:bodyDiv w:val="1"/>
      <w:marLeft w:val="0"/>
      <w:marRight w:val="0"/>
      <w:marTop w:val="0"/>
      <w:marBottom w:val="0"/>
      <w:divBdr>
        <w:top w:val="none" w:sz="0" w:space="0" w:color="auto"/>
        <w:left w:val="none" w:sz="0" w:space="0" w:color="auto"/>
        <w:bottom w:val="none" w:sz="0" w:space="0" w:color="auto"/>
        <w:right w:val="none" w:sz="0" w:space="0" w:color="auto"/>
      </w:divBdr>
    </w:div>
    <w:div w:id="1770151652">
      <w:bodyDiv w:val="1"/>
      <w:marLeft w:val="0"/>
      <w:marRight w:val="0"/>
      <w:marTop w:val="0"/>
      <w:marBottom w:val="0"/>
      <w:divBdr>
        <w:top w:val="none" w:sz="0" w:space="0" w:color="auto"/>
        <w:left w:val="none" w:sz="0" w:space="0" w:color="auto"/>
        <w:bottom w:val="none" w:sz="0" w:space="0" w:color="auto"/>
        <w:right w:val="none" w:sz="0" w:space="0" w:color="auto"/>
      </w:divBdr>
    </w:div>
    <w:div w:id="20858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Projects%20and%20Drafts\Finance%20Commission\Follow%20up%20work%202016\Update%20of%20charts%20and%20tables%20in%20the%20report\Table%201.xls.xlsx" TargetMode="External"/><Relationship Id="rId18" Type="http://schemas.openxmlformats.org/officeDocument/2006/relationships/hyperlink" Target="file:///Y:\Projects%20and%20Drafts\Finance%20Commission\Follow%20up%20work%202016\Update%20of%20charts%20and%20tables%20in%20the%20report\Table%202.xlsx" TargetMode="External"/><Relationship Id="rId3" Type="http://schemas.openxmlformats.org/officeDocument/2006/relationships/styles" Target="styles.xml"/><Relationship Id="rId21" Type="http://schemas.openxmlformats.org/officeDocument/2006/relationships/hyperlink" Target="file:///Y:\Projects%20and%20Drafts\Finance%20Commission\Follow%20up%20work%202016\Update%20of%20charts%20and%20tables%20in%20the%20report\Table%205.xls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Y:\Projects%20and%20Drafts\Finance%20Commission\Follow%20up%20work%202016\Update%20of%20charts%20and%20tables%20in%20the%20report\Figure%202%20-%20ONS%20data.xlsx"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file:///Y:\Projects%20and%20Drafts\Finance%20Commission\Follow%20up%20work%202016\Update%20of%20charts%20and%20tables%20in%20the%20report\Table%204.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Y:\Projects%20and%20Drafts\Finance%20Commission\Follow%20up%20work%202016\Update%20of%20charts%20and%20tables%20in%20the%20report\Figure%201%20-%20PESA%20data.xls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Y:\Projects%20and%20Drafts\Finance%20Commission\Follow%20up%20work%202016\Update%20of%20charts%20and%20tables%20in%20the%20report\Table%203.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A%20Updat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AIDATA\ECONSTAT$\Projects%20and%20Drafts\Finance%20Commission\Follow%20up%20work%202016\Update%20of%20charts%20and%20tables%20in%20the%20report\Figure%202%20-%20ONS%20da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1'!$F$2</c:f>
              <c:strCache>
                <c:ptCount val="1"/>
                <c:pt idx="0">
                  <c:v>Public sector current expenditure</c:v>
                </c:pt>
              </c:strCache>
            </c:strRef>
          </c:tx>
          <c:marker>
            <c:symbol val="none"/>
          </c:marker>
          <c:cat>
            <c:strRef>
              <c:f>'Figure 1'!$A$3:$A$28</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'Figure 1'!$F$3:$F$28</c:f>
              <c:numCache>
                <c:formatCode>General</c:formatCode>
                <c:ptCount val="26"/>
                <c:pt idx="0">
                  <c:v>100</c:v>
                </c:pt>
                <c:pt idx="1">
                  <c:v>105.5160648279784</c:v>
                </c:pt>
                <c:pt idx="2">
                  <c:v>111.94199601933465</c:v>
                </c:pt>
                <c:pt idx="3">
                  <c:v>115.52459482513507</c:v>
                </c:pt>
                <c:pt idx="4">
                  <c:v>119.13562695479104</c:v>
                </c:pt>
                <c:pt idx="5">
                  <c:v>121.29655956781349</c:v>
                </c:pt>
                <c:pt idx="6">
                  <c:v>120.50042649985784</c:v>
                </c:pt>
                <c:pt idx="7">
                  <c:v>121.29655956781349</c:v>
                </c:pt>
                <c:pt idx="8">
                  <c:v>122.86039237986921</c:v>
                </c:pt>
                <c:pt idx="9">
                  <c:v>126.6420244526585</c:v>
                </c:pt>
                <c:pt idx="10">
                  <c:v>132.32868922377025</c:v>
                </c:pt>
                <c:pt idx="11">
                  <c:v>137.21922092692637</c:v>
                </c:pt>
                <c:pt idx="12">
                  <c:v>144.46971851009386</c:v>
                </c:pt>
                <c:pt idx="13">
                  <c:v>154.33608188797271</c:v>
                </c:pt>
                <c:pt idx="14">
                  <c:v>161.92777935740688</c:v>
                </c:pt>
                <c:pt idx="15">
                  <c:v>166.96047767984078</c:v>
                </c:pt>
                <c:pt idx="16">
                  <c:v>169.80381006539668</c:v>
                </c:pt>
                <c:pt idx="17">
                  <c:v>175.6326414557862</c:v>
                </c:pt>
                <c:pt idx="18">
                  <c:v>181.26243957918683</c:v>
                </c:pt>
                <c:pt idx="19">
                  <c:v>188.74040375319873</c:v>
                </c:pt>
                <c:pt idx="20">
                  <c:v>193.85840204719932</c:v>
                </c:pt>
                <c:pt idx="21">
                  <c:v>193.74466875177708</c:v>
                </c:pt>
                <c:pt idx="22">
                  <c:v>192.74950241683254</c:v>
                </c:pt>
                <c:pt idx="23">
                  <c:v>192.60733579755473</c:v>
                </c:pt>
                <c:pt idx="24">
                  <c:v>191.5837361387546</c:v>
                </c:pt>
                <c:pt idx="25">
                  <c:v>193.20443559852148</c:v>
                </c:pt>
              </c:numCache>
            </c:numRef>
          </c:val>
          <c:smooth val="0"/>
        </c:ser>
        <c:ser>
          <c:idx val="1"/>
          <c:order val="1"/>
          <c:tx>
            <c:strRef>
              <c:f>'Figure 1'!$G$2</c:f>
              <c:strCache>
                <c:ptCount val="1"/>
                <c:pt idx="0">
                  <c:v>Public sector net investment</c:v>
                </c:pt>
              </c:strCache>
            </c:strRef>
          </c:tx>
          <c:marker>
            <c:symbol val="none"/>
          </c:marker>
          <c:cat>
            <c:strRef>
              <c:f>'Figure 1'!$A$3:$A$28</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'Figure 1'!$G$3:$G$28</c:f>
              <c:numCache>
                <c:formatCode>General</c:formatCode>
                <c:ptCount val="26"/>
                <c:pt idx="0">
                  <c:v>100</c:v>
                </c:pt>
                <c:pt idx="1">
                  <c:v>124.27745664739885</c:v>
                </c:pt>
                <c:pt idx="2">
                  <c:v>126.58959537572252</c:v>
                </c:pt>
                <c:pt idx="3">
                  <c:v>105.2023121387283</c:v>
                </c:pt>
                <c:pt idx="4">
                  <c:v>106.93641618497109</c:v>
                </c:pt>
                <c:pt idx="5">
                  <c:v>106.35838150289017</c:v>
                </c:pt>
                <c:pt idx="6">
                  <c:v>68.20809248554913</c:v>
                </c:pt>
                <c:pt idx="7">
                  <c:v>34.682080924855491</c:v>
                </c:pt>
                <c:pt idx="8">
                  <c:v>44.508670520231213</c:v>
                </c:pt>
                <c:pt idx="9">
                  <c:v>50.867052023121381</c:v>
                </c:pt>
                <c:pt idx="10">
                  <c:v>49.132947976878611</c:v>
                </c:pt>
                <c:pt idx="11">
                  <c:v>97.687861271676297</c:v>
                </c:pt>
                <c:pt idx="12">
                  <c:v>111.56069364161849</c:v>
                </c:pt>
                <c:pt idx="13">
                  <c:v>106.35838150289017</c:v>
                </c:pt>
                <c:pt idx="14">
                  <c:v>154.91329479768785</c:v>
                </c:pt>
                <c:pt idx="15">
                  <c:v>180.34682080924856</c:v>
                </c:pt>
                <c:pt idx="16">
                  <c:v>187.86127167630059</c:v>
                </c:pt>
                <c:pt idx="17">
                  <c:v>203.46820809248553</c:v>
                </c:pt>
                <c:pt idx="18">
                  <c:v>323.12138728323697</c:v>
                </c:pt>
                <c:pt idx="19">
                  <c:v>324.27745664739882</c:v>
                </c:pt>
                <c:pt idx="20">
                  <c:v>269.36416184971097</c:v>
                </c:pt>
                <c:pt idx="21">
                  <c:v>208.09248554913293</c:v>
                </c:pt>
                <c:pt idx="22">
                  <c:v>230.05780346820805</c:v>
                </c:pt>
                <c:pt idx="23">
                  <c:v>187.86127167630059</c:v>
                </c:pt>
                <c:pt idx="24">
                  <c:v>201.15606936416182</c:v>
                </c:pt>
                <c:pt idx="25">
                  <c:v>195.37572254335259</c:v>
                </c:pt>
              </c:numCache>
            </c:numRef>
          </c:val>
          <c:smooth val="0"/>
        </c:ser>
        <c:ser>
          <c:idx val="2"/>
          <c:order val="2"/>
          <c:tx>
            <c:strRef>
              <c:f>'Figure 1'!$H$2</c:f>
              <c:strCache>
                <c:ptCount val="1"/>
                <c:pt idx="0">
                  <c:v>Total managed expenditure</c:v>
                </c:pt>
              </c:strCache>
            </c:strRef>
          </c:tx>
          <c:marker>
            <c:symbol val="none"/>
          </c:marker>
          <c:cat>
            <c:strRef>
              <c:f>'Figure 1'!$A$3:$A$28</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'Figure 1'!$H$3:$H$28</c:f>
              <c:numCache>
                <c:formatCode>General</c:formatCode>
                <c:ptCount val="26"/>
                <c:pt idx="0">
                  <c:v>100</c:v>
                </c:pt>
                <c:pt idx="1">
                  <c:v>105.03397936068461</c:v>
                </c:pt>
                <c:pt idx="2">
                  <c:v>110.62169645104454</c:v>
                </c:pt>
                <c:pt idx="3">
                  <c:v>112.83664736974579</c:v>
                </c:pt>
                <c:pt idx="4">
                  <c:v>116.05839416058394</c:v>
                </c:pt>
                <c:pt idx="5">
                  <c:v>117.76994714321671</c:v>
                </c:pt>
                <c:pt idx="6">
                  <c:v>115.05159828844702</c:v>
                </c:pt>
                <c:pt idx="7">
                  <c:v>115.42914674049835</c:v>
                </c:pt>
                <c:pt idx="8">
                  <c:v>117.19103951673799</c:v>
                </c:pt>
                <c:pt idx="9">
                  <c:v>120.99169393405487</c:v>
                </c:pt>
                <c:pt idx="10">
                  <c:v>126.00050339793607</c:v>
                </c:pt>
                <c:pt idx="11">
                  <c:v>132.67052605084319</c:v>
                </c:pt>
                <c:pt idx="12">
                  <c:v>140.14598540145982</c:v>
                </c:pt>
                <c:pt idx="13">
                  <c:v>148.52756103699974</c:v>
                </c:pt>
                <c:pt idx="14">
                  <c:v>157.66423357664232</c:v>
                </c:pt>
                <c:pt idx="15">
                  <c:v>163.45330984142964</c:v>
                </c:pt>
                <c:pt idx="16">
                  <c:v>166.448527561037</c:v>
                </c:pt>
                <c:pt idx="17">
                  <c:v>172.41379310344826</c:v>
                </c:pt>
                <c:pt idx="18">
                  <c:v>182.98514976088597</c:v>
                </c:pt>
                <c:pt idx="19">
                  <c:v>189.83136169141707</c:v>
                </c:pt>
                <c:pt idx="20">
                  <c:v>192.22250188774225</c:v>
                </c:pt>
                <c:pt idx="21">
                  <c:v>189.88170148502391</c:v>
                </c:pt>
                <c:pt idx="22">
                  <c:v>190.05789076264787</c:v>
                </c:pt>
                <c:pt idx="23">
                  <c:v>188.27082808960483</c:v>
                </c:pt>
                <c:pt idx="24">
                  <c:v>188.06946891517745</c:v>
                </c:pt>
                <c:pt idx="25">
                  <c:v>189.52932292977599</c:v>
                </c:pt>
              </c:numCache>
            </c:numRef>
          </c:val>
          <c:smooth val="0"/>
        </c:ser>
        <c:dLbls>
          <c:showLegendKey val="0"/>
          <c:showVal val="0"/>
          <c:showCatName val="0"/>
          <c:showSerName val="0"/>
          <c:showPercent val="0"/>
          <c:showBubbleSize val="0"/>
        </c:dLbls>
        <c:marker val="1"/>
        <c:smooth val="0"/>
        <c:axId val="240020480"/>
        <c:axId val="155894528"/>
      </c:lineChart>
      <c:catAx>
        <c:axId val="240020480"/>
        <c:scaling>
          <c:orientation val="minMax"/>
        </c:scaling>
        <c:delete val="0"/>
        <c:axPos val="b"/>
        <c:numFmt formatCode="General" sourceLinked="0"/>
        <c:majorTickMark val="out"/>
        <c:minorTickMark val="none"/>
        <c:tickLblPos val="nextTo"/>
        <c:crossAx val="155894528"/>
        <c:crosses val="autoZero"/>
        <c:auto val="1"/>
        <c:lblAlgn val="ctr"/>
        <c:lblOffset val="100"/>
        <c:tickLblSkip val="1"/>
        <c:noMultiLvlLbl val="0"/>
      </c:catAx>
      <c:valAx>
        <c:axId val="155894528"/>
        <c:scaling>
          <c:orientation val="minMax"/>
          <c:max val="400"/>
        </c:scaling>
        <c:delete val="0"/>
        <c:axPos val="l"/>
        <c:majorGridlines/>
        <c:title>
          <c:tx>
            <c:rich>
              <a:bodyPr rot="-5400000" vert="horz"/>
              <a:lstStyle/>
              <a:p>
                <a:pPr>
                  <a:defRPr/>
                </a:pPr>
                <a:r>
                  <a:rPr lang="en-GB"/>
                  <a:t>Index</a:t>
                </a:r>
                <a:r>
                  <a:rPr lang="en-GB" baseline="0"/>
                  <a:t> (1990/91=100)</a:t>
                </a:r>
                <a:endParaRPr lang="en-GB"/>
              </a:p>
            </c:rich>
          </c:tx>
          <c:layout/>
          <c:overlay val="0"/>
        </c:title>
        <c:numFmt formatCode="General" sourceLinked="1"/>
        <c:majorTickMark val="out"/>
        <c:minorTickMark val="none"/>
        <c:tickLblPos val="nextTo"/>
        <c:crossAx val="240020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Local government net borrowing</c:v>
          </c:tx>
          <c:spPr>
            <a:ln>
              <a:solidFill>
                <a:schemeClr val="accent2"/>
              </a:solidFill>
            </a:ln>
          </c:spPr>
          <c:marker>
            <c:symbol val="square"/>
            <c:size val="5"/>
            <c:spPr>
              <a:solidFill>
                <a:schemeClr val="accent2"/>
              </a:solidFill>
              <a:ln>
                <a:solidFill>
                  <a:schemeClr val="accent2"/>
                </a:solidFill>
              </a:ln>
            </c:spPr>
          </c:marker>
          <c:cat>
            <c:strRef>
              <c:f>'£bn'!$A$49:$A$74</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'£bn'!$B$49:$B$74</c:f>
              <c:numCache>
                <c:formatCode>General</c:formatCode>
                <c:ptCount val="26"/>
                <c:pt idx="0">
                  <c:v>3.2509999999999999</c:v>
                </c:pt>
                <c:pt idx="1">
                  <c:v>3.48</c:v>
                </c:pt>
                <c:pt idx="2">
                  <c:v>-4.0430000000000001</c:v>
                </c:pt>
                <c:pt idx="3">
                  <c:v>-1.0329999999999999</c:v>
                </c:pt>
                <c:pt idx="4">
                  <c:v>0.67900000000000005</c:v>
                </c:pt>
                <c:pt idx="5">
                  <c:v>-9.1999999999999998E-2</c:v>
                </c:pt>
                <c:pt idx="6">
                  <c:v>-0.253</c:v>
                </c:pt>
                <c:pt idx="7">
                  <c:v>2.0550000000000002</c:v>
                </c:pt>
                <c:pt idx="8">
                  <c:v>2.3839999999999999</c:v>
                </c:pt>
                <c:pt idx="9">
                  <c:v>3.798</c:v>
                </c:pt>
                <c:pt idx="10">
                  <c:v>3.177</c:v>
                </c:pt>
                <c:pt idx="11">
                  <c:v>3.419</c:v>
                </c:pt>
                <c:pt idx="12">
                  <c:v>2.5859999999999999</c:v>
                </c:pt>
                <c:pt idx="13">
                  <c:v>1.825</c:v>
                </c:pt>
                <c:pt idx="14">
                  <c:v>5.5839999999999996</c:v>
                </c:pt>
                <c:pt idx="15">
                  <c:v>7.1870000000000003</c:v>
                </c:pt>
                <c:pt idx="16">
                  <c:v>4.7069999999999999</c:v>
                </c:pt>
                <c:pt idx="17">
                  <c:v>2.6840000000000002</c:v>
                </c:pt>
                <c:pt idx="18">
                  <c:v>7.0780000000000003</c:v>
                </c:pt>
                <c:pt idx="19">
                  <c:v>6.16</c:v>
                </c:pt>
                <c:pt idx="20">
                  <c:v>4.3049999999999997</c:v>
                </c:pt>
                <c:pt idx="21">
                  <c:v>10.79</c:v>
                </c:pt>
                <c:pt idx="22">
                  <c:v>1.758</c:v>
                </c:pt>
                <c:pt idx="23">
                  <c:v>1.4730000000000001</c:v>
                </c:pt>
                <c:pt idx="24">
                  <c:v>1.913</c:v>
                </c:pt>
                <c:pt idx="25">
                  <c:v>4.444</c:v>
                </c:pt>
              </c:numCache>
            </c:numRef>
          </c:val>
          <c:smooth val="0"/>
        </c:ser>
        <c:ser>
          <c:idx val="1"/>
          <c:order val="1"/>
          <c:tx>
            <c:v>Public sector net borrowing</c:v>
          </c:tx>
          <c:spPr>
            <a:ln>
              <a:solidFill>
                <a:schemeClr val="accent1"/>
              </a:solidFill>
            </a:ln>
          </c:spPr>
          <c:marker>
            <c:symbol val="diamond"/>
            <c:size val="5"/>
            <c:spPr>
              <a:solidFill>
                <a:schemeClr val="accent1"/>
              </a:solidFill>
              <a:ln>
                <a:solidFill>
                  <a:schemeClr val="accent1"/>
                </a:solidFill>
              </a:ln>
            </c:spPr>
          </c:marker>
          <c:cat>
            <c:strRef>
              <c:f>'£bn'!$A$49:$A$74</c:f>
              <c:strCache>
                <c:ptCount val="26"/>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pt idx="25">
                  <c:v>2015/16</c:v>
                </c:pt>
              </c:strCache>
            </c:strRef>
          </c:cat>
          <c:val>
            <c:numRef>
              <c:f>'£bn'!$C$49:$C$74</c:f>
              <c:numCache>
                <c:formatCode>General</c:formatCode>
                <c:ptCount val="26"/>
                <c:pt idx="0">
                  <c:v>6.2480000000000002</c:v>
                </c:pt>
                <c:pt idx="1">
                  <c:v>23.036999999999999</c:v>
                </c:pt>
                <c:pt idx="2">
                  <c:v>47.12</c:v>
                </c:pt>
                <c:pt idx="3">
                  <c:v>51.555999999999997</c:v>
                </c:pt>
                <c:pt idx="4">
                  <c:v>43.804000000000002</c:v>
                </c:pt>
                <c:pt idx="5">
                  <c:v>35.31</c:v>
                </c:pt>
                <c:pt idx="6">
                  <c:v>27.707000000000001</c:v>
                </c:pt>
                <c:pt idx="7">
                  <c:v>5.9029999999999996</c:v>
                </c:pt>
                <c:pt idx="8">
                  <c:v>-4.3879999999999999</c:v>
                </c:pt>
                <c:pt idx="9">
                  <c:v>-14.417999999999999</c:v>
                </c:pt>
                <c:pt idx="10">
                  <c:v>-17.149000000000001</c:v>
                </c:pt>
                <c:pt idx="11">
                  <c:v>0.55100000000000005</c:v>
                </c:pt>
                <c:pt idx="12">
                  <c:v>26.713999999999999</c:v>
                </c:pt>
                <c:pt idx="13">
                  <c:v>31.515000000000001</c:v>
                </c:pt>
                <c:pt idx="14">
                  <c:v>43.734999999999999</c:v>
                </c:pt>
                <c:pt idx="15">
                  <c:v>41.637</c:v>
                </c:pt>
                <c:pt idx="16">
                  <c:v>37.082999999999998</c:v>
                </c:pt>
                <c:pt idx="17">
                  <c:v>40.883000000000003</c:v>
                </c:pt>
                <c:pt idx="18">
                  <c:v>103.879</c:v>
                </c:pt>
                <c:pt idx="19">
                  <c:v>154.816</c:v>
                </c:pt>
                <c:pt idx="20">
                  <c:v>136.898</c:v>
                </c:pt>
                <c:pt idx="21">
                  <c:v>115.53700000000001</c:v>
                </c:pt>
                <c:pt idx="22">
                  <c:v>123.2</c:v>
                </c:pt>
                <c:pt idx="23">
                  <c:v>103.908</c:v>
                </c:pt>
                <c:pt idx="24">
                  <c:v>91.781999999999996</c:v>
                </c:pt>
                <c:pt idx="25">
                  <c:v>75.316000000000003</c:v>
                </c:pt>
              </c:numCache>
            </c:numRef>
          </c:val>
          <c:smooth val="0"/>
        </c:ser>
        <c:dLbls>
          <c:showLegendKey val="0"/>
          <c:showVal val="0"/>
          <c:showCatName val="0"/>
          <c:showSerName val="0"/>
          <c:showPercent val="0"/>
          <c:showBubbleSize val="0"/>
        </c:dLbls>
        <c:marker val="1"/>
        <c:smooth val="0"/>
        <c:axId val="164607488"/>
        <c:axId val="164609408"/>
      </c:lineChart>
      <c:catAx>
        <c:axId val="164607488"/>
        <c:scaling>
          <c:orientation val="minMax"/>
        </c:scaling>
        <c:delete val="0"/>
        <c:axPos val="b"/>
        <c:numFmt formatCode="General" sourceLinked="0"/>
        <c:majorTickMark val="out"/>
        <c:minorTickMark val="none"/>
        <c:tickLblPos val="low"/>
        <c:crossAx val="164609408"/>
        <c:crosses val="autoZero"/>
        <c:auto val="1"/>
        <c:lblAlgn val="ctr"/>
        <c:lblOffset val="100"/>
        <c:noMultiLvlLbl val="0"/>
      </c:catAx>
      <c:valAx>
        <c:axId val="164609408"/>
        <c:scaling>
          <c:orientation val="minMax"/>
        </c:scaling>
        <c:delete val="0"/>
        <c:axPos val="l"/>
        <c:majorGridlines/>
        <c:numFmt formatCode="General" sourceLinked="1"/>
        <c:majorTickMark val="out"/>
        <c:minorTickMark val="none"/>
        <c:tickLblPos val="nextTo"/>
        <c:crossAx val="1646074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9EE4-C821-42BC-8758-9D328826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 Update</Template>
  <TotalTime>1</TotalTime>
  <Pages>6</Pages>
  <Words>1229</Words>
  <Characters>9394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Brochet</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Morrill</dc:creator>
  <cp:lastModifiedBy>Oliver Hatch</cp:lastModifiedBy>
  <cp:revision>2</cp:revision>
  <cp:lastPrinted>2016-11-15T11:24:00Z</cp:lastPrinted>
  <dcterms:created xsi:type="dcterms:W3CDTF">2016-11-15T12:09:00Z</dcterms:created>
  <dcterms:modified xsi:type="dcterms:W3CDTF">2016-11-15T12:09:00Z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ext">
    <vt:lpwstr>Current Issue Note 26</vt:lpwstr>
  </property>
  <property fmtid="{D5CDD505-2E9C-101B-9397-08002B2CF9AE}" pid="3" name="HeaderText2">
    <vt:lpwstr>Document title here</vt:lpwstr>
  </property>
</Properties>
</file>