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ayout w:type="fixed"/>
        <w:tblLook w:val="04A0" w:firstRow="1" w:lastRow="0" w:firstColumn="1" w:lastColumn="0" w:noHBand="0" w:noVBand="1"/>
      </w:tblPr>
      <w:tblGrid>
        <w:gridCol w:w="2425"/>
        <w:gridCol w:w="794"/>
        <w:gridCol w:w="3033"/>
        <w:gridCol w:w="3544"/>
      </w:tblGrid>
      <w:tr w:rsidR="0050289B" w:rsidRPr="00BB35A2" w:rsidTr="008E4F80">
        <w:trPr>
          <w:trHeight w:val="336"/>
        </w:trPr>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864DBB" w:rsidP="00864DBB">
            <w:pPr>
              <w:rPr>
                <w:rFonts w:cs="Arial"/>
                <w:b/>
                <w:bCs/>
                <w:sz w:val="16"/>
                <w:szCs w:val="16"/>
                <w:lang w:eastAsia="en-GB"/>
              </w:rPr>
            </w:pPr>
            <w:r w:rsidRPr="00864DBB">
              <w:rPr>
                <w:rFonts w:cs="Arial"/>
                <w:b/>
                <w:bCs/>
                <w:sz w:val="20"/>
                <w:szCs w:val="16"/>
                <w:lang w:eastAsia="en-GB"/>
              </w:rPr>
              <w:t>Percentage of land assessed as having unacceptable levels of litter (NI 195a)</w:t>
            </w:r>
          </w:p>
        </w:tc>
        <w:tc>
          <w:tcPr>
            <w:tcW w:w="3544" w:type="dxa"/>
            <w:tcBorders>
              <w:top w:val="single" w:sz="4" w:space="0" w:color="auto"/>
              <w:left w:val="single" w:sz="4" w:space="0" w:color="auto"/>
              <w:bottom w:val="single" w:sz="4" w:space="0" w:color="auto"/>
              <w:right w:val="single" w:sz="4" w:space="0" w:color="auto"/>
            </w:tcBorders>
          </w:tcPr>
          <w:p w:rsidR="0050289B" w:rsidRPr="00F43E84" w:rsidRDefault="0050289B" w:rsidP="00864DBB">
            <w:pPr>
              <w:rPr>
                <w:rFonts w:cs="Arial"/>
                <w:b/>
                <w:bCs/>
                <w:sz w:val="20"/>
                <w:szCs w:val="16"/>
                <w:lang w:eastAsia="en-GB"/>
              </w:rPr>
            </w:pPr>
            <w:r>
              <w:rPr>
                <w:rFonts w:cs="Arial"/>
                <w:b/>
                <w:bCs/>
                <w:sz w:val="20"/>
                <w:szCs w:val="16"/>
                <w:lang w:eastAsia="en-GB"/>
              </w:rPr>
              <w:t>Link to authorities website for further information</w:t>
            </w:r>
            <w:r w:rsidR="00554554">
              <w:rPr>
                <w:rFonts w:cs="Arial"/>
                <w:b/>
                <w:bCs/>
                <w:sz w:val="20"/>
                <w:szCs w:val="16"/>
                <w:lang w:eastAsia="en-GB"/>
              </w:rPr>
              <w:t xml:space="preserve"> – if provided</w:t>
            </w: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Brent</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10</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Camden</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9</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City of London</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2</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Ealing</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6</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Enfield</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3</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C12FBD" w:rsidP="008E4F80">
            <w:pPr>
              <w:ind w:left="59"/>
              <w:rPr>
                <w:rFonts w:cs="Arial"/>
                <w:sz w:val="20"/>
                <w:szCs w:val="20"/>
                <w:lang w:eastAsia="en-GB"/>
              </w:rPr>
            </w:pPr>
            <w:r w:rsidRPr="00C12FBD">
              <w:rPr>
                <w:rFonts w:cs="Arial"/>
                <w:sz w:val="16"/>
                <w:szCs w:val="20"/>
                <w:lang w:eastAsia="en-GB"/>
              </w:rPr>
              <w:t>http://www.enfield.gov.uk/site/scripts/home_info.php?homepageID=104</w:t>
            </w: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Royal Greenwich</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5</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Hackney</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2</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Hammersmith &amp; Fulham</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4</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Havering</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12</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Hounslow</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4</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Kensington &amp; Chelsea</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2</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Kingston upon Thames</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6</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Lambeth</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6</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Lewisham</w:t>
            </w:r>
            <w:bookmarkStart w:id="0" w:name="_GoBack"/>
            <w:bookmarkEnd w:id="0"/>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15</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Merton</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9</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Newham</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2</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Redbridge</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8</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Richmond upon Thames</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2</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Tower Hamlets</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1</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1A9" w:rsidRPr="008951A9" w:rsidRDefault="008951A9">
            <w:pPr>
              <w:rPr>
                <w:rFonts w:cs="Arial"/>
                <w:sz w:val="20"/>
                <w:szCs w:val="20"/>
              </w:rPr>
            </w:pPr>
            <w:r w:rsidRPr="008951A9">
              <w:rPr>
                <w:rFonts w:cs="Arial"/>
                <w:sz w:val="20"/>
                <w:szCs w:val="20"/>
              </w:rPr>
              <w:t>Waltham Forest</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5</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p>
        </w:tc>
      </w:tr>
      <w:tr w:rsidR="008951A9" w:rsidRPr="00BB35A2" w:rsidTr="00AA6301">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51A9" w:rsidRPr="008951A9" w:rsidRDefault="008951A9">
            <w:pPr>
              <w:rPr>
                <w:rFonts w:cs="Arial"/>
                <w:sz w:val="20"/>
                <w:szCs w:val="20"/>
              </w:rPr>
            </w:pPr>
            <w:r w:rsidRPr="008951A9">
              <w:rPr>
                <w:rFonts w:cs="Arial"/>
                <w:sz w:val="20"/>
                <w:szCs w:val="20"/>
              </w:rPr>
              <w:t>Wandsworth</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4</w:t>
            </w:r>
          </w:p>
        </w:tc>
        <w:tc>
          <w:tcPr>
            <w:tcW w:w="3544" w:type="dxa"/>
            <w:tcBorders>
              <w:top w:val="single" w:sz="4" w:space="0" w:color="auto"/>
              <w:left w:val="single" w:sz="4" w:space="0" w:color="auto"/>
              <w:bottom w:val="single" w:sz="4" w:space="0" w:color="auto"/>
              <w:right w:val="single" w:sz="4" w:space="0" w:color="auto"/>
            </w:tcBorders>
          </w:tcPr>
          <w:p w:rsidR="008951A9" w:rsidRPr="008C3E14" w:rsidRDefault="008951A9" w:rsidP="008E4F80">
            <w:pPr>
              <w:ind w:left="59"/>
              <w:rPr>
                <w:rFonts w:cs="Arial"/>
                <w:sz w:val="20"/>
                <w:szCs w:val="20"/>
                <w:lang w:eastAsia="en-GB"/>
              </w:rPr>
            </w:pPr>
            <w:r w:rsidRPr="008E4F80">
              <w:rPr>
                <w:rFonts w:cs="Arial"/>
                <w:sz w:val="16"/>
                <w:szCs w:val="20"/>
                <w:lang w:eastAsia="en-GB"/>
              </w:rPr>
              <w:t>http://www.wandsworth.gov.uk/info/200310/about_the_council/72/performance_indicators</w:t>
            </w:r>
          </w:p>
        </w:tc>
      </w:tr>
      <w:tr w:rsidR="008951A9" w:rsidRPr="00BB35A2" w:rsidTr="00D8011F">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51A9" w:rsidRPr="008951A9" w:rsidRDefault="008951A9">
            <w:pPr>
              <w:rPr>
                <w:rFonts w:cs="Arial"/>
                <w:sz w:val="20"/>
                <w:szCs w:val="20"/>
              </w:rPr>
            </w:pPr>
            <w:r w:rsidRPr="008951A9">
              <w:rPr>
                <w:rFonts w:cs="Arial"/>
                <w:sz w:val="20"/>
                <w:szCs w:val="20"/>
              </w:rPr>
              <w:t>Westminster</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1A9" w:rsidRPr="008951A9" w:rsidRDefault="008951A9">
            <w:pPr>
              <w:jc w:val="center"/>
              <w:rPr>
                <w:rFonts w:cs="Arial"/>
                <w:sz w:val="20"/>
                <w:szCs w:val="24"/>
              </w:rPr>
            </w:pPr>
            <w:r w:rsidRPr="008951A9">
              <w:rPr>
                <w:rFonts w:cs="Arial"/>
                <w:sz w:val="20"/>
              </w:rPr>
              <w:t>4</w:t>
            </w:r>
          </w:p>
        </w:tc>
        <w:tc>
          <w:tcPr>
            <w:tcW w:w="3544" w:type="dxa"/>
            <w:tcBorders>
              <w:top w:val="single" w:sz="4" w:space="0" w:color="auto"/>
              <w:left w:val="single" w:sz="4" w:space="0" w:color="auto"/>
              <w:bottom w:val="single" w:sz="4" w:space="0" w:color="auto"/>
              <w:right w:val="single" w:sz="4" w:space="0" w:color="auto"/>
            </w:tcBorders>
          </w:tcPr>
          <w:p w:rsidR="008951A9" w:rsidRPr="008E4F80" w:rsidRDefault="008951A9" w:rsidP="008E4F80">
            <w:pPr>
              <w:ind w:left="59"/>
              <w:rPr>
                <w:rFonts w:cs="Arial"/>
                <w:sz w:val="16"/>
                <w:szCs w:val="20"/>
                <w:lang w:eastAsia="en-GB"/>
              </w:rPr>
            </w:pPr>
          </w:p>
        </w:tc>
      </w:tr>
      <w:tr w:rsidR="0050289B" w:rsidRPr="00BB35A2" w:rsidTr="008E4F80">
        <w:trPr>
          <w:trHeight w:val="240"/>
        </w:trPr>
        <w:tc>
          <w:tcPr>
            <w:tcW w:w="9796"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rsidTr="008E4F80">
        <w:trPr>
          <w:trHeight w:val="240"/>
        </w:trPr>
        <w:tc>
          <w:tcPr>
            <w:tcW w:w="2425"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371" w:type="dxa"/>
            <w:gridSpan w:val="3"/>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463600">
            <w:pPr>
              <w:ind w:left="567" w:hanging="567"/>
              <w:rPr>
                <w:rFonts w:cs="Arial"/>
                <w:sz w:val="20"/>
                <w:szCs w:val="20"/>
              </w:rPr>
            </w:pPr>
            <w:r w:rsidRPr="00AF2654">
              <w:rPr>
                <w:rFonts w:cs="Arial"/>
                <w:sz w:val="20"/>
                <w:szCs w:val="20"/>
              </w:rPr>
              <w:t xml:space="preserve">Most recent survey at </w:t>
            </w:r>
            <w:r w:rsidR="00463600">
              <w:rPr>
                <w:rFonts w:cs="Arial"/>
                <w:sz w:val="20"/>
                <w:szCs w:val="20"/>
              </w:rPr>
              <w:t>31 March</w:t>
            </w:r>
            <w:r w:rsidRPr="00AF2654">
              <w:rPr>
                <w:rFonts w:cs="Arial"/>
                <w:sz w:val="20"/>
                <w:szCs w:val="20"/>
              </w:rPr>
              <w:t xml:space="preserve"> 2014</w:t>
            </w:r>
          </w:p>
        </w:tc>
      </w:tr>
      <w:tr w:rsidR="0050289B" w:rsidRPr="00BB35A2"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BA669C">
            <w:pPr>
              <w:autoSpaceDE w:val="0"/>
              <w:autoSpaceDN w:val="0"/>
              <w:adjustRightInd w:val="0"/>
              <w:rPr>
                <w:rFonts w:cs="Arial"/>
                <w:sz w:val="20"/>
                <w:szCs w:val="20"/>
              </w:rPr>
            </w:pPr>
            <w:r w:rsidRPr="00AF2654">
              <w:rPr>
                <w:rFonts w:cs="Arial"/>
                <w:color w:val="000000"/>
                <w:sz w:val="20"/>
                <w:szCs w:val="20"/>
              </w:rPr>
              <w:t>The percentage of relevant land and highways that is assessed as having deposits of litter that fall below an acceptable level.</w:t>
            </w:r>
          </w:p>
        </w:tc>
      </w:tr>
      <w:tr w:rsidR="0050289B" w:rsidRPr="00BB35A2"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AF2654" w:rsidRDefault="00864DBB" w:rsidP="00864DBB">
            <w:pPr>
              <w:ind w:left="49" w:hanging="49"/>
              <w:rPr>
                <w:rFonts w:cs="Arial"/>
                <w:sz w:val="20"/>
                <w:szCs w:val="20"/>
              </w:rPr>
            </w:pPr>
            <w:r w:rsidRPr="00AF2654">
              <w:rPr>
                <w:rFonts w:cs="Arial"/>
                <w:color w:val="000000"/>
                <w:sz w:val="20"/>
                <w:szCs w:val="20"/>
              </w:rPr>
              <w:t>Reducing unacceptable levels of litter</w:t>
            </w:r>
          </w:p>
        </w:tc>
      </w:tr>
      <w:tr w:rsidR="0050289B" w:rsidRPr="00BB35A2"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There is no statutory definition of litter. The Environmental Protection Act 1990 (s.87) states that litter is ‘anything that is dropped, thrown, left or deposited that causes defacement, in a public place’. This accords with the popular interpretation that ‘litter is waste in the wrong place’.</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Local authority cleansing officers and their contractors developed a common understanding of the term and the definition used for NI 195 (and for the LEQSE) is based on this industry norm.</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 xml:space="preserve">Litter includes mainly synthetic materials, often associated with smoking, eating and drinking, that are </w:t>
            </w:r>
            <w:r w:rsidRPr="00AF2654">
              <w:rPr>
                <w:rFonts w:cs="Arial"/>
                <w:i/>
                <w:iCs/>
                <w:color w:val="000000"/>
                <w:sz w:val="20"/>
                <w:szCs w:val="20"/>
              </w:rPr>
              <w:t xml:space="preserve">improperly </w:t>
            </w:r>
            <w:r w:rsidRPr="00AF2654">
              <w:rPr>
                <w:rFonts w:cs="Arial"/>
                <w:color w:val="000000"/>
                <w:sz w:val="20"/>
                <w:szCs w:val="20"/>
              </w:rPr>
              <w:t>discarded and left by members of the public; or are spilt during waste management operations.</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Grade A is given where there is no litter or refuse; grade B is given where a transect is predominantly free of litter and refuse except for some small items; grade C is given where there is a widespread distribution of litter and refuse, with minor accumulations; and grade D where a transect is heavily littered, with significant accumulations.</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How calculated</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2654" w:rsidRPr="00AF2654" w:rsidRDefault="00864DBB" w:rsidP="00864DBB">
            <w:pPr>
              <w:autoSpaceDE w:val="0"/>
              <w:autoSpaceDN w:val="0"/>
              <w:adjustRightInd w:val="0"/>
              <w:rPr>
                <w:rFonts w:eastAsiaTheme="minorHAnsi" w:cs="Arial"/>
                <w:color w:val="000000"/>
                <w:sz w:val="20"/>
                <w:szCs w:val="20"/>
              </w:rPr>
            </w:pPr>
            <w:r w:rsidRPr="00AF2654">
              <w:rPr>
                <w:rFonts w:eastAsiaTheme="minorHAnsi" w:cs="Arial"/>
                <w:color w:val="000000"/>
                <w:sz w:val="20"/>
                <w:szCs w:val="20"/>
              </w:rPr>
              <w:t xml:space="preserve">For example, where </w:t>
            </w:r>
            <w:r w:rsidR="00A8548D">
              <w:rPr>
                <w:rFonts w:eastAsiaTheme="minorHAnsi" w:cs="Arial"/>
                <w:color w:val="000000"/>
                <w:sz w:val="20"/>
                <w:szCs w:val="20"/>
              </w:rPr>
              <w:t xml:space="preserve">900 sites were surveyed and </w:t>
            </w:r>
            <w:r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w:lastRenderedPageBreak/>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rsidR="0050289B" w:rsidRPr="00AF2654" w:rsidRDefault="0050289B" w:rsidP="00AF2654">
            <w:pPr>
              <w:autoSpaceDE w:val="0"/>
              <w:autoSpaceDN w:val="0"/>
              <w:adjustRightInd w:val="0"/>
              <w:rPr>
                <w:rFonts w:cs="Arial"/>
                <w:sz w:val="20"/>
                <w:szCs w:val="20"/>
              </w:rPr>
            </w:pPr>
          </w:p>
        </w:tc>
      </w:tr>
      <w:tr w:rsidR="0050289B" w:rsidRPr="00BB35A2"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lastRenderedPageBreak/>
              <w:t>Data source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8E4F80">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F26E81" w:rsidRDefault="0050289B" w:rsidP="00F26E81">
            <w:pPr>
              <w:ind w:left="49" w:hanging="49"/>
              <w:rPr>
                <w:rFonts w:cs="Arial"/>
                <w:b/>
                <w:bCs/>
                <w:color w:val="000000"/>
                <w:sz w:val="20"/>
                <w:szCs w:val="20"/>
                <w:lang w:eastAsia="en-GB"/>
              </w:rPr>
            </w:pPr>
            <w:r w:rsidRPr="00F26E81">
              <w:rPr>
                <w:rFonts w:cs="Arial"/>
                <w:b/>
                <w:bCs/>
                <w:color w:val="000000"/>
                <w:sz w:val="20"/>
                <w:szCs w:val="20"/>
                <w:lang w:eastAsia="en-GB"/>
              </w:rPr>
              <w:t>Data quality</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F26E81" w:rsidRDefault="00F26E81" w:rsidP="0050289B">
            <w:pPr>
              <w:rPr>
                <w:rFonts w:cs="Arial"/>
                <w:sz w:val="20"/>
                <w:szCs w:val="20"/>
              </w:rPr>
            </w:pPr>
          </w:p>
          <w:p w:rsidR="0050289B" w:rsidRDefault="0050289B" w:rsidP="0050289B">
            <w:pPr>
              <w:rPr>
                <w:rFonts w:cs="Arial"/>
                <w:sz w:val="20"/>
                <w:szCs w:val="20"/>
              </w:rPr>
            </w:pPr>
            <w:r>
              <w:rPr>
                <w:rFonts w:cs="Arial"/>
                <w:sz w:val="20"/>
                <w:szCs w:val="20"/>
              </w:rPr>
              <w:t>No external quality assurance has been conducted on the data.</w:t>
            </w:r>
          </w:p>
          <w:p w:rsidR="00F26E81" w:rsidRDefault="00F26E81" w:rsidP="0050289B">
            <w:pPr>
              <w:rPr>
                <w:rFonts w:cs="Arial"/>
                <w:sz w:val="20"/>
                <w:szCs w:val="20"/>
              </w:rPr>
            </w:pPr>
          </w:p>
          <w:p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F26E81" w:rsidRDefault="00F26E81"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0161EA"/>
    <w:rsid w:val="00187682"/>
    <w:rsid w:val="00267990"/>
    <w:rsid w:val="002F3851"/>
    <w:rsid w:val="003C4D26"/>
    <w:rsid w:val="00463600"/>
    <w:rsid w:val="0050289B"/>
    <w:rsid w:val="00554554"/>
    <w:rsid w:val="006C2572"/>
    <w:rsid w:val="00864DBB"/>
    <w:rsid w:val="008951A9"/>
    <w:rsid w:val="008E4F80"/>
    <w:rsid w:val="00A8548D"/>
    <w:rsid w:val="00AF2654"/>
    <w:rsid w:val="00B81B34"/>
    <w:rsid w:val="00BA669C"/>
    <w:rsid w:val="00C12FBD"/>
    <w:rsid w:val="00D22341"/>
    <w:rsid w:val="00F26E81"/>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C348BD73.dotm</Template>
  <TotalTime>19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10</cp:revision>
  <dcterms:created xsi:type="dcterms:W3CDTF">2015-05-20T15:32:00Z</dcterms:created>
  <dcterms:modified xsi:type="dcterms:W3CDTF">2015-07-28T14:03:00Z</dcterms:modified>
</cp:coreProperties>
</file>