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98F348" w14:textId="0FDC6F17" w:rsidR="00613B46" w:rsidRPr="00CA5237" w:rsidRDefault="00613B46">
      <w:pPr>
        <w:rPr>
          <w:rFonts w:ascii="Arial" w:hAnsi="Arial" w:cs="Arial"/>
          <w:sz w:val="22"/>
          <w:szCs w:val="22"/>
        </w:rPr>
      </w:pPr>
    </w:p>
    <w:p w14:paraId="702ACD66" w14:textId="0F2A3D8E" w:rsidR="00DA43D8" w:rsidRPr="002665BC" w:rsidRDefault="00DA43D8" w:rsidP="002665BC">
      <w:pPr>
        <w:jc w:val="center"/>
        <w:rPr>
          <w:rFonts w:ascii="Arial" w:hAnsi="Arial" w:cs="Arial"/>
          <w:b/>
          <w:bCs/>
        </w:rPr>
      </w:pPr>
      <w:r w:rsidRPr="002665BC">
        <w:rPr>
          <w:rFonts w:ascii="Arial" w:hAnsi="Arial" w:cs="Arial"/>
          <w:b/>
          <w:bCs/>
        </w:rPr>
        <w:t>London Concessionary Bus Scheme 202</w:t>
      </w:r>
      <w:r w:rsidR="003F41D0" w:rsidRPr="002665BC">
        <w:rPr>
          <w:rFonts w:ascii="Arial" w:hAnsi="Arial" w:cs="Arial"/>
          <w:b/>
          <w:bCs/>
        </w:rPr>
        <w:t>2</w:t>
      </w:r>
      <w:r w:rsidRPr="002665BC">
        <w:rPr>
          <w:rFonts w:ascii="Arial" w:hAnsi="Arial" w:cs="Arial"/>
          <w:b/>
          <w:bCs/>
        </w:rPr>
        <w:t>-2</w:t>
      </w:r>
      <w:r w:rsidR="003F41D0" w:rsidRPr="002665BC">
        <w:rPr>
          <w:rFonts w:ascii="Arial" w:hAnsi="Arial" w:cs="Arial"/>
          <w:b/>
          <w:bCs/>
        </w:rPr>
        <w:t>3</w:t>
      </w:r>
      <w:r w:rsidR="00BB4F2D">
        <w:rPr>
          <w:rFonts w:ascii="Arial" w:hAnsi="Arial" w:cs="Arial"/>
          <w:b/>
          <w:bCs/>
        </w:rPr>
        <w:t xml:space="preserve"> </w:t>
      </w:r>
      <w:r w:rsidR="00397AC4" w:rsidRPr="002665BC">
        <w:rPr>
          <w:rFonts w:ascii="Arial" w:hAnsi="Arial" w:cs="Arial"/>
          <w:b/>
          <w:bCs/>
        </w:rPr>
        <w:t xml:space="preserve"> </w:t>
      </w:r>
    </w:p>
    <w:p w14:paraId="36501888" w14:textId="2E636D80" w:rsidR="003F41D0" w:rsidRPr="002665BC" w:rsidRDefault="002665BC" w:rsidP="002665BC">
      <w:pPr>
        <w:jc w:val="center"/>
        <w:rPr>
          <w:rFonts w:ascii="Arial" w:hAnsi="Arial" w:cs="Arial"/>
          <w:b/>
          <w:bCs/>
        </w:rPr>
      </w:pPr>
      <w:r w:rsidRPr="002665BC">
        <w:rPr>
          <w:rFonts w:ascii="Arial" w:hAnsi="Arial" w:cs="Arial"/>
          <w:b/>
          <w:bCs/>
        </w:rPr>
        <w:t xml:space="preserve">LONDON COUNCILS </w:t>
      </w:r>
    </w:p>
    <w:p w14:paraId="376CA131" w14:textId="4571BB43" w:rsidR="002665BC" w:rsidRPr="002665BC" w:rsidRDefault="002665BC" w:rsidP="002665BC">
      <w:pPr>
        <w:jc w:val="center"/>
        <w:rPr>
          <w:rFonts w:ascii="Arial" w:hAnsi="Arial" w:cs="Arial"/>
          <w:b/>
          <w:bCs/>
        </w:rPr>
      </w:pPr>
    </w:p>
    <w:p w14:paraId="5BAE30D6" w14:textId="77777777" w:rsidR="002665BC" w:rsidRPr="0040287D" w:rsidRDefault="002665BC" w:rsidP="002665BC">
      <w:pPr>
        <w:ind w:left="720"/>
        <w:jc w:val="center"/>
        <w:rPr>
          <w:rFonts w:ascii="Arial" w:hAnsi="Arial" w:cs="Arial"/>
          <w:b/>
          <w:sz w:val="22"/>
          <w:szCs w:val="22"/>
        </w:rPr>
      </w:pPr>
      <w:r w:rsidRPr="0040287D">
        <w:rPr>
          <w:rFonts w:ascii="Arial" w:hAnsi="Arial" w:cs="Arial"/>
          <w:b/>
          <w:sz w:val="22"/>
          <w:szCs w:val="22"/>
        </w:rPr>
        <w:t>Travel Concession Reimbursement Arrangements for local bus services operated under London Service Permits</w:t>
      </w:r>
    </w:p>
    <w:p w14:paraId="44947163" w14:textId="77777777" w:rsidR="002665BC" w:rsidRPr="0040287D" w:rsidRDefault="002665BC" w:rsidP="002665BC">
      <w:pPr>
        <w:jc w:val="center"/>
        <w:rPr>
          <w:rFonts w:ascii="Arial" w:hAnsi="Arial" w:cs="Arial"/>
          <w:b/>
          <w:sz w:val="22"/>
          <w:szCs w:val="22"/>
        </w:rPr>
      </w:pPr>
    </w:p>
    <w:p w14:paraId="0C40D6B9" w14:textId="77777777" w:rsidR="002665BC" w:rsidRPr="0040287D" w:rsidRDefault="002665BC" w:rsidP="002665BC">
      <w:pPr>
        <w:jc w:val="center"/>
        <w:rPr>
          <w:rFonts w:ascii="Arial" w:hAnsi="Arial" w:cs="Arial"/>
          <w:b/>
          <w:sz w:val="22"/>
          <w:szCs w:val="22"/>
        </w:rPr>
      </w:pPr>
      <w:r w:rsidRPr="0040287D">
        <w:rPr>
          <w:rFonts w:ascii="Arial" w:hAnsi="Arial" w:cs="Arial"/>
          <w:b/>
          <w:sz w:val="22"/>
          <w:szCs w:val="22"/>
        </w:rPr>
        <w:t xml:space="preserve">To be valid </w:t>
      </w:r>
    </w:p>
    <w:p w14:paraId="3CB03C41" w14:textId="11506EBF" w:rsidR="002665BC" w:rsidRPr="0040287D" w:rsidRDefault="002665BC" w:rsidP="002665BC">
      <w:pPr>
        <w:jc w:val="center"/>
        <w:rPr>
          <w:rFonts w:ascii="Arial" w:hAnsi="Arial" w:cs="Arial"/>
          <w:b/>
          <w:sz w:val="22"/>
          <w:szCs w:val="22"/>
        </w:rPr>
      </w:pPr>
      <w:r w:rsidRPr="0040287D">
        <w:rPr>
          <w:rFonts w:ascii="Arial" w:hAnsi="Arial" w:cs="Arial"/>
          <w:b/>
          <w:sz w:val="22"/>
          <w:szCs w:val="22"/>
        </w:rPr>
        <w:t xml:space="preserve">From 1 April </w:t>
      </w:r>
      <w:r>
        <w:rPr>
          <w:rFonts w:ascii="Arial" w:hAnsi="Arial" w:cs="Arial"/>
          <w:b/>
          <w:sz w:val="22"/>
          <w:szCs w:val="22"/>
        </w:rPr>
        <w:t>202</w:t>
      </w:r>
      <w:r w:rsidR="00E62B01">
        <w:rPr>
          <w:rFonts w:ascii="Arial" w:hAnsi="Arial" w:cs="Arial"/>
          <w:b/>
          <w:sz w:val="22"/>
          <w:szCs w:val="22"/>
        </w:rPr>
        <w:t>2</w:t>
      </w:r>
    </w:p>
    <w:p w14:paraId="50044C4C" w14:textId="77777777" w:rsidR="002665BC" w:rsidRPr="0040287D" w:rsidRDefault="002665BC" w:rsidP="002665BC">
      <w:pPr>
        <w:rPr>
          <w:rFonts w:ascii="Arial" w:hAnsi="Arial" w:cs="Arial"/>
          <w:b/>
          <w:sz w:val="22"/>
          <w:szCs w:val="22"/>
          <w:u w:val="single"/>
        </w:rPr>
      </w:pPr>
    </w:p>
    <w:p w14:paraId="5FE532ED" w14:textId="77777777" w:rsidR="002665BC" w:rsidRPr="00CA5237" w:rsidRDefault="002665BC" w:rsidP="00DA43D8">
      <w:pPr>
        <w:rPr>
          <w:rFonts w:ascii="Arial" w:hAnsi="Arial" w:cs="Arial"/>
          <w:b/>
          <w:bCs/>
          <w:sz w:val="22"/>
          <w:szCs w:val="22"/>
        </w:rPr>
      </w:pPr>
    </w:p>
    <w:p w14:paraId="292E1626" w14:textId="691CD39E" w:rsidR="00EB2C24" w:rsidRPr="00CA5237" w:rsidRDefault="00CE1D12" w:rsidP="00EB2C24">
      <w:pPr>
        <w:ind w:left="720" w:hanging="720"/>
        <w:jc w:val="both"/>
        <w:rPr>
          <w:rFonts w:ascii="Arial" w:hAnsi="Arial" w:cs="Arial"/>
          <w:sz w:val="22"/>
          <w:szCs w:val="22"/>
        </w:rPr>
      </w:pPr>
      <w:r w:rsidRPr="00CA5237">
        <w:rPr>
          <w:rFonts w:ascii="Arial" w:hAnsi="Arial" w:cs="Arial"/>
          <w:sz w:val="22"/>
          <w:szCs w:val="22"/>
        </w:rPr>
        <w:t xml:space="preserve">London Councils is not changing the </w:t>
      </w:r>
      <w:r w:rsidR="00EB2C24" w:rsidRPr="00CA5237">
        <w:rPr>
          <w:rFonts w:ascii="Arial" w:hAnsi="Arial" w:cs="Arial"/>
          <w:sz w:val="22"/>
          <w:szCs w:val="22"/>
        </w:rPr>
        <w:t xml:space="preserve">main </w:t>
      </w:r>
      <w:r w:rsidRPr="00CA5237">
        <w:rPr>
          <w:rFonts w:ascii="Arial" w:hAnsi="Arial" w:cs="Arial"/>
          <w:sz w:val="22"/>
          <w:szCs w:val="22"/>
        </w:rPr>
        <w:t xml:space="preserve">principals of the scheme </w:t>
      </w:r>
      <w:r w:rsidR="00EB2C24" w:rsidRPr="00CA5237">
        <w:rPr>
          <w:rFonts w:ascii="Arial" w:hAnsi="Arial" w:cs="Arial"/>
          <w:sz w:val="22"/>
          <w:szCs w:val="22"/>
        </w:rPr>
        <w:t>published</w:t>
      </w:r>
    </w:p>
    <w:p w14:paraId="1108A761" w14:textId="11EF398E" w:rsidR="00A116B8" w:rsidRPr="00CA5237" w:rsidRDefault="00A116B8" w:rsidP="00A116B8">
      <w:pPr>
        <w:ind w:left="720" w:hanging="720"/>
        <w:jc w:val="both"/>
        <w:rPr>
          <w:rFonts w:ascii="Arial" w:hAnsi="Arial" w:cs="Arial"/>
          <w:sz w:val="22"/>
          <w:szCs w:val="22"/>
        </w:rPr>
      </w:pPr>
      <w:r w:rsidRPr="00CA5237">
        <w:rPr>
          <w:rFonts w:ascii="Arial" w:hAnsi="Arial" w:cs="Arial"/>
          <w:sz w:val="22"/>
          <w:szCs w:val="22"/>
        </w:rPr>
        <w:t>i</w:t>
      </w:r>
      <w:r w:rsidR="00EB2C24" w:rsidRPr="00CA5237">
        <w:rPr>
          <w:rFonts w:ascii="Arial" w:hAnsi="Arial" w:cs="Arial"/>
          <w:sz w:val="22"/>
          <w:szCs w:val="22"/>
        </w:rPr>
        <w:t>n Apr 2019</w:t>
      </w:r>
      <w:r w:rsidRPr="00CA5237">
        <w:rPr>
          <w:rFonts w:ascii="Arial" w:hAnsi="Arial" w:cs="Arial"/>
          <w:sz w:val="22"/>
          <w:szCs w:val="22"/>
        </w:rPr>
        <w:t xml:space="preserve">. This </w:t>
      </w:r>
      <w:r w:rsidR="00EB2C24" w:rsidRPr="00CA5237">
        <w:rPr>
          <w:rFonts w:ascii="Arial" w:hAnsi="Arial" w:cs="Arial"/>
          <w:sz w:val="22"/>
          <w:szCs w:val="22"/>
        </w:rPr>
        <w:t xml:space="preserve">was the last year </w:t>
      </w:r>
      <w:r w:rsidR="00CA5237">
        <w:rPr>
          <w:rFonts w:ascii="Arial" w:hAnsi="Arial" w:cs="Arial"/>
          <w:sz w:val="22"/>
          <w:szCs w:val="22"/>
        </w:rPr>
        <w:t>fully</w:t>
      </w:r>
      <w:r w:rsidR="00CA5237" w:rsidRPr="00CA5237">
        <w:rPr>
          <w:rFonts w:ascii="Arial" w:hAnsi="Arial" w:cs="Arial"/>
          <w:sz w:val="22"/>
          <w:szCs w:val="22"/>
        </w:rPr>
        <w:t xml:space="preserve"> </w:t>
      </w:r>
      <w:r w:rsidR="00EB2C24" w:rsidRPr="00CA5237">
        <w:rPr>
          <w:rFonts w:ascii="Arial" w:hAnsi="Arial" w:cs="Arial"/>
          <w:sz w:val="22"/>
          <w:szCs w:val="22"/>
        </w:rPr>
        <w:t>covered</w:t>
      </w:r>
      <w:r w:rsidRPr="00CA5237">
        <w:rPr>
          <w:rFonts w:ascii="Arial" w:hAnsi="Arial" w:cs="Arial"/>
          <w:sz w:val="22"/>
          <w:szCs w:val="22"/>
        </w:rPr>
        <w:t xml:space="preserve"> </w:t>
      </w:r>
      <w:r w:rsidR="00CA5237">
        <w:rPr>
          <w:rFonts w:ascii="Arial" w:hAnsi="Arial" w:cs="Arial"/>
          <w:sz w:val="22"/>
          <w:szCs w:val="22"/>
        </w:rPr>
        <w:t xml:space="preserve">by </w:t>
      </w:r>
      <w:r w:rsidRPr="00CA5237">
        <w:rPr>
          <w:rFonts w:ascii="Arial" w:hAnsi="Arial" w:cs="Arial"/>
          <w:sz w:val="22"/>
          <w:szCs w:val="22"/>
        </w:rPr>
        <w:t>the</w:t>
      </w:r>
      <w:r w:rsidR="00EB2C24" w:rsidRPr="00CA5237">
        <w:rPr>
          <w:rFonts w:ascii="Arial" w:hAnsi="Arial" w:cs="Arial"/>
          <w:sz w:val="22"/>
          <w:szCs w:val="22"/>
        </w:rPr>
        <w:t xml:space="preserve"> reimbursement arrangements </w:t>
      </w:r>
    </w:p>
    <w:p w14:paraId="0C70072B" w14:textId="04E63400" w:rsidR="00A116B8" w:rsidRPr="00CA5237" w:rsidRDefault="00EB2C24" w:rsidP="00EB2C24">
      <w:pPr>
        <w:ind w:left="720" w:hanging="720"/>
        <w:jc w:val="both"/>
        <w:rPr>
          <w:rFonts w:ascii="Arial" w:hAnsi="Arial" w:cs="Arial"/>
          <w:sz w:val="22"/>
          <w:szCs w:val="22"/>
        </w:rPr>
      </w:pPr>
      <w:r w:rsidRPr="00CA5237">
        <w:rPr>
          <w:rFonts w:ascii="Arial" w:hAnsi="Arial" w:cs="Arial"/>
          <w:sz w:val="22"/>
          <w:szCs w:val="22"/>
        </w:rPr>
        <w:t xml:space="preserve">under section 145A of the </w:t>
      </w:r>
      <w:r w:rsidR="00A116B8" w:rsidRPr="00CA5237">
        <w:rPr>
          <w:rFonts w:ascii="Arial" w:hAnsi="Arial" w:cs="Arial"/>
          <w:sz w:val="22"/>
          <w:szCs w:val="22"/>
        </w:rPr>
        <w:t xml:space="preserve">Transport </w:t>
      </w:r>
      <w:r w:rsidRPr="00CA5237">
        <w:rPr>
          <w:rFonts w:ascii="Arial" w:hAnsi="Arial" w:cs="Arial"/>
          <w:sz w:val="22"/>
          <w:szCs w:val="22"/>
        </w:rPr>
        <w:t>2000</w:t>
      </w:r>
      <w:r w:rsidR="00A116B8" w:rsidRPr="00CA5237">
        <w:rPr>
          <w:rFonts w:ascii="Arial" w:hAnsi="Arial" w:cs="Arial"/>
          <w:sz w:val="22"/>
          <w:szCs w:val="22"/>
        </w:rPr>
        <w:t xml:space="preserve"> </w:t>
      </w:r>
      <w:r w:rsidRPr="00CA5237">
        <w:rPr>
          <w:rFonts w:ascii="Arial" w:hAnsi="Arial" w:cs="Arial"/>
          <w:sz w:val="22"/>
          <w:szCs w:val="22"/>
        </w:rPr>
        <w:t>Act</w:t>
      </w:r>
    </w:p>
    <w:p w14:paraId="21735E37" w14:textId="78319815" w:rsidR="00EB2C24" w:rsidRPr="00CA5237" w:rsidRDefault="00EB2C24" w:rsidP="00DA43D8">
      <w:pPr>
        <w:rPr>
          <w:rFonts w:ascii="Arial" w:hAnsi="Arial" w:cs="Arial"/>
          <w:sz w:val="22"/>
          <w:szCs w:val="22"/>
        </w:rPr>
      </w:pPr>
    </w:p>
    <w:p w14:paraId="1418A349" w14:textId="055FA9BA" w:rsidR="00EB2C24" w:rsidRPr="00CA5237" w:rsidRDefault="004E7F1F" w:rsidP="00DA43D8">
      <w:pPr>
        <w:rPr>
          <w:rFonts w:ascii="Arial" w:hAnsi="Arial" w:cs="Arial"/>
          <w:sz w:val="22"/>
          <w:szCs w:val="22"/>
        </w:rPr>
      </w:pPr>
      <w:r w:rsidRPr="00CA5237">
        <w:rPr>
          <w:rFonts w:ascii="Arial" w:hAnsi="Arial" w:cs="Arial"/>
          <w:sz w:val="22"/>
          <w:szCs w:val="22"/>
        </w:rPr>
        <w:t xml:space="preserve">In April 2020 and April 2021, an addendum was added to the current scheme as response to Covid-19. </w:t>
      </w:r>
    </w:p>
    <w:p w14:paraId="40976255" w14:textId="77777777" w:rsidR="00E023F8" w:rsidRPr="00CA5237" w:rsidRDefault="00E023F8" w:rsidP="00DA43D8">
      <w:pPr>
        <w:rPr>
          <w:rFonts w:ascii="Arial" w:hAnsi="Arial" w:cs="Arial"/>
          <w:sz w:val="22"/>
          <w:szCs w:val="22"/>
        </w:rPr>
      </w:pPr>
    </w:p>
    <w:p w14:paraId="41FEF1FA" w14:textId="5A5A5013" w:rsidR="004E7F1F" w:rsidRPr="00CA5237" w:rsidRDefault="004E7F1F" w:rsidP="00DA43D8">
      <w:pPr>
        <w:rPr>
          <w:rFonts w:ascii="Arial" w:hAnsi="Arial" w:cs="Arial"/>
          <w:sz w:val="22"/>
          <w:szCs w:val="22"/>
        </w:rPr>
      </w:pPr>
      <w:r w:rsidRPr="00CA5237">
        <w:rPr>
          <w:rFonts w:ascii="Arial" w:hAnsi="Arial" w:cs="Arial"/>
          <w:sz w:val="22"/>
          <w:szCs w:val="22"/>
        </w:rPr>
        <w:t xml:space="preserve">In Apr 2020, </w:t>
      </w:r>
      <w:r w:rsidR="00E023F8" w:rsidRPr="00CA5237">
        <w:rPr>
          <w:rFonts w:ascii="Arial" w:hAnsi="Arial" w:cs="Arial"/>
          <w:sz w:val="22"/>
          <w:szCs w:val="22"/>
        </w:rPr>
        <w:t>London Councils Transport and Environment Committee approved extraordinary and temporary contractual provisions in line with the Department for Transport guidance.</w:t>
      </w:r>
    </w:p>
    <w:p w14:paraId="55BEDFD0" w14:textId="169D1285" w:rsidR="00E023F8" w:rsidRPr="00CA5237" w:rsidRDefault="00E023F8" w:rsidP="00DA43D8">
      <w:pPr>
        <w:rPr>
          <w:rFonts w:ascii="Arial" w:hAnsi="Arial" w:cs="Arial"/>
          <w:sz w:val="22"/>
          <w:szCs w:val="22"/>
        </w:rPr>
      </w:pPr>
    </w:p>
    <w:p w14:paraId="00434C07" w14:textId="217FB84E" w:rsidR="00073BC3" w:rsidRPr="00CA5237" w:rsidRDefault="00E023F8" w:rsidP="00DA43D8">
      <w:pPr>
        <w:rPr>
          <w:rFonts w:ascii="Arial" w:hAnsi="Arial" w:cs="Arial"/>
          <w:sz w:val="22"/>
          <w:szCs w:val="22"/>
        </w:rPr>
      </w:pPr>
      <w:r w:rsidRPr="00CA5237">
        <w:rPr>
          <w:rFonts w:ascii="Arial" w:hAnsi="Arial" w:cs="Arial"/>
          <w:sz w:val="22"/>
          <w:szCs w:val="22"/>
        </w:rPr>
        <w:t>The arrangement was to continue to pay the bus operators the same reimbursement value as in the last quarter of pre-Covid 19. This arrangement remained in place for the period of Apr 20-Dec 20</w:t>
      </w:r>
      <w:r w:rsidR="00073BC3" w:rsidRPr="00CA5237">
        <w:rPr>
          <w:rFonts w:ascii="Arial" w:hAnsi="Arial" w:cs="Arial"/>
          <w:sz w:val="22"/>
          <w:szCs w:val="22"/>
        </w:rPr>
        <w:t>, while public restrictions and social distancing measures where required.</w:t>
      </w:r>
    </w:p>
    <w:p w14:paraId="123F94D4" w14:textId="0F517A61" w:rsidR="00073BC3" w:rsidRDefault="00073BC3" w:rsidP="00DA43D8">
      <w:pPr>
        <w:rPr>
          <w:rFonts w:ascii="Arial" w:hAnsi="Arial" w:cs="Arial"/>
          <w:sz w:val="22"/>
          <w:szCs w:val="22"/>
        </w:rPr>
      </w:pPr>
    </w:p>
    <w:p w14:paraId="42BBA9E7" w14:textId="77777777" w:rsidR="002665BC" w:rsidRPr="00CA5237" w:rsidRDefault="002665BC" w:rsidP="00DA43D8">
      <w:pPr>
        <w:rPr>
          <w:rFonts w:ascii="Arial" w:hAnsi="Arial" w:cs="Arial"/>
          <w:sz w:val="22"/>
          <w:szCs w:val="22"/>
        </w:rPr>
      </w:pPr>
    </w:p>
    <w:p w14:paraId="667F76CF" w14:textId="77777777" w:rsidR="00056BE2" w:rsidRPr="00CA5237" w:rsidRDefault="00073BC3" w:rsidP="00DA43D8">
      <w:pPr>
        <w:rPr>
          <w:rFonts w:ascii="Arial" w:hAnsi="Arial" w:cs="Arial"/>
          <w:sz w:val="22"/>
          <w:szCs w:val="22"/>
        </w:rPr>
      </w:pPr>
      <w:r w:rsidRPr="00CA5237">
        <w:rPr>
          <w:rFonts w:ascii="Arial" w:hAnsi="Arial" w:cs="Arial"/>
          <w:sz w:val="22"/>
          <w:szCs w:val="22"/>
        </w:rPr>
        <w:t>In January 2021, a second addendum was issued by London Councils</w:t>
      </w:r>
      <w:r w:rsidR="00FA4088" w:rsidRPr="00CA5237">
        <w:rPr>
          <w:rFonts w:ascii="Arial" w:hAnsi="Arial" w:cs="Arial"/>
          <w:sz w:val="22"/>
          <w:szCs w:val="22"/>
        </w:rPr>
        <w:t xml:space="preserve"> to local bus services in response Covid-19 recovery. A new arrangement was agreed between London Councils and the bus operators </w:t>
      </w:r>
      <w:r w:rsidR="00056BE2" w:rsidRPr="00CA5237">
        <w:rPr>
          <w:rFonts w:ascii="Arial" w:hAnsi="Arial" w:cs="Arial"/>
          <w:sz w:val="22"/>
          <w:szCs w:val="22"/>
        </w:rPr>
        <w:t xml:space="preserve">to reflect the level of service the operators were offering to public at any given payment period compared with the service level offered at the payment period of pre-Covid 19. </w:t>
      </w:r>
    </w:p>
    <w:p w14:paraId="03E8F2C2" w14:textId="77777777" w:rsidR="00056BE2" w:rsidRPr="00CA5237" w:rsidRDefault="00056BE2" w:rsidP="00056BE2">
      <w:pPr>
        <w:rPr>
          <w:rFonts w:ascii="Arial" w:hAnsi="Arial" w:cs="Arial"/>
          <w:sz w:val="22"/>
          <w:szCs w:val="22"/>
        </w:rPr>
      </w:pPr>
    </w:p>
    <w:p w14:paraId="2814EC2C" w14:textId="77777777" w:rsidR="00EA3F3D" w:rsidRPr="00CA5237" w:rsidRDefault="00056BE2" w:rsidP="00056BE2">
      <w:pPr>
        <w:rPr>
          <w:rFonts w:ascii="Arial" w:hAnsi="Arial" w:cs="Arial"/>
          <w:sz w:val="22"/>
          <w:szCs w:val="22"/>
        </w:rPr>
      </w:pPr>
      <w:r w:rsidRPr="00CA5237">
        <w:rPr>
          <w:rFonts w:ascii="Arial" w:hAnsi="Arial" w:cs="Arial"/>
          <w:sz w:val="22"/>
          <w:szCs w:val="22"/>
        </w:rPr>
        <w:t>The Reimbursement to LSP Operators continue</w:t>
      </w:r>
      <w:r w:rsidR="00EA3F3D" w:rsidRPr="00CA5237">
        <w:rPr>
          <w:rFonts w:ascii="Arial" w:hAnsi="Arial" w:cs="Arial"/>
          <w:sz w:val="22"/>
          <w:szCs w:val="22"/>
        </w:rPr>
        <w:t xml:space="preserve">d </w:t>
      </w:r>
      <w:r w:rsidRPr="00CA5237">
        <w:rPr>
          <w:rFonts w:ascii="Arial" w:hAnsi="Arial" w:cs="Arial"/>
          <w:sz w:val="22"/>
          <w:szCs w:val="22"/>
        </w:rPr>
        <w:t xml:space="preserve">to be made under the Schemes on a quarterly basis calculated on the actual number of journeys taken </w:t>
      </w:r>
      <w:r w:rsidR="00EA3F3D" w:rsidRPr="00CA5237">
        <w:rPr>
          <w:rFonts w:ascii="Arial" w:hAnsi="Arial" w:cs="Arial"/>
          <w:sz w:val="22"/>
          <w:szCs w:val="22"/>
        </w:rPr>
        <w:t xml:space="preserve">in the last quarter of pre-Covid 19 </w:t>
      </w:r>
      <w:r w:rsidRPr="00CA5237">
        <w:rPr>
          <w:rFonts w:ascii="Arial" w:hAnsi="Arial" w:cs="Arial"/>
          <w:sz w:val="22"/>
          <w:szCs w:val="22"/>
        </w:rPr>
        <w:t xml:space="preserve">and adjusted for </w:t>
      </w:r>
      <w:r w:rsidR="00EA3F3D" w:rsidRPr="00CA5237">
        <w:rPr>
          <w:rFonts w:ascii="Arial" w:hAnsi="Arial" w:cs="Arial"/>
          <w:sz w:val="22"/>
          <w:szCs w:val="22"/>
        </w:rPr>
        <w:t xml:space="preserve">the service level. So, operators who continued to operate as normal during Covid-19 were paid 100% of the last normal quarter amount, while the operators with reduced service level were paid based on the estimated reduction </w:t>
      </w:r>
    </w:p>
    <w:p w14:paraId="054EBAA5" w14:textId="501C66CF" w:rsidR="00056BE2" w:rsidRPr="00CA5237" w:rsidRDefault="00EA3F3D" w:rsidP="00056BE2">
      <w:pPr>
        <w:rPr>
          <w:rFonts w:ascii="Arial" w:hAnsi="Arial" w:cs="Arial"/>
          <w:sz w:val="22"/>
          <w:szCs w:val="22"/>
        </w:rPr>
      </w:pPr>
      <w:r w:rsidRPr="00CA5237">
        <w:rPr>
          <w:rFonts w:ascii="Arial" w:hAnsi="Arial" w:cs="Arial"/>
          <w:sz w:val="22"/>
          <w:szCs w:val="22"/>
        </w:rPr>
        <w:t xml:space="preserve"> </w:t>
      </w:r>
    </w:p>
    <w:p w14:paraId="6CA0FF78" w14:textId="1040BA23" w:rsidR="00EA3F3D" w:rsidRPr="00CA5237" w:rsidRDefault="00EA3F3D" w:rsidP="00056BE2">
      <w:pPr>
        <w:rPr>
          <w:rFonts w:ascii="Arial" w:hAnsi="Arial" w:cs="Arial"/>
          <w:sz w:val="22"/>
          <w:szCs w:val="22"/>
        </w:rPr>
      </w:pPr>
      <w:r w:rsidRPr="00CA5237">
        <w:rPr>
          <w:rFonts w:ascii="Arial" w:hAnsi="Arial" w:cs="Arial"/>
          <w:sz w:val="22"/>
          <w:szCs w:val="22"/>
        </w:rPr>
        <w:t xml:space="preserve">This arrangement </w:t>
      </w:r>
      <w:r w:rsidR="00C11C0C" w:rsidRPr="00CA5237">
        <w:rPr>
          <w:rFonts w:ascii="Arial" w:hAnsi="Arial" w:cs="Arial"/>
          <w:sz w:val="22"/>
          <w:szCs w:val="22"/>
        </w:rPr>
        <w:t>carried to the 2021-22 financial year on the same agreed terms as in Jan 2021.</w:t>
      </w:r>
    </w:p>
    <w:p w14:paraId="1E3185EB" w14:textId="6CEB3A7F" w:rsidR="00C11C0C" w:rsidRPr="00CA5237" w:rsidRDefault="00C11C0C" w:rsidP="00056BE2">
      <w:pPr>
        <w:rPr>
          <w:rFonts w:ascii="Arial" w:hAnsi="Arial" w:cs="Arial"/>
          <w:sz w:val="22"/>
          <w:szCs w:val="22"/>
        </w:rPr>
      </w:pPr>
    </w:p>
    <w:p w14:paraId="173007D6" w14:textId="6969D2E1" w:rsidR="00C11C0C" w:rsidRPr="00CA5237" w:rsidRDefault="00C11C0C" w:rsidP="00056BE2">
      <w:pPr>
        <w:rPr>
          <w:rFonts w:ascii="Arial" w:hAnsi="Arial" w:cs="Arial"/>
          <w:sz w:val="22"/>
          <w:szCs w:val="22"/>
        </w:rPr>
      </w:pPr>
      <w:r w:rsidRPr="00CA5237">
        <w:rPr>
          <w:rFonts w:ascii="Arial" w:hAnsi="Arial" w:cs="Arial"/>
          <w:sz w:val="22"/>
          <w:szCs w:val="22"/>
        </w:rPr>
        <w:t xml:space="preserve">In October 2021 Department for Transport issued a new guidance on the Covid-19 recovery. </w:t>
      </w:r>
      <w:r w:rsidR="00B43F0A">
        <w:rPr>
          <w:rFonts w:ascii="Arial" w:hAnsi="Arial" w:cs="Arial"/>
          <w:sz w:val="22"/>
          <w:szCs w:val="22"/>
        </w:rPr>
        <w:t>This was followed by the ‘</w:t>
      </w:r>
      <w:r w:rsidR="00B43F0A" w:rsidRPr="00B43F0A">
        <w:rPr>
          <w:rFonts w:ascii="Arial" w:hAnsi="Arial" w:cs="Arial"/>
          <w:sz w:val="22"/>
          <w:szCs w:val="22"/>
        </w:rPr>
        <w:t>Alternative Covid-19 Recovery Strategy</w:t>
      </w:r>
      <w:r w:rsidR="00B43F0A">
        <w:rPr>
          <w:rFonts w:ascii="Arial" w:hAnsi="Arial" w:cs="Arial"/>
          <w:sz w:val="22"/>
          <w:szCs w:val="22"/>
        </w:rPr>
        <w:t>’ in March 2022</w:t>
      </w:r>
      <w:r w:rsidR="00682ECB">
        <w:rPr>
          <w:rFonts w:ascii="Arial" w:hAnsi="Arial" w:cs="Arial"/>
          <w:sz w:val="22"/>
          <w:szCs w:val="22"/>
        </w:rPr>
        <w:t xml:space="preserve"> </w:t>
      </w:r>
      <w:r w:rsidR="00454FD0">
        <w:rPr>
          <w:rFonts w:ascii="Arial" w:hAnsi="Arial" w:cs="Arial"/>
          <w:sz w:val="22"/>
          <w:szCs w:val="22"/>
        </w:rPr>
        <w:t xml:space="preserve">which gave TCA’s scope to </w:t>
      </w:r>
      <w:r w:rsidR="00682ECB" w:rsidRPr="00682ECB">
        <w:rPr>
          <w:rFonts w:ascii="Arial" w:hAnsi="Arial" w:cs="Arial"/>
          <w:sz w:val="22"/>
          <w:szCs w:val="22"/>
        </w:rPr>
        <w:t xml:space="preserve">delay </w:t>
      </w:r>
      <w:r w:rsidR="00454FD0">
        <w:rPr>
          <w:rFonts w:ascii="Arial" w:hAnsi="Arial" w:cs="Arial"/>
          <w:sz w:val="22"/>
          <w:szCs w:val="22"/>
        </w:rPr>
        <w:t xml:space="preserve">the </w:t>
      </w:r>
      <w:r w:rsidR="00682ECB" w:rsidRPr="00682ECB">
        <w:rPr>
          <w:rFonts w:ascii="Arial" w:hAnsi="Arial" w:cs="Arial"/>
          <w:sz w:val="22"/>
          <w:szCs w:val="22"/>
        </w:rPr>
        <w:t>original recovery plan by 3 months</w:t>
      </w:r>
      <w:r w:rsidR="00682ECB">
        <w:rPr>
          <w:rFonts w:ascii="Arial" w:hAnsi="Arial" w:cs="Arial"/>
          <w:sz w:val="22"/>
          <w:szCs w:val="22"/>
        </w:rPr>
        <w:t xml:space="preserve"> due </w:t>
      </w:r>
      <w:r w:rsidR="00682ECB" w:rsidRPr="00682ECB">
        <w:rPr>
          <w:rFonts w:ascii="Arial" w:hAnsi="Arial" w:cs="Arial"/>
          <w:sz w:val="22"/>
          <w:szCs w:val="22"/>
        </w:rPr>
        <w:t>the impact of the Omicron variant</w:t>
      </w:r>
      <w:r w:rsidR="00454FD0">
        <w:rPr>
          <w:rFonts w:ascii="Arial" w:hAnsi="Arial" w:cs="Arial"/>
          <w:sz w:val="22"/>
          <w:szCs w:val="22"/>
        </w:rPr>
        <w:t xml:space="preserve"> should they choose to</w:t>
      </w:r>
      <w:r w:rsidR="00682ECB">
        <w:rPr>
          <w:rFonts w:ascii="Arial" w:hAnsi="Arial" w:cs="Arial"/>
          <w:sz w:val="22"/>
          <w:szCs w:val="22"/>
        </w:rPr>
        <w:t xml:space="preserve">. </w:t>
      </w:r>
    </w:p>
    <w:p w14:paraId="22DC37A2" w14:textId="32451ADD" w:rsidR="00E023F8" w:rsidRPr="00CA5237" w:rsidRDefault="00056BE2" w:rsidP="00DA43D8">
      <w:pPr>
        <w:rPr>
          <w:rFonts w:ascii="Arial" w:hAnsi="Arial" w:cs="Arial"/>
          <w:sz w:val="22"/>
          <w:szCs w:val="22"/>
        </w:rPr>
      </w:pPr>
      <w:r w:rsidRPr="00CA5237">
        <w:rPr>
          <w:rFonts w:ascii="Arial" w:hAnsi="Arial" w:cs="Arial"/>
          <w:sz w:val="22"/>
          <w:szCs w:val="22"/>
        </w:rPr>
        <w:t xml:space="preserve"> </w:t>
      </w:r>
    </w:p>
    <w:p w14:paraId="202462A2" w14:textId="28C58887" w:rsidR="00C11C0C" w:rsidRPr="00CA5237" w:rsidRDefault="00C11C0C" w:rsidP="00DA43D8">
      <w:pPr>
        <w:rPr>
          <w:rFonts w:ascii="Arial" w:hAnsi="Arial" w:cs="Arial"/>
          <w:sz w:val="22"/>
          <w:szCs w:val="22"/>
        </w:rPr>
      </w:pPr>
      <w:r w:rsidRPr="00CA5237">
        <w:rPr>
          <w:rFonts w:ascii="Arial" w:hAnsi="Arial" w:cs="Arial"/>
          <w:sz w:val="22"/>
          <w:szCs w:val="22"/>
        </w:rPr>
        <w:lastRenderedPageBreak/>
        <w:t xml:space="preserve">London Councils will follow and apply the </w:t>
      </w:r>
      <w:r w:rsidR="00D466E8">
        <w:rPr>
          <w:rFonts w:ascii="Arial" w:hAnsi="Arial" w:cs="Arial"/>
          <w:sz w:val="22"/>
          <w:szCs w:val="22"/>
        </w:rPr>
        <w:t xml:space="preserve">original </w:t>
      </w:r>
      <w:r w:rsidRPr="00CA5237">
        <w:rPr>
          <w:rFonts w:ascii="Arial" w:hAnsi="Arial" w:cs="Arial"/>
          <w:sz w:val="22"/>
          <w:szCs w:val="22"/>
        </w:rPr>
        <w:t>D</w:t>
      </w:r>
      <w:r w:rsidR="00454FD0">
        <w:rPr>
          <w:rFonts w:ascii="Arial" w:hAnsi="Arial" w:cs="Arial"/>
          <w:sz w:val="22"/>
          <w:szCs w:val="22"/>
        </w:rPr>
        <w:t>f</w:t>
      </w:r>
      <w:r w:rsidRPr="00CA5237">
        <w:rPr>
          <w:rFonts w:ascii="Arial" w:hAnsi="Arial" w:cs="Arial"/>
          <w:sz w:val="22"/>
          <w:szCs w:val="22"/>
        </w:rPr>
        <w:t>T guidance</w:t>
      </w:r>
      <w:r w:rsidR="00454FD0">
        <w:rPr>
          <w:rFonts w:ascii="Arial" w:hAnsi="Arial" w:cs="Arial"/>
          <w:sz w:val="22"/>
          <w:szCs w:val="22"/>
        </w:rPr>
        <w:t>, published in October 2021,</w:t>
      </w:r>
      <w:r w:rsidRPr="00CA5237">
        <w:rPr>
          <w:rFonts w:ascii="Arial" w:hAnsi="Arial" w:cs="Arial"/>
          <w:sz w:val="22"/>
          <w:szCs w:val="22"/>
        </w:rPr>
        <w:t xml:space="preserve"> </w:t>
      </w:r>
      <w:r w:rsidR="0091051C" w:rsidRPr="00CA5237">
        <w:rPr>
          <w:rFonts w:ascii="Arial" w:hAnsi="Arial" w:cs="Arial"/>
          <w:sz w:val="22"/>
          <w:szCs w:val="22"/>
        </w:rPr>
        <w:t xml:space="preserve">for the 2022-2023 Financial Year, which </w:t>
      </w:r>
      <w:r w:rsidR="002A50D3" w:rsidRPr="00CA5237">
        <w:rPr>
          <w:rFonts w:ascii="Arial" w:hAnsi="Arial" w:cs="Arial"/>
          <w:sz w:val="22"/>
          <w:szCs w:val="22"/>
        </w:rPr>
        <w:t>i</w:t>
      </w:r>
      <w:r w:rsidR="002A50D3">
        <w:rPr>
          <w:rFonts w:ascii="Arial" w:hAnsi="Arial" w:cs="Arial"/>
          <w:sz w:val="22"/>
          <w:szCs w:val="22"/>
        </w:rPr>
        <w:t>ncludes</w:t>
      </w:r>
      <w:r w:rsidR="002A50D3" w:rsidRPr="00CA5237">
        <w:rPr>
          <w:rFonts w:ascii="Arial" w:hAnsi="Arial" w:cs="Arial"/>
          <w:sz w:val="22"/>
          <w:szCs w:val="22"/>
        </w:rPr>
        <w:t xml:space="preserve"> </w:t>
      </w:r>
      <w:r w:rsidR="0091051C" w:rsidRPr="00CA5237">
        <w:rPr>
          <w:rFonts w:ascii="Arial" w:hAnsi="Arial" w:cs="Arial"/>
          <w:sz w:val="22"/>
          <w:szCs w:val="22"/>
        </w:rPr>
        <w:t xml:space="preserve">a phased reduction of the current arrangement of pre-Covid payments </w:t>
      </w:r>
      <w:r w:rsidR="00D466E8">
        <w:rPr>
          <w:rFonts w:ascii="Arial" w:hAnsi="Arial" w:cs="Arial"/>
          <w:sz w:val="22"/>
          <w:szCs w:val="22"/>
        </w:rPr>
        <w:t>from April 2022</w:t>
      </w:r>
      <w:r w:rsidR="0091051C" w:rsidRPr="00CA5237">
        <w:rPr>
          <w:rFonts w:ascii="Arial" w:hAnsi="Arial" w:cs="Arial"/>
          <w:sz w:val="22"/>
          <w:szCs w:val="22"/>
        </w:rPr>
        <w:t xml:space="preserve">. </w:t>
      </w:r>
    </w:p>
    <w:p w14:paraId="4DC944E4" w14:textId="76151428" w:rsidR="0091051C" w:rsidRPr="00CA5237" w:rsidRDefault="0091051C" w:rsidP="00DA43D8">
      <w:pPr>
        <w:rPr>
          <w:rFonts w:ascii="Arial" w:hAnsi="Arial" w:cs="Arial"/>
          <w:sz w:val="22"/>
          <w:szCs w:val="22"/>
        </w:rPr>
      </w:pPr>
    </w:p>
    <w:p w14:paraId="21B32C2F" w14:textId="1BB9FF07" w:rsidR="001855A9" w:rsidRPr="00CA5237" w:rsidRDefault="00382783" w:rsidP="00DA43D8">
      <w:pPr>
        <w:rPr>
          <w:rFonts w:ascii="Arial" w:hAnsi="Arial" w:cs="Arial"/>
          <w:sz w:val="22"/>
          <w:szCs w:val="22"/>
        </w:rPr>
      </w:pPr>
      <w:r w:rsidRPr="00CA5237">
        <w:rPr>
          <w:rFonts w:ascii="Arial" w:hAnsi="Arial" w:cs="Arial"/>
          <w:sz w:val="22"/>
          <w:szCs w:val="22"/>
        </w:rPr>
        <w:t xml:space="preserve">The below table shows the DFT monthly scale of reduction and London Councils quarterly scale reduction </w:t>
      </w:r>
    </w:p>
    <w:p w14:paraId="4F4621DE" w14:textId="02DF041E" w:rsidR="001855A9" w:rsidRPr="00CA5237" w:rsidRDefault="001855A9" w:rsidP="00DA43D8">
      <w:pPr>
        <w:rPr>
          <w:rFonts w:ascii="Arial" w:hAnsi="Arial" w:cs="Arial"/>
          <w:sz w:val="22"/>
          <w:szCs w:val="22"/>
        </w:rPr>
      </w:pPr>
    </w:p>
    <w:tbl>
      <w:tblPr>
        <w:tblW w:w="5940" w:type="dxa"/>
        <w:tblLook w:val="04A0" w:firstRow="1" w:lastRow="0" w:firstColumn="1" w:lastColumn="0" w:noHBand="0" w:noVBand="1"/>
      </w:tblPr>
      <w:tblGrid>
        <w:gridCol w:w="1060"/>
        <w:gridCol w:w="1757"/>
        <w:gridCol w:w="1503"/>
        <w:gridCol w:w="1620"/>
      </w:tblGrid>
      <w:tr w:rsidR="00397AC4" w:rsidRPr="00CA5237" w14:paraId="0F02C67F" w14:textId="77777777" w:rsidTr="00397AC4">
        <w:trPr>
          <w:trHeight w:val="1815"/>
        </w:trPr>
        <w:tc>
          <w:tcPr>
            <w:tcW w:w="1060" w:type="dxa"/>
            <w:tcBorders>
              <w:top w:val="nil"/>
              <w:left w:val="nil"/>
              <w:bottom w:val="nil"/>
              <w:right w:val="nil"/>
            </w:tcBorders>
            <w:shd w:val="clear" w:color="auto" w:fill="auto"/>
            <w:noWrap/>
            <w:vAlign w:val="bottom"/>
            <w:hideMark/>
          </w:tcPr>
          <w:p w14:paraId="7EBE613E" w14:textId="77777777" w:rsidR="00397AC4" w:rsidRPr="00CA5237" w:rsidRDefault="00397AC4" w:rsidP="00397AC4">
            <w:pPr>
              <w:rPr>
                <w:rFonts w:ascii="Arial" w:hAnsi="Arial" w:cs="Arial"/>
                <w:sz w:val="22"/>
                <w:szCs w:val="22"/>
                <w:lang w:eastAsia="en-GB"/>
              </w:rPr>
            </w:pPr>
          </w:p>
        </w:tc>
        <w:tc>
          <w:tcPr>
            <w:tcW w:w="1680" w:type="dxa"/>
            <w:tcBorders>
              <w:top w:val="single" w:sz="8" w:space="0" w:color="auto"/>
              <w:left w:val="single" w:sz="8" w:space="0" w:color="auto"/>
              <w:bottom w:val="nil"/>
              <w:right w:val="single" w:sz="8" w:space="0" w:color="auto"/>
            </w:tcBorders>
            <w:shd w:val="clear" w:color="auto" w:fill="auto"/>
            <w:vAlign w:val="center"/>
            <w:hideMark/>
          </w:tcPr>
          <w:p w14:paraId="68A5894C" w14:textId="77777777" w:rsidR="00397AC4" w:rsidRPr="00CA5237" w:rsidRDefault="00397AC4" w:rsidP="00397AC4">
            <w:pPr>
              <w:rPr>
                <w:rFonts w:ascii="Arial" w:hAnsi="Arial" w:cs="Arial"/>
                <w:b/>
                <w:bCs/>
                <w:color w:val="000000"/>
                <w:sz w:val="22"/>
                <w:szCs w:val="22"/>
                <w:lang w:eastAsia="en-GB"/>
              </w:rPr>
            </w:pPr>
            <w:r w:rsidRPr="00CA5237">
              <w:rPr>
                <w:rFonts w:ascii="Arial" w:hAnsi="Arial" w:cs="Arial"/>
                <w:b/>
                <w:bCs/>
                <w:color w:val="000000"/>
                <w:sz w:val="22"/>
                <w:szCs w:val="22"/>
                <w:lang w:eastAsia="en-GB"/>
              </w:rPr>
              <w:t>DFT % scale down of LTA pre-Covid concessionary payment</w:t>
            </w:r>
          </w:p>
        </w:tc>
        <w:tc>
          <w:tcPr>
            <w:tcW w:w="1580" w:type="dxa"/>
            <w:tcBorders>
              <w:top w:val="single" w:sz="8" w:space="0" w:color="auto"/>
              <w:left w:val="nil"/>
              <w:bottom w:val="single" w:sz="8" w:space="0" w:color="auto"/>
              <w:right w:val="single" w:sz="8" w:space="0" w:color="auto"/>
            </w:tcBorders>
            <w:shd w:val="clear" w:color="auto" w:fill="auto"/>
            <w:vAlign w:val="center"/>
            <w:hideMark/>
          </w:tcPr>
          <w:p w14:paraId="31911987" w14:textId="77777777" w:rsidR="00397AC4" w:rsidRPr="00CA5237" w:rsidRDefault="00397AC4" w:rsidP="00397AC4">
            <w:pPr>
              <w:rPr>
                <w:rFonts w:ascii="Arial" w:hAnsi="Arial" w:cs="Arial"/>
                <w:b/>
                <w:bCs/>
                <w:color w:val="000000"/>
                <w:sz w:val="22"/>
                <w:szCs w:val="22"/>
                <w:lang w:eastAsia="en-GB"/>
              </w:rPr>
            </w:pPr>
            <w:r w:rsidRPr="00CA5237">
              <w:rPr>
                <w:rFonts w:ascii="Arial" w:hAnsi="Arial" w:cs="Arial"/>
                <w:b/>
                <w:bCs/>
                <w:color w:val="000000"/>
                <w:sz w:val="22"/>
                <w:szCs w:val="22"/>
                <w:lang w:eastAsia="en-GB"/>
              </w:rPr>
              <w:t xml:space="preserve">Translated in line with London Councils quarterly payment </w:t>
            </w:r>
          </w:p>
        </w:tc>
        <w:tc>
          <w:tcPr>
            <w:tcW w:w="1620" w:type="dxa"/>
            <w:tcBorders>
              <w:top w:val="single" w:sz="8" w:space="0" w:color="auto"/>
              <w:left w:val="nil"/>
              <w:bottom w:val="single" w:sz="8" w:space="0" w:color="auto"/>
              <w:right w:val="single" w:sz="8" w:space="0" w:color="auto"/>
            </w:tcBorders>
            <w:shd w:val="clear" w:color="auto" w:fill="auto"/>
            <w:vAlign w:val="center"/>
            <w:hideMark/>
          </w:tcPr>
          <w:p w14:paraId="268D1F9E" w14:textId="77777777" w:rsidR="00397AC4" w:rsidRPr="00CA5237" w:rsidRDefault="00397AC4" w:rsidP="00397AC4">
            <w:pPr>
              <w:rPr>
                <w:rFonts w:ascii="Arial" w:hAnsi="Arial" w:cs="Arial"/>
                <w:b/>
                <w:bCs/>
                <w:color w:val="000000"/>
                <w:sz w:val="22"/>
                <w:szCs w:val="22"/>
                <w:lang w:eastAsia="en-GB"/>
              </w:rPr>
            </w:pPr>
            <w:r w:rsidRPr="00CA5237">
              <w:rPr>
                <w:rFonts w:ascii="Arial" w:hAnsi="Arial" w:cs="Arial"/>
                <w:b/>
                <w:bCs/>
                <w:color w:val="000000"/>
                <w:sz w:val="22"/>
                <w:szCs w:val="22"/>
                <w:lang w:eastAsia="en-GB"/>
              </w:rPr>
              <w:t>London Councils % scale down payment (average of three months)</w:t>
            </w:r>
          </w:p>
        </w:tc>
      </w:tr>
      <w:tr w:rsidR="00397AC4" w:rsidRPr="00CA5237" w14:paraId="0C39540D" w14:textId="77777777" w:rsidTr="00397AC4">
        <w:trPr>
          <w:trHeight w:val="300"/>
        </w:trPr>
        <w:tc>
          <w:tcPr>
            <w:tcW w:w="1060" w:type="dxa"/>
            <w:tcBorders>
              <w:top w:val="single" w:sz="8" w:space="0" w:color="auto"/>
              <w:left w:val="single" w:sz="8" w:space="0" w:color="auto"/>
              <w:bottom w:val="nil"/>
              <w:right w:val="nil"/>
            </w:tcBorders>
            <w:shd w:val="clear" w:color="auto" w:fill="auto"/>
            <w:noWrap/>
            <w:vAlign w:val="center"/>
            <w:hideMark/>
          </w:tcPr>
          <w:p w14:paraId="78859E4C" w14:textId="77777777" w:rsidR="00397AC4" w:rsidRPr="00CA5237" w:rsidRDefault="00397AC4" w:rsidP="00397AC4">
            <w:pPr>
              <w:rPr>
                <w:rFonts w:ascii="Arial" w:hAnsi="Arial" w:cs="Arial"/>
                <w:color w:val="000000"/>
                <w:sz w:val="22"/>
                <w:szCs w:val="22"/>
                <w:lang w:eastAsia="en-GB"/>
              </w:rPr>
            </w:pPr>
            <w:r w:rsidRPr="00CA5237">
              <w:rPr>
                <w:rFonts w:ascii="Arial" w:hAnsi="Arial" w:cs="Arial"/>
                <w:color w:val="000000"/>
                <w:sz w:val="22"/>
                <w:szCs w:val="22"/>
                <w:lang w:eastAsia="en-GB"/>
              </w:rPr>
              <w:t>Apr-22</w:t>
            </w:r>
          </w:p>
        </w:tc>
        <w:tc>
          <w:tcPr>
            <w:tcW w:w="1680" w:type="dxa"/>
            <w:tcBorders>
              <w:top w:val="single" w:sz="8" w:space="0" w:color="auto"/>
              <w:left w:val="single" w:sz="8" w:space="0" w:color="auto"/>
              <w:bottom w:val="nil"/>
              <w:right w:val="single" w:sz="8" w:space="0" w:color="auto"/>
            </w:tcBorders>
            <w:shd w:val="clear" w:color="auto" w:fill="auto"/>
            <w:noWrap/>
            <w:vAlign w:val="center"/>
            <w:hideMark/>
          </w:tcPr>
          <w:p w14:paraId="3916B13C" w14:textId="77777777" w:rsidR="00397AC4" w:rsidRPr="00CA5237" w:rsidRDefault="00397AC4" w:rsidP="00397AC4">
            <w:pPr>
              <w:jc w:val="center"/>
              <w:rPr>
                <w:rFonts w:ascii="Arial" w:hAnsi="Arial" w:cs="Arial"/>
                <w:color w:val="000000"/>
                <w:sz w:val="22"/>
                <w:szCs w:val="22"/>
                <w:lang w:eastAsia="en-GB"/>
              </w:rPr>
            </w:pPr>
            <w:r w:rsidRPr="00CA5237">
              <w:rPr>
                <w:rFonts w:ascii="Arial" w:hAnsi="Arial" w:cs="Arial"/>
                <w:color w:val="000000"/>
                <w:sz w:val="22"/>
                <w:szCs w:val="22"/>
                <w:lang w:eastAsia="en-GB"/>
              </w:rPr>
              <w:t>90%</w:t>
            </w:r>
          </w:p>
        </w:tc>
        <w:tc>
          <w:tcPr>
            <w:tcW w:w="1580" w:type="dxa"/>
            <w:vMerge w:val="restart"/>
            <w:tcBorders>
              <w:top w:val="nil"/>
              <w:left w:val="single" w:sz="8" w:space="0" w:color="auto"/>
              <w:bottom w:val="single" w:sz="8" w:space="0" w:color="000000"/>
              <w:right w:val="single" w:sz="8" w:space="0" w:color="auto"/>
            </w:tcBorders>
            <w:shd w:val="clear" w:color="auto" w:fill="auto"/>
            <w:vAlign w:val="center"/>
            <w:hideMark/>
          </w:tcPr>
          <w:p w14:paraId="369A2CBB" w14:textId="77777777" w:rsidR="00397AC4" w:rsidRPr="00CA5237" w:rsidRDefault="00397AC4" w:rsidP="00397AC4">
            <w:pPr>
              <w:jc w:val="center"/>
              <w:rPr>
                <w:rFonts w:ascii="Arial" w:hAnsi="Arial" w:cs="Arial"/>
                <w:color w:val="000000"/>
                <w:sz w:val="22"/>
                <w:szCs w:val="22"/>
                <w:lang w:eastAsia="en-GB"/>
              </w:rPr>
            </w:pPr>
            <w:r w:rsidRPr="00CA5237">
              <w:rPr>
                <w:rFonts w:ascii="Arial" w:hAnsi="Arial" w:cs="Arial"/>
                <w:color w:val="000000"/>
                <w:sz w:val="22"/>
                <w:szCs w:val="22"/>
                <w:lang w:eastAsia="en-GB"/>
              </w:rPr>
              <w:t xml:space="preserve">Q1 </w:t>
            </w:r>
          </w:p>
        </w:tc>
        <w:tc>
          <w:tcPr>
            <w:tcW w:w="162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3B2C4EB" w14:textId="77777777" w:rsidR="00397AC4" w:rsidRPr="00CA5237" w:rsidRDefault="00397AC4" w:rsidP="00397AC4">
            <w:pPr>
              <w:jc w:val="center"/>
              <w:rPr>
                <w:rFonts w:ascii="Arial" w:hAnsi="Arial" w:cs="Arial"/>
                <w:color w:val="000000"/>
                <w:sz w:val="22"/>
                <w:szCs w:val="22"/>
                <w:lang w:eastAsia="en-GB"/>
              </w:rPr>
            </w:pPr>
            <w:r w:rsidRPr="00CA5237">
              <w:rPr>
                <w:rFonts w:ascii="Arial" w:hAnsi="Arial" w:cs="Arial"/>
                <w:color w:val="000000"/>
                <w:sz w:val="22"/>
                <w:szCs w:val="22"/>
                <w:lang w:eastAsia="en-GB"/>
              </w:rPr>
              <w:t>88.33%</w:t>
            </w:r>
          </w:p>
        </w:tc>
      </w:tr>
      <w:tr w:rsidR="00397AC4" w:rsidRPr="00CA5237" w14:paraId="7D006F8B" w14:textId="77777777" w:rsidTr="00397AC4">
        <w:trPr>
          <w:trHeight w:val="300"/>
        </w:trPr>
        <w:tc>
          <w:tcPr>
            <w:tcW w:w="1060" w:type="dxa"/>
            <w:tcBorders>
              <w:top w:val="nil"/>
              <w:left w:val="single" w:sz="8" w:space="0" w:color="auto"/>
              <w:bottom w:val="nil"/>
              <w:right w:val="nil"/>
            </w:tcBorders>
            <w:shd w:val="clear" w:color="auto" w:fill="auto"/>
            <w:noWrap/>
            <w:vAlign w:val="center"/>
            <w:hideMark/>
          </w:tcPr>
          <w:p w14:paraId="0E5A20B0" w14:textId="77777777" w:rsidR="00397AC4" w:rsidRPr="00CA5237" w:rsidRDefault="00397AC4" w:rsidP="00397AC4">
            <w:pPr>
              <w:rPr>
                <w:rFonts w:ascii="Arial" w:hAnsi="Arial" w:cs="Arial"/>
                <w:color w:val="000000"/>
                <w:sz w:val="22"/>
                <w:szCs w:val="22"/>
                <w:lang w:eastAsia="en-GB"/>
              </w:rPr>
            </w:pPr>
            <w:r w:rsidRPr="00CA5237">
              <w:rPr>
                <w:rFonts w:ascii="Arial" w:hAnsi="Arial" w:cs="Arial"/>
                <w:color w:val="000000"/>
                <w:sz w:val="22"/>
                <w:szCs w:val="22"/>
                <w:lang w:eastAsia="en-GB"/>
              </w:rPr>
              <w:t>May-22</w:t>
            </w:r>
          </w:p>
        </w:tc>
        <w:tc>
          <w:tcPr>
            <w:tcW w:w="1680" w:type="dxa"/>
            <w:tcBorders>
              <w:top w:val="nil"/>
              <w:left w:val="single" w:sz="8" w:space="0" w:color="auto"/>
              <w:bottom w:val="nil"/>
              <w:right w:val="single" w:sz="8" w:space="0" w:color="auto"/>
            </w:tcBorders>
            <w:shd w:val="clear" w:color="auto" w:fill="auto"/>
            <w:noWrap/>
            <w:vAlign w:val="center"/>
            <w:hideMark/>
          </w:tcPr>
          <w:p w14:paraId="32A4A8A0" w14:textId="77777777" w:rsidR="00397AC4" w:rsidRPr="00CA5237" w:rsidRDefault="00397AC4" w:rsidP="00397AC4">
            <w:pPr>
              <w:jc w:val="center"/>
              <w:rPr>
                <w:rFonts w:ascii="Arial" w:hAnsi="Arial" w:cs="Arial"/>
                <w:color w:val="000000"/>
                <w:sz w:val="22"/>
                <w:szCs w:val="22"/>
                <w:lang w:eastAsia="en-GB"/>
              </w:rPr>
            </w:pPr>
            <w:r w:rsidRPr="00CA5237">
              <w:rPr>
                <w:rFonts w:ascii="Arial" w:hAnsi="Arial" w:cs="Arial"/>
                <w:color w:val="000000"/>
                <w:sz w:val="22"/>
                <w:szCs w:val="22"/>
                <w:lang w:eastAsia="en-GB"/>
              </w:rPr>
              <w:t>90%</w:t>
            </w:r>
          </w:p>
        </w:tc>
        <w:tc>
          <w:tcPr>
            <w:tcW w:w="1580" w:type="dxa"/>
            <w:vMerge/>
            <w:tcBorders>
              <w:top w:val="nil"/>
              <w:left w:val="single" w:sz="8" w:space="0" w:color="auto"/>
              <w:bottom w:val="single" w:sz="8" w:space="0" w:color="000000"/>
              <w:right w:val="single" w:sz="8" w:space="0" w:color="auto"/>
            </w:tcBorders>
            <w:vAlign w:val="center"/>
            <w:hideMark/>
          </w:tcPr>
          <w:p w14:paraId="71E5CDCD" w14:textId="77777777" w:rsidR="00397AC4" w:rsidRPr="00CA5237" w:rsidRDefault="00397AC4" w:rsidP="00397AC4">
            <w:pPr>
              <w:rPr>
                <w:rFonts w:ascii="Arial" w:hAnsi="Arial" w:cs="Arial"/>
                <w:color w:val="000000"/>
                <w:sz w:val="22"/>
                <w:szCs w:val="22"/>
                <w:lang w:eastAsia="en-GB"/>
              </w:rPr>
            </w:pPr>
          </w:p>
        </w:tc>
        <w:tc>
          <w:tcPr>
            <w:tcW w:w="1620" w:type="dxa"/>
            <w:vMerge/>
            <w:tcBorders>
              <w:top w:val="nil"/>
              <w:left w:val="single" w:sz="8" w:space="0" w:color="auto"/>
              <w:bottom w:val="single" w:sz="8" w:space="0" w:color="000000"/>
              <w:right w:val="single" w:sz="8" w:space="0" w:color="auto"/>
            </w:tcBorders>
            <w:vAlign w:val="center"/>
            <w:hideMark/>
          </w:tcPr>
          <w:p w14:paraId="18151CD9" w14:textId="77777777" w:rsidR="00397AC4" w:rsidRPr="00CA5237" w:rsidRDefault="00397AC4" w:rsidP="00397AC4">
            <w:pPr>
              <w:rPr>
                <w:rFonts w:ascii="Arial" w:hAnsi="Arial" w:cs="Arial"/>
                <w:color w:val="000000"/>
                <w:sz w:val="22"/>
                <w:szCs w:val="22"/>
                <w:lang w:eastAsia="en-GB"/>
              </w:rPr>
            </w:pPr>
          </w:p>
        </w:tc>
      </w:tr>
      <w:tr w:rsidR="00397AC4" w:rsidRPr="00CA5237" w14:paraId="09000A1C" w14:textId="77777777" w:rsidTr="00397AC4">
        <w:trPr>
          <w:trHeight w:val="315"/>
        </w:trPr>
        <w:tc>
          <w:tcPr>
            <w:tcW w:w="1060" w:type="dxa"/>
            <w:tcBorders>
              <w:top w:val="nil"/>
              <w:left w:val="single" w:sz="8" w:space="0" w:color="auto"/>
              <w:bottom w:val="single" w:sz="8" w:space="0" w:color="auto"/>
              <w:right w:val="nil"/>
            </w:tcBorders>
            <w:shd w:val="clear" w:color="auto" w:fill="auto"/>
            <w:noWrap/>
            <w:vAlign w:val="center"/>
            <w:hideMark/>
          </w:tcPr>
          <w:p w14:paraId="14C428FA" w14:textId="77777777" w:rsidR="00397AC4" w:rsidRPr="00CA5237" w:rsidRDefault="00397AC4" w:rsidP="00397AC4">
            <w:pPr>
              <w:rPr>
                <w:rFonts w:ascii="Arial" w:hAnsi="Arial" w:cs="Arial"/>
                <w:color w:val="000000"/>
                <w:sz w:val="22"/>
                <w:szCs w:val="22"/>
                <w:lang w:eastAsia="en-GB"/>
              </w:rPr>
            </w:pPr>
            <w:r w:rsidRPr="00CA5237">
              <w:rPr>
                <w:rFonts w:ascii="Arial" w:hAnsi="Arial" w:cs="Arial"/>
                <w:color w:val="000000"/>
                <w:sz w:val="22"/>
                <w:szCs w:val="22"/>
                <w:lang w:eastAsia="en-GB"/>
              </w:rPr>
              <w:t>Jun-22</w:t>
            </w:r>
          </w:p>
        </w:tc>
        <w:tc>
          <w:tcPr>
            <w:tcW w:w="1680" w:type="dxa"/>
            <w:tcBorders>
              <w:top w:val="nil"/>
              <w:left w:val="single" w:sz="8" w:space="0" w:color="auto"/>
              <w:bottom w:val="single" w:sz="8" w:space="0" w:color="auto"/>
              <w:right w:val="single" w:sz="8" w:space="0" w:color="auto"/>
            </w:tcBorders>
            <w:shd w:val="clear" w:color="auto" w:fill="auto"/>
            <w:noWrap/>
            <w:vAlign w:val="center"/>
            <w:hideMark/>
          </w:tcPr>
          <w:p w14:paraId="4464AD80" w14:textId="77777777" w:rsidR="00397AC4" w:rsidRPr="00CA5237" w:rsidRDefault="00397AC4" w:rsidP="00397AC4">
            <w:pPr>
              <w:jc w:val="center"/>
              <w:rPr>
                <w:rFonts w:ascii="Arial" w:hAnsi="Arial" w:cs="Arial"/>
                <w:color w:val="000000"/>
                <w:sz w:val="22"/>
                <w:szCs w:val="22"/>
                <w:lang w:eastAsia="en-GB"/>
              </w:rPr>
            </w:pPr>
            <w:r w:rsidRPr="00CA5237">
              <w:rPr>
                <w:rFonts w:ascii="Arial" w:hAnsi="Arial" w:cs="Arial"/>
                <w:color w:val="000000"/>
                <w:sz w:val="22"/>
                <w:szCs w:val="22"/>
                <w:lang w:eastAsia="en-GB"/>
              </w:rPr>
              <w:t>85%</w:t>
            </w:r>
          </w:p>
        </w:tc>
        <w:tc>
          <w:tcPr>
            <w:tcW w:w="1580" w:type="dxa"/>
            <w:vMerge/>
            <w:tcBorders>
              <w:top w:val="nil"/>
              <w:left w:val="single" w:sz="8" w:space="0" w:color="auto"/>
              <w:bottom w:val="single" w:sz="8" w:space="0" w:color="000000"/>
              <w:right w:val="single" w:sz="8" w:space="0" w:color="auto"/>
            </w:tcBorders>
            <w:vAlign w:val="center"/>
            <w:hideMark/>
          </w:tcPr>
          <w:p w14:paraId="6560E78E" w14:textId="77777777" w:rsidR="00397AC4" w:rsidRPr="00CA5237" w:rsidRDefault="00397AC4" w:rsidP="00397AC4">
            <w:pPr>
              <w:rPr>
                <w:rFonts w:ascii="Arial" w:hAnsi="Arial" w:cs="Arial"/>
                <w:color w:val="000000"/>
                <w:sz w:val="22"/>
                <w:szCs w:val="22"/>
                <w:lang w:eastAsia="en-GB"/>
              </w:rPr>
            </w:pPr>
          </w:p>
        </w:tc>
        <w:tc>
          <w:tcPr>
            <w:tcW w:w="1620" w:type="dxa"/>
            <w:vMerge/>
            <w:tcBorders>
              <w:top w:val="nil"/>
              <w:left w:val="single" w:sz="8" w:space="0" w:color="auto"/>
              <w:bottom w:val="single" w:sz="8" w:space="0" w:color="000000"/>
              <w:right w:val="single" w:sz="8" w:space="0" w:color="auto"/>
            </w:tcBorders>
            <w:vAlign w:val="center"/>
            <w:hideMark/>
          </w:tcPr>
          <w:p w14:paraId="51A02D8B" w14:textId="77777777" w:rsidR="00397AC4" w:rsidRPr="00CA5237" w:rsidRDefault="00397AC4" w:rsidP="00397AC4">
            <w:pPr>
              <w:rPr>
                <w:rFonts w:ascii="Arial" w:hAnsi="Arial" w:cs="Arial"/>
                <w:color w:val="000000"/>
                <w:sz w:val="22"/>
                <w:szCs w:val="22"/>
                <w:lang w:eastAsia="en-GB"/>
              </w:rPr>
            </w:pPr>
          </w:p>
        </w:tc>
      </w:tr>
      <w:tr w:rsidR="00397AC4" w:rsidRPr="00CA5237" w14:paraId="0101932A" w14:textId="77777777" w:rsidTr="00397AC4">
        <w:trPr>
          <w:trHeight w:val="300"/>
        </w:trPr>
        <w:tc>
          <w:tcPr>
            <w:tcW w:w="1060" w:type="dxa"/>
            <w:tcBorders>
              <w:top w:val="nil"/>
              <w:left w:val="single" w:sz="8" w:space="0" w:color="auto"/>
              <w:bottom w:val="nil"/>
              <w:right w:val="nil"/>
            </w:tcBorders>
            <w:shd w:val="clear" w:color="auto" w:fill="auto"/>
            <w:noWrap/>
            <w:vAlign w:val="center"/>
            <w:hideMark/>
          </w:tcPr>
          <w:p w14:paraId="61909B21" w14:textId="77777777" w:rsidR="00397AC4" w:rsidRPr="00CA5237" w:rsidRDefault="00397AC4" w:rsidP="00397AC4">
            <w:pPr>
              <w:rPr>
                <w:rFonts w:ascii="Arial" w:hAnsi="Arial" w:cs="Arial"/>
                <w:color w:val="000000"/>
                <w:sz w:val="22"/>
                <w:szCs w:val="22"/>
                <w:lang w:eastAsia="en-GB"/>
              </w:rPr>
            </w:pPr>
            <w:r w:rsidRPr="00CA5237">
              <w:rPr>
                <w:rFonts w:ascii="Arial" w:hAnsi="Arial" w:cs="Arial"/>
                <w:color w:val="000000"/>
                <w:sz w:val="22"/>
                <w:szCs w:val="22"/>
                <w:lang w:eastAsia="en-GB"/>
              </w:rPr>
              <w:t>Jul-22</w:t>
            </w:r>
          </w:p>
        </w:tc>
        <w:tc>
          <w:tcPr>
            <w:tcW w:w="1680" w:type="dxa"/>
            <w:tcBorders>
              <w:top w:val="nil"/>
              <w:left w:val="single" w:sz="8" w:space="0" w:color="auto"/>
              <w:bottom w:val="nil"/>
              <w:right w:val="single" w:sz="8" w:space="0" w:color="auto"/>
            </w:tcBorders>
            <w:shd w:val="clear" w:color="auto" w:fill="auto"/>
            <w:noWrap/>
            <w:vAlign w:val="center"/>
            <w:hideMark/>
          </w:tcPr>
          <w:p w14:paraId="039C1B5B" w14:textId="77777777" w:rsidR="00397AC4" w:rsidRPr="00CA5237" w:rsidRDefault="00397AC4" w:rsidP="00397AC4">
            <w:pPr>
              <w:jc w:val="center"/>
              <w:rPr>
                <w:rFonts w:ascii="Arial" w:hAnsi="Arial" w:cs="Arial"/>
                <w:color w:val="000000"/>
                <w:sz w:val="22"/>
                <w:szCs w:val="22"/>
                <w:lang w:eastAsia="en-GB"/>
              </w:rPr>
            </w:pPr>
            <w:r w:rsidRPr="00CA5237">
              <w:rPr>
                <w:rFonts w:ascii="Arial" w:hAnsi="Arial" w:cs="Arial"/>
                <w:color w:val="000000"/>
                <w:sz w:val="22"/>
                <w:szCs w:val="22"/>
                <w:lang w:eastAsia="en-GB"/>
              </w:rPr>
              <w:t>85%</w:t>
            </w:r>
          </w:p>
        </w:tc>
        <w:tc>
          <w:tcPr>
            <w:tcW w:w="1580" w:type="dxa"/>
            <w:vMerge w:val="restart"/>
            <w:tcBorders>
              <w:top w:val="nil"/>
              <w:left w:val="single" w:sz="8" w:space="0" w:color="auto"/>
              <w:bottom w:val="single" w:sz="8" w:space="0" w:color="000000"/>
              <w:right w:val="single" w:sz="8" w:space="0" w:color="auto"/>
            </w:tcBorders>
            <w:shd w:val="clear" w:color="auto" w:fill="auto"/>
            <w:vAlign w:val="center"/>
            <w:hideMark/>
          </w:tcPr>
          <w:p w14:paraId="16D227C9" w14:textId="77777777" w:rsidR="00397AC4" w:rsidRPr="00CA5237" w:rsidRDefault="00397AC4" w:rsidP="00397AC4">
            <w:pPr>
              <w:jc w:val="center"/>
              <w:rPr>
                <w:rFonts w:ascii="Arial" w:hAnsi="Arial" w:cs="Arial"/>
                <w:color w:val="000000"/>
                <w:sz w:val="22"/>
                <w:szCs w:val="22"/>
                <w:lang w:eastAsia="en-GB"/>
              </w:rPr>
            </w:pPr>
            <w:r w:rsidRPr="00CA5237">
              <w:rPr>
                <w:rFonts w:ascii="Arial" w:hAnsi="Arial" w:cs="Arial"/>
                <w:color w:val="000000"/>
                <w:sz w:val="22"/>
                <w:szCs w:val="22"/>
                <w:lang w:eastAsia="en-GB"/>
              </w:rPr>
              <w:t>Q2</w:t>
            </w:r>
          </w:p>
        </w:tc>
        <w:tc>
          <w:tcPr>
            <w:tcW w:w="162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74D0690" w14:textId="77777777" w:rsidR="00397AC4" w:rsidRPr="00CA5237" w:rsidRDefault="00397AC4" w:rsidP="00397AC4">
            <w:pPr>
              <w:jc w:val="center"/>
              <w:rPr>
                <w:rFonts w:ascii="Arial" w:hAnsi="Arial" w:cs="Arial"/>
                <w:color w:val="000000"/>
                <w:sz w:val="22"/>
                <w:szCs w:val="22"/>
                <w:lang w:eastAsia="en-GB"/>
              </w:rPr>
            </w:pPr>
            <w:r w:rsidRPr="00CA5237">
              <w:rPr>
                <w:rFonts w:ascii="Arial" w:hAnsi="Arial" w:cs="Arial"/>
                <w:color w:val="000000"/>
                <w:sz w:val="22"/>
                <w:szCs w:val="22"/>
                <w:lang w:eastAsia="en-GB"/>
              </w:rPr>
              <w:t>81.67%</w:t>
            </w:r>
          </w:p>
        </w:tc>
      </w:tr>
      <w:tr w:rsidR="00397AC4" w:rsidRPr="00CA5237" w14:paraId="334FDA9F" w14:textId="77777777" w:rsidTr="00397AC4">
        <w:trPr>
          <w:trHeight w:val="300"/>
        </w:trPr>
        <w:tc>
          <w:tcPr>
            <w:tcW w:w="1060" w:type="dxa"/>
            <w:tcBorders>
              <w:top w:val="nil"/>
              <w:left w:val="single" w:sz="8" w:space="0" w:color="auto"/>
              <w:bottom w:val="nil"/>
              <w:right w:val="nil"/>
            </w:tcBorders>
            <w:shd w:val="clear" w:color="auto" w:fill="auto"/>
            <w:noWrap/>
            <w:vAlign w:val="center"/>
            <w:hideMark/>
          </w:tcPr>
          <w:p w14:paraId="3477655C" w14:textId="77777777" w:rsidR="00397AC4" w:rsidRPr="00CA5237" w:rsidRDefault="00397AC4" w:rsidP="00397AC4">
            <w:pPr>
              <w:rPr>
                <w:rFonts w:ascii="Arial" w:hAnsi="Arial" w:cs="Arial"/>
                <w:color w:val="000000"/>
                <w:sz w:val="22"/>
                <w:szCs w:val="22"/>
                <w:lang w:eastAsia="en-GB"/>
              </w:rPr>
            </w:pPr>
            <w:r w:rsidRPr="00CA5237">
              <w:rPr>
                <w:rFonts w:ascii="Arial" w:hAnsi="Arial" w:cs="Arial"/>
                <w:color w:val="000000"/>
                <w:sz w:val="22"/>
                <w:szCs w:val="22"/>
                <w:lang w:eastAsia="en-GB"/>
              </w:rPr>
              <w:t>Aug-22</w:t>
            </w:r>
          </w:p>
        </w:tc>
        <w:tc>
          <w:tcPr>
            <w:tcW w:w="1680" w:type="dxa"/>
            <w:tcBorders>
              <w:top w:val="nil"/>
              <w:left w:val="single" w:sz="8" w:space="0" w:color="auto"/>
              <w:bottom w:val="nil"/>
              <w:right w:val="single" w:sz="8" w:space="0" w:color="auto"/>
            </w:tcBorders>
            <w:shd w:val="clear" w:color="auto" w:fill="auto"/>
            <w:noWrap/>
            <w:vAlign w:val="center"/>
            <w:hideMark/>
          </w:tcPr>
          <w:p w14:paraId="63784F9D" w14:textId="77777777" w:rsidR="00397AC4" w:rsidRPr="00CA5237" w:rsidRDefault="00397AC4" w:rsidP="00397AC4">
            <w:pPr>
              <w:jc w:val="center"/>
              <w:rPr>
                <w:rFonts w:ascii="Arial" w:hAnsi="Arial" w:cs="Arial"/>
                <w:color w:val="000000"/>
                <w:sz w:val="22"/>
                <w:szCs w:val="22"/>
                <w:lang w:eastAsia="en-GB"/>
              </w:rPr>
            </w:pPr>
            <w:r w:rsidRPr="00CA5237">
              <w:rPr>
                <w:rFonts w:ascii="Arial" w:hAnsi="Arial" w:cs="Arial"/>
                <w:color w:val="000000"/>
                <w:sz w:val="22"/>
                <w:szCs w:val="22"/>
                <w:lang w:eastAsia="en-GB"/>
              </w:rPr>
              <w:t>80%</w:t>
            </w:r>
          </w:p>
        </w:tc>
        <w:tc>
          <w:tcPr>
            <w:tcW w:w="1580" w:type="dxa"/>
            <w:vMerge/>
            <w:tcBorders>
              <w:top w:val="nil"/>
              <w:left w:val="single" w:sz="8" w:space="0" w:color="auto"/>
              <w:bottom w:val="single" w:sz="8" w:space="0" w:color="000000"/>
              <w:right w:val="single" w:sz="8" w:space="0" w:color="auto"/>
            </w:tcBorders>
            <w:vAlign w:val="center"/>
            <w:hideMark/>
          </w:tcPr>
          <w:p w14:paraId="19933389" w14:textId="77777777" w:rsidR="00397AC4" w:rsidRPr="00CA5237" w:rsidRDefault="00397AC4" w:rsidP="00397AC4">
            <w:pPr>
              <w:rPr>
                <w:rFonts w:ascii="Arial" w:hAnsi="Arial" w:cs="Arial"/>
                <w:color w:val="000000"/>
                <w:sz w:val="22"/>
                <w:szCs w:val="22"/>
                <w:lang w:eastAsia="en-GB"/>
              </w:rPr>
            </w:pPr>
          </w:p>
        </w:tc>
        <w:tc>
          <w:tcPr>
            <w:tcW w:w="1620" w:type="dxa"/>
            <w:vMerge/>
            <w:tcBorders>
              <w:top w:val="nil"/>
              <w:left w:val="single" w:sz="8" w:space="0" w:color="auto"/>
              <w:bottom w:val="single" w:sz="8" w:space="0" w:color="000000"/>
              <w:right w:val="single" w:sz="8" w:space="0" w:color="auto"/>
            </w:tcBorders>
            <w:vAlign w:val="center"/>
            <w:hideMark/>
          </w:tcPr>
          <w:p w14:paraId="3F2CC35F" w14:textId="77777777" w:rsidR="00397AC4" w:rsidRPr="00CA5237" w:rsidRDefault="00397AC4" w:rsidP="00397AC4">
            <w:pPr>
              <w:rPr>
                <w:rFonts w:ascii="Arial" w:hAnsi="Arial" w:cs="Arial"/>
                <w:color w:val="000000"/>
                <w:sz w:val="22"/>
                <w:szCs w:val="22"/>
                <w:lang w:eastAsia="en-GB"/>
              </w:rPr>
            </w:pPr>
          </w:p>
        </w:tc>
      </w:tr>
      <w:tr w:rsidR="00397AC4" w:rsidRPr="00CA5237" w14:paraId="09F772B8" w14:textId="77777777" w:rsidTr="00397AC4">
        <w:trPr>
          <w:trHeight w:val="315"/>
        </w:trPr>
        <w:tc>
          <w:tcPr>
            <w:tcW w:w="1060" w:type="dxa"/>
            <w:tcBorders>
              <w:top w:val="nil"/>
              <w:left w:val="single" w:sz="8" w:space="0" w:color="auto"/>
              <w:bottom w:val="nil"/>
              <w:right w:val="nil"/>
            </w:tcBorders>
            <w:shd w:val="clear" w:color="auto" w:fill="auto"/>
            <w:noWrap/>
            <w:vAlign w:val="center"/>
            <w:hideMark/>
          </w:tcPr>
          <w:p w14:paraId="1982C7B4" w14:textId="77777777" w:rsidR="00397AC4" w:rsidRPr="00CA5237" w:rsidRDefault="00397AC4" w:rsidP="00397AC4">
            <w:pPr>
              <w:rPr>
                <w:rFonts w:ascii="Arial" w:hAnsi="Arial" w:cs="Arial"/>
                <w:color w:val="000000"/>
                <w:sz w:val="22"/>
                <w:szCs w:val="22"/>
                <w:lang w:eastAsia="en-GB"/>
              </w:rPr>
            </w:pPr>
            <w:r w:rsidRPr="00CA5237">
              <w:rPr>
                <w:rFonts w:ascii="Arial" w:hAnsi="Arial" w:cs="Arial"/>
                <w:color w:val="000000"/>
                <w:sz w:val="22"/>
                <w:szCs w:val="22"/>
                <w:lang w:eastAsia="en-GB"/>
              </w:rPr>
              <w:t>Sep-22</w:t>
            </w:r>
          </w:p>
        </w:tc>
        <w:tc>
          <w:tcPr>
            <w:tcW w:w="1680" w:type="dxa"/>
            <w:tcBorders>
              <w:top w:val="nil"/>
              <w:left w:val="single" w:sz="8" w:space="0" w:color="auto"/>
              <w:bottom w:val="nil"/>
              <w:right w:val="single" w:sz="8" w:space="0" w:color="auto"/>
            </w:tcBorders>
            <w:shd w:val="clear" w:color="auto" w:fill="auto"/>
            <w:noWrap/>
            <w:vAlign w:val="center"/>
            <w:hideMark/>
          </w:tcPr>
          <w:p w14:paraId="4933F1DF" w14:textId="77777777" w:rsidR="00397AC4" w:rsidRPr="00CA5237" w:rsidRDefault="00397AC4" w:rsidP="00397AC4">
            <w:pPr>
              <w:jc w:val="center"/>
              <w:rPr>
                <w:rFonts w:ascii="Arial" w:hAnsi="Arial" w:cs="Arial"/>
                <w:color w:val="000000"/>
                <w:sz w:val="22"/>
                <w:szCs w:val="22"/>
                <w:lang w:eastAsia="en-GB"/>
              </w:rPr>
            </w:pPr>
            <w:r w:rsidRPr="00CA5237">
              <w:rPr>
                <w:rFonts w:ascii="Arial" w:hAnsi="Arial" w:cs="Arial"/>
                <w:color w:val="000000"/>
                <w:sz w:val="22"/>
                <w:szCs w:val="22"/>
                <w:lang w:eastAsia="en-GB"/>
              </w:rPr>
              <w:t>80%</w:t>
            </w:r>
          </w:p>
        </w:tc>
        <w:tc>
          <w:tcPr>
            <w:tcW w:w="1580" w:type="dxa"/>
            <w:vMerge/>
            <w:tcBorders>
              <w:top w:val="nil"/>
              <w:left w:val="single" w:sz="8" w:space="0" w:color="auto"/>
              <w:bottom w:val="single" w:sz="8" w:space="0" w:color="000000"/>
              <w:right w:val="single" w:sz="8" w:space="0" w:color="auto"/>
            </w:tcBorders>
            <w:vAlign w:val="center"/>
            <w:hideMark/>
          </w:tcPr>
          <w:p w14:paraId="68D2DBAA" w14:textId="77777777" w:rsidR="00397AC4" w:rsidRPr="00CA5237" w:rsidRDefault="00397AC4" w:rsidP="00397AC4">
            <w:pPr>
              <w:rPr>
                <w:rFonts w:ascii="Arial" w:hAnsi="Arial" w:cs="Arial"/>
                <w:color w:val="000000"/>
                <w:sz w:val="22"/>
                <w:szCs w:val="22"/>
                <w:lang w:eastAsia="en-GB"/>
              </w:rPr>
            </w:pPr>
          </w:p>
        </w:tc>
        <w:tc>
          <w:tcPr>
            <w:tcW w:w="1620" w:type="dxa"/>
            <w:vMerge/>
            <w:tcBorders>
              <w:top w:val="nil"/>
              <w:left w:val="single" w:sz="8" w:space="0" w:color="auto"/>
              <w:bottom w:val="single" w:sz="8" w:space="0" w:color="000000"/>
              <w:right w:val="single" w:sz="8" w:space="0" w:color="auto"/>
            </w:tcBorders>
            <w:vAlign w:val="center"/>
            <w:hideMark/>
          </w:tcPr>
          <w:p w14:paraId="7C41F8EC" w14:textId="77777777" w:rsidR="00397AC4" w:rsidRPr="00CA5237" w:rsidRDefault="00397AC4" w:rsidP="00397AC4">
            <w:pPr>
              <w:rPr>
                <w:rFonts w:ascii="Arial" w:hAnsi="Arial" w:cs="Arial"/>
                <w:color w:val="000000"/>
                <w:sz w:val="22"/>
                <w:szCs w:val="22"/>
                <w:lang w:eastAsia="en-GB"/>
              </w:rPr>
            </w:pPr>
          </w:p>
        </w:tc>
      </w:tr>
      <w:tr w:rsidR="00397AC4" w:rsidRPr="00CA5237" w14:paraId="1E8FFB00" w14:textId="77777777" w:rsidTr="00397AC4">
        <w:trPr>
          <w:trHeight w:val="300"/>
        </w:trPr>
        <w:tc>
          <w:tcPr>
            <w:tcW w:w="1060" w:type="dxa"/>
            <w:tcBorders>
              <w:top w:val="single" w:sz="8" w:space="0" w:color="auto"/>
              <w:left w:val="single" w:sz="8" w:space="0" w:color="auto"/>
              <w:bottom w:val="nil"/>
              <w:right w:val="nil"/>
            </w:tcBorders>
            <w:shd w:val="clear" w:color="auto" w:fill="auto"/>
            <w:noWrap/>
            <w:vAlign w:val="center"/>
            <w:hideMark/>
          </w:tcPr>
          <w:p w14:paraId="74F8AF6B" w14:textId="77777777" w:rsidR="00397AC4" w:rsidRPr="00CA5237" w:rsidRDefault="00397AC4" w:rsidP="00397AC4">
            <w:pPr>
              <w:rPr>
                <w:rFonts w:ascii="Arial" w:hAnsi="Arial" w:cs="Arial"/>
                <w:color w:val="000000"/>
                <w:sz w:val="22"/>
                <w:szCs w:val="22"/>
                <w:lang w:eastAsia="en-GB"/>
              </w:rPr>
            </w:pPr>
            <w:r w:rsidRPr="00CA5237">
              <w:rPr>
                <w:rFonts w:ascii="Arial" w:hAnsi="Arial" w:cs="Arial"/>
                <w:color w:val="000000"/>
                <w:sz w:val="22"/>
                <w:szCs w:val="22"/>
                <w:lang w:eastAsia="en-GB"/>
              </w:rPr>
              <w:t>Oct-22</w:t>
            </w:r>
          </w:p>
        </w:tc>
        <w:tc>
          <w:tcPr>
            <w:tcW w:w="1680" w:type="dxa"/>
            <w:tcBorders>
              <w:top w:val="single" w:sz="8" w:space="0" w:color="auto"/>
              <w:left w:val="single" w:sz="8" w:space="0" w:color="auto"/>
              <w:bottom w:val="nil"/>
              <w:right w:val="single" w:sz="8" w:space="0" w:color="auto"/>
            </w:tcBorders>
            <w:shd w:val="clear" w:color="auto" w:fill="auto"/>
            <w:noWrap/>
            <w:vAlign w:val="center"/>
            <w:hideMark/>
          </w:tcPr>
          <w:p w14:paraId="036E8D04" w14:textId="77777777" w:rsidR="00397AC4" w:rsidRPr="00CA5237" w:rsidRDefault="00397AC4" w:rsidP="00397AC4">
            <w:pPr>
              <w:jc w:val="center"/>
              <w:rPr>
                <w:rFonts w:ascii="Arial" w:hAnsi="Arial" w:cs="Arial"/>
                <w:color w:val="000000"/>
                <w:sz w:val="22"/>
                <w:szCs w:val="22"/>
                <w:lang w:eastAsia="en-GB"/>
              </w:rPr>
            </w:pPr>
            <w:r w:rsidRPr="00CA5237">
              <w:rPr>
                <w:rFonts w:ascii="Arial" w:hAnsi="Arial" w:cs="Arial"/>
                <w:color w:val="000000"/>
                <w:sz w:val="22"/>
                <w:szCs w:val="22"/>
                <w:lang w:eastAsia="en-GB"/>
              </w:rPr>
              <w:t>75%</w:t>
            </w:r>
          </w:p>
        </w:tc>
        <w:tc>
          <w:tcPr>
            <w:tcW w:w="1580" w:type="dxa"/>
            <w:vMerge w:val="restart"/>
            <w:tcBorders>
              <w:top w:val="nil"/>
              <w:left w:val="single" w:sz="8" w:space="0" w:color="auto"/>
              <w:bottom w:val="single" w:sz="8" w:space="0" w:color="000000"/>
              <w:right w:val="single" w:sz="8" w:space="0" w:color="auto"/>
            </w:tcBorders>
            <w:shd w:val="clear" w:color="auto" w:fill="auto"/>
            <w:vAlign w:val="center"/>
            <w:hideMark/>
          </w:tcPr>
          <w:p w14:paraId="432490B8" w14:textId="77777777" w:rsidR="00397AC4" w:rsidRPr="00CA5237" w:rsidRDefault="00397AC4" w:rsidP="00397AC4">
            <w:pPr>
              <w:jc w:val="center"/>
              <w:rPr>
                <w:rFonts w:ascii="Arial" w:hAnsi="Arial" w:cs="Arial"/>
                <w:color w:val="000000"/>
                <w:sz w:val="22"/>
                <w:szCs w:val="22"/>
                <w:lang w:eastAsia="en-GB"/>
              </w:rPr>
            </w:pPr>
            <w:r w:rsidRPr="00CA5237">
              <w:rPr>
                <w:rFonts w:ascii="Arial" w:hAnsi="Arial" w:cs="Arial"/>
                <w:color w:val="000000"/>
                <w:sz w:val="22"/>
                <w:szCs w:val="22"/>
                <w:lang w:eastAsia="en-GB"/>
              </w:rPr>
              <w:t>Q3</w:t>
            </w:r>
          </w:p>
        </w:tc>
        <w:tc>
          <w:tcPr>
            <w:tcW w:w="162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CD0BA82" w14:textId="77777777" w:rsidR="00397AC4" w:rsidRPr="00CA5237" w:rsidRDefault="00397AC4" w:rsidP="00397AC4">
            <w:pPr>
              <w:jc w:val="center"/>
              <w:rPr>
                <w:rFonts w:ascii="Arial" w:hAnsi="Arial" w:cs="Arial"/>
                <w:color w:val="000000"/>
                <w:sz w:val="22"/>
                <w:szCs w:val="22"/>
                <w:lang w:eastAsia="en-GB"/>
              </w:rPr>
            </w:pPr>
            <w:r w:rsidRPr="00CA5237">
              <w:rPr>
                <w:rFonts w:ascii="Arial" w:hAnsi="Arial" w:cs="Arial"/>
                <w:color w:val="000000"/>
                <w:sz w:val="22"/>
                <w:szCs w:val="22"/>
                <w:lang w:eastAsia="en-GB"/>
              </w:rPr>
              <w:t>73.33%</w:t>
            </w:r>
          </w:p>
        </w:tc>
      </w:tr>
      <w:tr w:rsidR="00397AC4" w:rsidRPr="00CA5237" w14:paraId="75B5B85F" w14:textId="77777777" w:rsidTr="00397AC4">
        <w:trPr>
          <w:trHeight w:val="300"/>
        </w:trPr>
        <w:tc>
          <w:tcPr>
            <w:tcW w:w="1060" w:type="dxa"/>
            <w:tcBorders>
              <w:top w:val="nil"/>
              <w:left w:val="single" w:sz="8" w:space="0" w:color="auto"/>
              <w:bottom w:val="nil"/>
              <w:right w:val="nil"/>
            </w:tcBorders>
            <w:shd w:val="clear" w:color="auto" w:fill="auto"/>
            <w:noWrap/>
            <w:vAlign w:val="center"/>
            <w:hideMark/>
          </w:tcPr>
          <w:p w14:paraId="149CE686" w14:textId="77777777" w:rsidR="00397AC4" w:rsidRPr="00CA5237" w:rsidRDefault="00397AC4" w:rsidP="00397AC4">
            <w:pPr>
              <w:rPr>
                <w:rFonts w:ascii="Arial" w:hAnsi="Arial" w:cs="Arial"/>
                <w:color w:val="000000"/>
                <w:sz w:val="22"/>
                <w:szCs w:val="22"/>
                <w:lang w:eastAsia="en-GB"/>
              </w:rPr>
            </w:pPr>
            <w:r w:rsidRPr="00CA5237">
              <w:rPr>
                <w:rFonts w:ascii="Arial" w:hAnsi="Arial" w:cs="Arial"/>
                <w:color w:val="000000"/>
                <w:sz w:val="22"/>
                <w:szCs w:val="22"/>
                <w:lang w:eastAsia="en-GB"/>
              </w:rPr>
              <w:t>Nov-22</w:t>
            </w:r>
          </w:p>
        </w:tc>
        <w:tc>
          <w:tcPr>
            <w:tcW w:w="1680" w:type="dxa"/>
            <w:tcBorders>
              <w:top w:val="nil"/>
              <w:left w:val="single" w:sz="8" w:space="0" w:color="auto"/>
              <w:bottom w:val="nil"/>
              <w:right w:val="single" w:sz="8" w:space="0" w:color="auto"/>
            </w:tcBorders>
            <w:shd w:val="clear" w:color="auto" w:fill="auto"/>
            <w:noWrap/>
            <w:vAlign w:val="center"/>
            <w:hideMark/>
          </w:tcPr>
          <w:p w14:paraId="62446D02" w14:textId="77777777" w:rsidR="00397AC4" w:rsidRPr="00CA5237" w:rsidRDefault="00397AC4" w:rsidP="00397AC4">
            <w:pPr>
              <w:jc w:val="center"/>
              <w:rPr>
                <w:rFonts w:ascii="Arial" w:hAnsi="Arial" w:cs="Arial"/>
                <w:color w:val="000000"/>
                <w:sz w:val="22"/>
                <w:szCs w:val="22"/>
                <w:lang w:eastAsia="en-GB"/>
              </w:rPr>
            </w:pPr>
            <w:r w:rsidRPr="00CA5237">
              <w:rPr>
                <w:rFonts w:ascii="Arial" w:hAnsi="Arial" w:cs="Arial"/>
                <w:color w:val="000000"/>
                <w:sz w:val="22"/>
                <w:szCs w:val="22"/>
                <w:lang w:eastAsia="en-GB"/>
              </w:rPr>
              <w:t>75%</w:t>
            </w:r>
          </w:p>
        </w:tc>
        <w:tc>
          <w:tcPr>
            <w:tcW w:w="1580" w:type="dxa"/>
            <w:vMerge/>
            <w:tcBorders>
              <w:top w:val="nil"/>
              <w:left w:val="single" w:sz="8" w:space="0" w:color="auto"/>
              <w:bottom w:val="single" w:sz="8" w:space="0" w:color="000000"/>
              <w:right w:val="single" w:sz="8" w:space="0" w:color="auto"/>
            </w:tcBorders>
            <w:vAlign w:val="center"/>
            <w:hideMark/>
          </w:tcPr>
          <w:p w14:paraId="7616C6C1" w14:textId="77777777" w:rsidR="00397AC4" w:rsidRPr="00CA5237" w:rsidRDefault="00397AC4" w:rsidP="00397AC4">
            <w:pPr>
              <w:rPr>
                <w:rFonts w:ascii="Arial" w:hAnsi="Arial" w:cs="Arial"/>
                <w:color w:val="000000"/>
                <w:sz w:val="22"/>
                <w:szCs w:val="22"/>
                <w:lang w:eastAsia="en-GB"/>
              </w:rPr>
            </w:pPr>
          </w:p>
        </w:tc>
        <w:tc>
          <w:tcPr>
            <w:tcW w:w="1620" w:type="dxa"/>
            <w:vMerge/>
            <w:tcBorders>
              <w:top w:val="nil"/>
              <w:left w:val="single" w:sz="8" w:space="0" w:color="auto"/>
              <w:bottom w:val="single" w:sz="8" w:space="0" w:color="000000"/>
              <w:right w:val="single" w:sz="8" w:space="0" w:color="auto"/>
            </w:tcBorders>
            <w:vAlign w:val="center"/>
            <w:hideMark/>
          </w:tcPr>
          <w:p w14:paraId="62D3E2EE" w14:textId="77777777" w:rsidR="00397AC4" w:rsidRPr="00CA5237" w:rsidRDefault="00397AC4" w:rsidP="00397AC4">
            <w:pPr>
              <w:rPr>
                <w:rFonts w:ascii="Arial" w:hAnsi="Arial" w:cs="Arial"/>
                <w:color w:val="000000"/>
                <w:sz w:val="22"/>
                <w:szCs w:val="22"/>
                <w:lang w:eastAsia="en-GB"/>
              </w:rPr>
            </w:pPr>
          </w:p>
        </w:tc>
      </w:tr>
      <w:tr w:rsidR="00397AC4" w:rsidRPr="00CA5237" w14:paraId="4DB1A223" w14:textId="77777777" w:rsidTr="00397AC4">
        <w:trPr>
          <w:trHeight w:val="315"/>
        </w:trPr>
        <w:tc>
          <w:tcPr>
            <w:tcW w:w="1060" w:type="dxa"/>
            <w:tcBorders>
              <w:top w:val="nil"/>
              <w:left w:val="single" w:sz="8" w:space="0" w:color="auto"/>
              <w:bottom w:val="single" w:sz="8" w:space="0" w:color="auto"/>
              <w:right w:val="nil"/>
            </w:tcBorders>
            <w:shd w:val="clear" w:color="auto" w:fill="auto"/>
            <w:noWrap/>
            <w:vAlign w:val="center"/>
            <w:hideMark/>
          </w:tcPr>
          <w:p w14:paraId="576F14A3" w14:textId="77777777" w:rsidR="00397AC4" w:rsidRPr="00CA5237" w:rsidRDefault="00397AC4" w:rsidP="00397AC4">
            <w:pPr>
              <w:rPr>
                <w:rFonts w:ascii="Arial" w:hAnsi="Arial" w:cs="Arial"/>
                <w:color w:val="000000"/>
                <w:sz w:val="22"/>
                <w:szCs w:val="22"/>
                <w:lang w:eastAsia="en-GB"/>
              </w:rPr>
            </w:pPr>
            <w:r w:rsidRPr="00CA5237">
              <w:rPr>
                <w:rFonts w:ascii="Arial" w:hAnsi="Arial" w:cs="Arial"/>
                <w:color w:val="000000"/>
                <w:sz w:val="22"/>
                <w:szCs w:val="22"/>
                <w:lang w:eastAsia="en-GB"/>
              </w:rPr>
              <w:t>Dec-22</w:t>
            </w:r>
          </w:p>
        </w:tc>
        <w:tc>
          <w:tcPr>
            <w:tcW w:w="1680" w:type="dxa"/>
            <w:tcBorders>
              <w:top w:val="nil"/>
              <w:left w:val="single" w:sz="8" w:space="0" w:color="auto"/>
              <w:bottom w:val="single" w:sz="8" w:space="0" w:color="auto"/>
              <w:right w:val="single" w:sz="8" w:space="0" w:color="auto"/>
            </w:tcBorders>
            <w:shd w:val="clear" w:color="auto" w:fill="auto"/>
            <w:noWrap/>
            <w:vAlign w:val="center"/>
            <w:hideMark/>
          </w:tcPr>
          <w:p w14:paraId="5B77A26E" w14:textId="77777777" w:rsidR="00397AC4" w:rsidRPr="00CA5237" w:rsidRDefault="00397AC4" w:rsidP="00397AC4">
            <w:pPr>
              <w:jc w:val="center"/>
              <w:rPr>
                <w:rFonts w:ascii="Arial" w:hAnsi="Arial" w:cs="Arial"/>
                <w:color w:val="000000"/>
                <w:sz w:val="22"/>
                <w:szCs w:val="22"/>
                <w:lang w:eastAsia="en-GB"/>
              </w:rPr>
            </w:pPr>
            <w:r w:rsidRPr="00CA5237">
              <w:rPr>
                <w:rFonts w:ascii="Arial" w:hAnsi="Arial" w:cs="Arial"/>
                <w:color w:val="000000"/>
                <w:sz w:val="22"/>
                <w:szCs w:val="22"/>
                <w:lang w:eastAsia="en-GB"/>
              </w:rPr>
              <w:t>70%</w:t>
            </w:r>
          </w:p>
        </w:tc>
        <w:tc>
          <w:tcPr>
            <w:tcW w:w="1580" w:type="dxa"/>
            <w:vMerge/>
            <w:tcBorders>
              <w:top w:val="nil"/>
              <w:left w:val="single" w:sz="8" w:space="0" w:color="auto"/>
              <w:bottom w:val="single" w:sz="8" w:space="0" w:color="000000"/>
              <w:right w:val="single" w:sz="8" w:space="0" w:color="auto"/>
            </w:tcBorders>
            <w:vAlign w:val="center"/>
            <w:hideMark/>
          </w:tcPr>
          <w:p w14:paraId="179F4169" w14:textId="77777777" w:rsidR="00397AC4" w:rsidRPr="00CA5237" w:rsidRDefault="00397AC4" w:rsidP="00397AC4">
            <w:pPr>
              <w:rPr>
                <w:rFonts w:ascii="Arial" w:hAnsi="Arial" w:cs="Arial"/>
                <w:color w:val="000000"/>
                <w:sz w:val="22"/>
                <w:szCs w:val="22"/>
                <w:lang w:eastAsia="en-GB"/>
              </w:rPr>
            </w:pPr>
          </w:p>
        </w:tc>
        <w:tc>
          <w:tcPr>
            <w:tcW w:w="1620" w:type="dxa"/>
            <w:vMerge/>
            <w:tcBorders>
              <w:top w:val="nil"/>
              <w:left w:val="single" w:sz="8" w:space="0" w:color="auto"/>
              <w:bottom w:val="single" w:sz="8" w:space="0" w:color="000000"/>
              <w:right w:val="single" w:sz="8" w:space="0" w:color="auto"/>
            </w:tcBorders>
            <w:vAlign w:val="center"/>
            <w:hideMark/>
          </w:tcPr>
          <w:p w14:paraId="539D1EC1" w14:textId="77777777" w:rsidR="00397AC4" w:rsidRPr="00CA5237" w:rsidRDefault="00397AC4" w:rsidP="00397AC4">
            <w:pPr>
              <w:rPr>
                <w:rFonts w:ascii="Arial" w:hAnsi="Arial" w:cs="Arial"/>
                <w:color w:val="000000"/>
                <w:sz w:val="22"/>
                <w:szCs w:val="22"/>
                <w:lang w:eastAsia="en-GB"/>
              </w:rPr>
            </w:pPr>
          </w:p>
        </w:tc>
      </w:tr>
      <w:tr w:rsidR="00397AC4" w:rsidRPr="00CA5237" w14:paraId="0CA31928" w14:textId="77777777" w:rsidTr="00397AC4">
        <w:trPr>
          <w:trHeight w:val="300"/>
        </w:trPr>
        <w:tc>
          <w:tcPr>
            <w:tcW w:w="1060" w:type="dxa"/>
            <w:tcBorders>
              <w:top w:val="nil"/>
              <w:left w:val="single" w:sz="8" w:space="0" w:color="auto"/>
              <w:bottom w:val="nil"/>
              <w:right w:val="nil"/>
            </w:tcBorders>
            <w:shd w:val="clear" w:color="auto" w:fill="auto"/>
            <w:noWrap/>
            <w:vAlign w:val="center"/>
            <w:hideMark/>
          </w:tcPr>
          <w:p w14:paraId="32A5F241" w14:textId="77777777" w:rsidR="00397AC4" w:rsidRPr="00CA5237" w:rsidRDefault="00397AC4" w:rsidP="00397AC4">
            <w:pPr>
              <w:rPr>
                <w:rFonts w:ascii="Arial" w:hAnsi="Arial" w:cs="Arial"/>
                <w:color w:val="000000"/>
                <w:sz w:val="22"/>
                <w:szCs w:val="22"/>
                <w:lang w:eastAsia="en-GB"/>
              </w:rPr>
            </w:pPr>
            <w:r w:rsidRPr="00CA5237">
              <w:rPr>
                <w:rFonts w:ascii="Arial" w:hAnsi="Arial" w:cs="Arial"/>
                <w:color w:val="000000"/>
                <w:sz w:val="22"/>
                <w:szCs w:val="22"/>
                <w:lang w:eastAsia="en-GB"/>
              </w:rPr>
              <w:t>Jan-23</w:t>
            </w:r>
          </w:p>
        </w:tc>
        <w:tc>
          <w:tcPr>
            <w:tcW w:w="1680" w:type="dxa"/>
            <w:tcBorders>
              <w:top w:val="nil"/>
              <w:left w:val="single" w:sz="8" w:space="0" w:color="auto"/>
              <w:bottom w:val="nil"/>
              <w:right w:val="single" w:sz="8" w:space="0" w:color="auto"/>
            </w:tcBorders>
            <w:shd w:val="clear" w:color="auto" w:fill="auto"/>
            <w:noWrap/>
            <w:vAlign w:val="center"/>
            <w:hideMark/>
          </w:tcPr>
          <w:p w14:paraId="234B83C7" w14:textId="77777777" w:rsidR="00397AC4" w:rsidRPr="00CA5237" w:rsidRDefault="00397AC4" w:rsidP="00397AC4">
            <w:pPr>
              <w:jc w:val="center"/>
              <w:rPr>
                <w:rFonts w:ascii="Arial" w:hAnsi="Arial" w:cs="Arial"/>
                <w:color w:val="000000"/>
                <w:sz w:val="22"/>
                <w:szCs w:val="22"/>
                <w:lang w:eastAsia="en-GB"/>
              </w:rPr>
            </w:pPr>
            <w:r w:rsidRPr="00CA5237">
              <w:rPr>
                <w:rFonts w:ascii="Arial" w:hAnsi="Arial" w:cs="Arial"/>
                <w:color w:val="000000"/>
                <w:sz w:val="22"/>
                <w:szCs w:val="22"/>
                <w:lang w:eastAsia="en-GB"/>
              </w:rPr>
              <w:t>70%</w:t>
            </w:r>
          </w:p>
        </w:tc>
        <w:tc>
          <w:tcPr>
            <w:tcW w:w="1580" w:type="dxa"/>
            <w:vMerge w:val="restart"/>
            <w:tcBorders>
              <w:top w:val="nil"/>
              <w:left w:val="single" w:sz="8" w:space="0" w:color="auto"/>
              <w:bottom w:val="single" w:sz="8" w:space="0" w:color="000000"/>
              <w:right w:val="single" w:sz="8" w:space="0" w:color="auto"/>
            </w:tcBorders>
            <w:shd w:val="clear" w:color="auto" w:fill="auto"/>
            <w:vAlign w:val="center"/>
            <w:hideMark/>
          </w:tcPr>
          <w:p w14:paraId="230B2CCE" w14:textId="77777777" w:rsidR="00397AC4" w:rsidRPr="00CA5237" w:rsidRDefault="00397AC4" w:rsidP="00397AC4">
            <w:pPr>
              <w:jc w:val="center"/>
              <w:rPr>
                <w:rFonts w:ascii="Arial" w:hAnsi="Arial" w:cs="Arial"/>
                <w:color w:val="000000"/>
                <w:sz w:val="22"/>
                <w:szCs w:val="22"/>
                <w:lang w:eastAsia="en-GB"/>
              </w:rPr>
            </w:pPr>
            <w:r w:rsidRPr="00CA5237">
              <w:rPr>
                <w:rFonts w:ascii="Arial" w:hAnsi="Arial" w:cs="Arial"/>
                <w:color w:val="000000"/>
                <w:sz w:val="22"/>
                <w:szCs w:val="22"/>
                <w:lang w:eastAsia="en-GB"/>
              </w:rPr>
              <w:t>Q4</w:t>
            </w:r>
          </w:p>
        </w:tc>
        <w:tc>
          <w:tcPr>
            <w:tcW w:w="162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EC2A78F" w14:textId="77777777" w:rsidR="00397AC4" w:rsidRPr="00CA5237" w:rsidRDefault="00397AC4" w:rsidP="00397AC4">
            <w:pPr>
              <w:jc w:val="center"/>
              <w:rPr>
                <w:rFonts w:ascii="Arial" w:hAnsi="Arial" w:cs="Arial"/>
                <w:color w:val="000000"/>
                <w:sz w:val="22"/>
                <w:szCs w:val="22"/>
                <w:lang w:eastAsia="en-GB"/>
              </w:rPr>
            </w:pPr>
            <w:r w:rsidRPr="00CA5237">
              <w:rPr>
                <w:rFonts w:ascii="Arial" w:hAnsi="Arial" w:cs="Arial"/>
                <w:color w:val="000000"/>
                <w:sz w:val="22"/>
                <w:szCs w:val="22"/>
                <w:lang w:eastAsia="en-GB"/>
              </w:rPr>
              <w:t>66.67%</w:t>
            </w:r>
          </w:p>
        </w:tc>
      </w:tr>
      <w:tr w:rsidR="00397AC4" w:rsidRPr="00CA5237" w14:paraId="5CF5B97A" w14:textId="77777777" w:rsidTr="00397AC4">
        <w:trPr>
          <w:trHeight w:val="300"/>
        </w:trPr>
        <w:tc>
          <w:tcPr>
            <w:tcW w:w="1060" w:type="dxa"/>
            <w:tcBorders>
              <w:top w:val="nil"/>
              <w:left w:val="single" w:sz="8" w:space="0" w:color="auto"/>
              <w:bottom w:val="nil"/>
              <w:right w:val="nil"/>
            </w:tcBorders>
            <w:shd w:val="clear" w:color="auto" w:fill="auto"/>
            <w:noWrap/>
            <w:vAlign w:val="center"/>
            <w:hideMark/>
          </w:tcPr>
          <w:p w14:paraId="6808BEEA" w14:textId="77777777" w:rsidR="00397AC4" w:rsidRPr="00CA5237" w:rsidRDefault="00397AC4" w:rsidP="00397AC4">
            <w:pPr>
              <w:rPr>
                <w:rFonts w:ascii="Arial" w:hAnsi="Arial" w:cs="Arial"/>
                <w:color w:val="000000"/>
                <w:sz w:val="22"/>
                <w:szCs w:val="22"/>
                <w:lang w:eastAsia="en-GB"/>
              </w:rPr>
            </w:pPr>
            <w:r w:rsidRPr="00CA5237">
              <w:rPr>
                <w:rFonts w:ascii="Arial" w:hAnsi="Arial" w:cs="Arial"/>
                <w:color w:val="000000"/>
                <w:sz w:val="22"/>
                <w:szCs w:val="22"/>
                <w:lang w:eastAsia="en-GB"/>
              </w:rPr>
              <w:t>Feb-23</w:t>
            </w:r>
          </w:p>
        </w:tc>
        <w:tc>
          <w:tcPr>
            <w:tcW w:w="1680" w:type="dxa"/>
            <w:tcBorders>
              <w:top w:val="nil"/>
              <w:left w:val="single" w:sz="8" w:space="0" w:color="auto"/>
              <w:bottom w:val="nil"/>
              <w:right w:val="single" w:sz="8" w:space="0" w:color="auto"/>
            </w:tcBorders>
            <w:shd w:val="clear" w:color="auto" w:fill="auto"/>
            <w:noWrap/>
            <w:vAlign w:val="center"/>
            <w:hideMark/>
          </w:tcPr>
          <w:p w14:paraId="3290F75E" w14:textId="77777777" w:rsidR="00397AC4" w:rsidRPr="00CA5237" w:rsidRDefault="00397AC4" w:rsidP="00397AC4">
            <w:pPr>
              <w:jc w:val="center"/>
              <w:rPr>
                <w:rFonts w:ascii="Arial" w:hAnsi="Arial" w:cs="Arial"/>
                <w:color w:val="000000"/>
                <w:sz w:val="22"/>
                <w:szCs w:val="22"/>
                <w:lang w:eastAsia="en-GB"/>
              </w:rPr>
            </w:pPr>
            <w:r w:rsidRPr="00CA5237">
              <w:rPr>
                <w:rFonts w:ascii="Arial" w:hAnsi="Arial" w:cs="Arial"/>
                <w:color w:val="000000"/>
                <w:sz w:val="22"/>
                <w:szCs w:val="22"/>
                <w:lang w:eastAsia="en-GB"/>
              </w:rPr>
              <w:t>65%</w:t>
            </w:r>
          </w:p>
        </w:tc>
        <w:tc>
          <w:tcPr>
            <w:tcW w:w="1580" w:type="dxa"/>
            <w:vMerge/>
            <w:tcBorders>
              <w:top w:val="nil"/>
              <w:left w:val="single" w:sz="8" w:space="0" w:color="auto"/>
              <w:bottom w:val="single" w:sz="8" w:space="0" w:color="000000"/>
              <w:right w:val="single" w:sz="8" w:space="0" w:color="auto"/>
            </w:tcBorders>
            <w:vAlign w:val="center"/>
            <w:hideMark/>
          </w:tcPr>
          <w:p w14:paraId="7E6E9B40" w14:textId="77777777" w:rsidR="00397AC4" w:rsidRPr="00CA5237" w:rsidRDefault="00397AC4" w:rsidP="00397AC4">
            <w:pPr>
              <w:rPr>
                <w:rFonts w:ascii="Arial" w:hAnsi="Arial" w:cs="Arial"/>
                <w:color w:val="000000"/>
                <w:sz w:val="22"/>
                <w:szCs w:val="22"/>
                <w:lang w:eastAsia="en-GB"/>
              </w:rPr>
            </w:pPr>
          </w:p>
        </w:tc>
        <w:tc>
          <w:tcPr>
            <w:tcW w:w="1620" w:type="dxa"/>
            <w:vMerge/>
            <w:tcBorders>
              <w:top w:val="nil"/>
              <w:left w:val="single" w:sz="8" w:space="0" w:color="auto"/>
              <w:bottom w:val="single" w:sz="8" w:space="0" w:color="000000"/>
              <w:right w:val="single" w:sz="8" w:space="0" w:color="auto"/>
            </w:tcBorders>
            <w:vAlign w:val="center"/>
            <w:hideMark/>
          </w:tcPr>
          <w:p w14:paraId="7446D8BD" w14:textId="77777777" w:rsidR="00397AC4" w:rsidRPr="00CA5237" w:rsidRDefault="00397AC4" w:rsidP="00397AC4">
            <w:pPr>
              <w:rPr>
                <w:rFonts w:ascii="Arial" w:hAnsi="Arial" w:cs="Arial"/>
                <w:color w:val="000000"/>
                <w:sz w:val="22"/>
                <w:szCs w:val="22"/>
                <w:lang w:eastAsia="en-GB"/>
              </w:rPr>
            </w:pPr>
          </w:p>
        </w:tc>
      </w:tr>
      <w:tr w:rsidR="00397AC4" w:rsidRPr="00CA5237" w14:paraId="570D44AD" w14:textId="77777777" w:rsidTr="00397AC4">
        <w:trPr>
          <w:trHeight w:val="315"/>
        </w:trPr>
        <w:tc>
          <w:tcPr>
            <w:tcW w:w="1060" w:type="dxa"/>
            <w:tcBorders>
              <w:top w:val="nil"/>
              <w:left w:val="single" w:sz="8" w:space="0" w:color="auto"/>
              <w:bottom w:val="single" w:sz="8" w:space="0" w:color="auto"/>
              <w:right w:val="nil"/>
            </w:tcBorders>
            <w:shd w:val="clear" w:color="auto" w:fill="auto"/>
            <w:noWrap/>
            <w:vAlign w:val="center"/>
            <w:hideMark/>
          </w:tcPr>
          <w:p w14:paraId="59D97009" w14:textId="77777777" w:rsidR="00397AC4" w:rsidRPr="00CA5237" w:rsidRDefault="00397AC4" w:rsidP="00397AC4">
            <w:pPr>
              <w:rPr>
                <w:rFonts w:ascii="Arial" w:hAnsi="Arial" w:cs="Arial"/>
                <w:color w:val="000000"/>
                <w:sz w:val="22"/>
                <w:szCs w:val="22"/>
                <w:lang w:eastAsia="en-GB"/>
              </w:rPr>
            </w:pPr>
            <w:r w:rsidRPr="00CA5237">
              <w:rPr>
                <w:rFonts w:ascii="Arial" w:hAnsi="Arial" w:cs="Arial"/>
                <w:color w:val="000000"/>
                <w:sz w:val="22"/>
                <w:szCs w:val="22"/>
                <w:lang w:eastAsia="en-GB"/>
              </w:rPr>
              <w:t>Mar-23</w:t>
            </w:r>
          </w:p>
        </w:tc>
        <w:tc>
          <w:tcPr>
            <w:tcW w:w="1680" w:type="dxa"/>
            <w:tcBorders>
              <w:top w:val="nil"/>
              <w:left w:val="single" w:sz="8" w:space="0" w:color="auto"/>
              <w:bottom w:val="single" w:sz="8" w:space="0" w:color="auto"/>
              <w:right w:val="single" w:sz="8" w:space="0" w:color="auto"/>
            </w:tcBorders>
            <w:shd w:val="clear" w:color="auto" w:fill="auto"/>
            <w:noWrap/>
            <w:vAlign w:val="center"/>
            <w:hideMark/>
          </w:tcPr>
          <w:p w14:paraId="05ABE6A2" w14:textId="77777777" w:rsidR="00397AC4" w:rsidRPr="00CA5237" w:rsidRDefault="00397AC4" w:rsidP="00397AC4">
            <w:pPr>
              <w:jc w:val="center"/>
              <w:rPr>
                <w:rFonts w:ascii="Arial" w:hAnsi="Arial" w:cs="Arial"/>
                <w:color w:val="000000"/>
                <w:sz w:val="22"/>
                <w:szCs w:val="22"/>
                <w:lang w:eastAsia="en-GB"/>
              </w:rPr>
            </w:pPr>
            <w:r w:rsidRPr="00CA5237">
              <w:rPr>
                <w:rFonts w:ascii="Arial" w:hAnsi="Arial" w:cs="Arial"/>
                <w:color w:val="000000"/>
                <w:sz w:val="22"/>
                <w:szCs w:val="22"/>
                <w:lang w:eastAsia="en-GB"/>
              </w:rPr>
              <w:t>65%</w:t>
            </w:r>
          </w:p>
        </w:tc>
        <w:tc>
          <w:tcPr>
            <w:tcW w:w="1580" w:type="dxa"/>
            <w:vMerge/>
            <w:tcBorders>
              <w:top w:val="nil"/>
              <w:left w:val="single" w:sz="8" w:space="0" w:color="auto"/>
              <w:bottom w:val="single" w:sz="8" w:space="0" w:color="000000"/>
              <w:right w:val="single" w:sz="8" w:space="0" w:color="auto"/>
            </w:tcBorders>
            <w:vAlign w:val="center"/>
            <w:hideMark/>
          </w:tcPr>
          <w:p w14:paraId="2EBB94C4" w14:textId="77777777" w:rsidR="00397AC4" w:rsidRPr="00CA5237" w:rsidRDefault="00397AC4" w:rsidP="00397AC4">
            <w:pPr>
              <w:rPr>
                <w:rFonts w:ascii="Arial" w:hAnsi="Arial" w:cs="Arial"/>
                <w:color w:val="000000"/>
                <w:sz w:val="22"/>
                <w:szCs w:val="22"/>
                <w:lang w:eastAsia="en-GB"/>
              </w:rPr>
            </w:pPr>
          </w:p>
        </w:tc>
        <w:tc>
          <w:tcPr>
            <w:tcW w:w="1620" w:type="dxa"/>
            <w:vMerge/>
            <w:tcBorders>
              <w:top w:val="nil"/>
              <w:left w:val="single" w:sz="8" w:space="0" w:color="auto"/>
              <w:bottom w:val="single" w:sz="8" w:space="0" w:color="000000"/>
              <w:right w:val="single" w:sz="8" w:space="0" w:color="auto"/>
            </w:tcBorders>
            <w:vAlign w:val="center"/>
            <w:hideMark/>
          </w:tcPr>
          <w:p w14:paraId="6D46FAB8" w14:textId="77777777" w:rsidR="00397AC4" w:rsidRPr="00CA5237" w:rsidRDefault="00397AC4" w:rsidP="00397AC4">
            <w:pPr>
              <w:rPr>
                <w:rFonts w:ascii="Arial" w:hAnsi="Arial" w:cs="Arial"/>
                <w:color w:val="000000"/>
                <w:sz w:val="22"/>
                <w:szCs w:val="22"/>
                <w:lang w:eastAsia="en-GB"/>
              </w:rPr>
            </w:pPr>
          </w:p>
        </w:tc>
      </w:tr>
    </w:tbl>
    <w:p w14:paraId="40ADB057" w14:textId="77777777" w:rsidR="00397AC4" w:rsidRPr="00CA5237" w:rsidRDefault="00397AC4" w:rsidP="00DA43D8">
      <w:pPr>
        <w:rPr>
          <w:rFonts w:ascii="Arial" w:hAnsi="Arial" w:cs="Arial"/>
          <w:sz w:val="22"/>
          <w:szCs w:val="22"/>
        </w:rPr>
      </w:pPr>
    </w:p>
    <w:p w14:paraId="56711629" w14:textId="4B6C0726" w:rsidR="0091051C" w:rsidRPr="00CA5237" w:rsidRDefault="0091051C" w:rsidP="00DA43D8">
      <w:pPr>
        <w:rPr>
          <w:rFonts w:ascii="Arial" w:hAnsi="Arial" w:cs="Arial"/>
          <w:sz w:val="22"/>
          <w:szCs w:val="22"/>
        </w:rPr>
      </w:pPr>
    </w:p>
    <w:p w14:paraId="0A5B17FF" w14:textId="77777777" w:rsidR="0091051C" w:rsidRPr="00CA5237" w:rsidRDefault="0091051C" w:rsidP="00DA43D8">
      <w:pPr>
        <w:rPr>
          <w:rFonts w:ascii="Arial" w:hAnsi="Arial" w:cs="Arial"/>
          <w:sz w:val="22"/>
          <w:szCs w:val="22"/>
        </w:rPr>
      </w:pPr>
    </w:p>
    <w:p w14:paraId="08DB43A0" w14:textId="3A81A149" w:rsidR="00EB2C24" w:rsidRPr="00CA5237" w:rsidRDefault="00382783" w:rsidP="00DA43D8">
      <w:pPr>
        <w:rPr>
          <w:rFonts w:ascii="Arial" w:hAnsi="Arial" w:cs="Arial"/>
          <w:sz w:val="22"/>
          <w:szCs w:val="22"/>
        </w:rPr>
      </w:pPr>
      <w:r w:rsidRPr="00CA5237">
        <w:rPr>
          <w:rFonts w:ascii="Arial" w:hAnsi="Arial" w:cs="Arial"/>
          <w:sz w:val="22"/>
          <w:szCs w:val="22"/>
        </w:rPr>
        <w:t xml:space="preserve">Further to the phased quarterly reduction, London Councils will continue to apply the service level offered on each of the quarterly period in comparison with the pre-covid service level. </w:t>
      </w:r>
      <w:r w:rsidR="00E301F4" w:rsidRPr="00CA5237">
        <w:rPr>
          <w:rFonts w:ascii="Arial" w:hAnsi="Arial" w:cs="Arial"/>
          <w:sz w:val="22"/>
          <w:szCs w:val="22"/>
        </w:rPr>
        <w:t>The proportion applied to the pre-Covid 19 reimbursement will be the lowest of the two; current service level and DFT scale (figures highlighted in yellow)</w:t>
      </w:r>
    </w:p>
    <w:p w14:paraId="1A153EAB" w14:textId="755EC444" w:rsidR="00E301F4" w:rsidRPr="00CA5237" w:rsidRDefault="00E301F4" w:rsidP="00DA43D8">
      <w:pPr>
        <w:rPr>
          <w:rFonts w:ascii="Arial" w:hAnsi="Arial" w:cs="Arial"/>
          <w:sz w:val="22"/>
          <w:szCs w:val="22"/>
        </w:rPr>
      </w:pPr>
      <w:r w:rsidRPr="00CA5237">
        <w:rPr>
          <w:rFonts w:ascii="Arial" w:hAnsi="Arial" w:cs="Arial"/>
          <w:sz w:val="22"/>
          <w:szCs w:val="22"/>
        </w:rPr>
        <w:t xml:space="preserve">However, if the actual is higher than the amount resulting from the figures in yellow, the max reimbursement will be paid </w:t>
      </w:r>
    </w:p>
    <w:p w14:paraId="6B8A6D14" w14:textId="388792ED" w:rsidR="003B42C7" w:rsidRPr="00CA5237" w:rsidRDefault="003B42C7" w:rsidP="00DA43D8">
      <w:pPr>
        <w:rPr>
          <w:rFonts w:ascii="Arial" w:hAnsi="Arial" w:cs="Arial"/>
          <w:sz w:val="22"/>
          <w:szCs w:val="22"/>
        </w:rPr>
      </w:pPr>
    </w:p>
    <w:p w14:paraId="441C4EE9" w14:textId="0D0C1F0F" w:rsidR="003B42C7" w:rsidRPr="00CA5237" w:rsidRDefault="003B42C7" w:rsidP="00DA43D8">
      <w:pPr>
        <w:rPr>
          <w:rFonts w:ascii="Arial" w:hAnsi="Arial" w:cs="Arial"/>
          <w:sz w:val="22"/>
          <w:szCs w:val="22"/>
        </w:rPr>
      </w:pPr>
    </w:p>
    <w:p w14:paraId="251030D5" w14:textId="266DB3DA" w:rsidR="002A50D3" w:rsidRDefault="002A50D3">
      <w:pPr>
        <w:rPr>
          <w:rFonts w:ascii="Arial" w:hAnsi="Arial" w:cs="Arial"/>
          <w:sz w:val="22"/>
          <w:szCs w:val="22"/>
        </w:rPr>
      </w:pPr>
      <w:r>
        <w:rPr>
          <w:rFonts w:ascii="Arial" w:hAnsi="Arial" w:cs="Arial"/>
          <w:sz w:val="22"/>
          <w:szCs w:val="22"/>
        </w:rPr>
        <w:br w:type="page"/>
      </w:r>
    </w:p>
    <w:p w14:paraId="5999667E" w14:textId="77777777" w:rsidR="003B42C7" w:rsidRPr="00CA5237" w:rsidRDefault="003B42C7" w:rsidP="00DA43D8">
      <w:pPr>
        <w:rPr>
          <w:rFonts w:ascii="Arial" w:hAnsi="Arial" w:cs="Arial"/>
          <w:sz w:val="22"/>
          <w:szCs w:val="22"/>
        </w:rPr>
      </w:pPr>
    </w:p>
    <w:tbl>
      <w:tblPr>
        <w:tblW w:w="9719" w:type="dxa"/>
        <w:tblLook w:val="04A0" w:firstRow="1" w:lastRow="0" w:firstColumn="1" w:lastColumn="0" w:noHBand="0" w:noVBand="1"/>
      </w:tblPr>
      <w:tblGrid>
        <w:gridCol w:w="2548"/>
        <w:gridCol w:w="1136"/>
        <w:gridCol w:w="1268"/>
        <w:gridCol w:w="1060"/>
        <w:gridCol w:w="963"/>
        <w:gridCol w:w="963"/>
        <w:gridCol w:w="963"/>
        <w:gridCol w:w="1060"/>
      </w:tblGrid>
      <w:tr w:rsidR="003B42C7" w:rsidRPr="00CA5237" w14:paraId="116B6484" w14:textId="77777777" w:rsidTr="003B42C7">
        <w:trPr>
          <w:trHeight w:val="315"/>
        </w:trPr>
        <w:tc>
          <w:tcPr>
            <w:tcW w:w="2548" w:type="dxa"/>
            <w:tcBorders>
              <w:top w:val="single" w:sz="8" w:space="0" w:color="auto"/>
              <w:left w:val="single" w:sz="8" w:space="0" w:color="auto"/>
              <w:bottom w:val="nil"/>
              <w:right w:val="nil"/>
            </w:tcBorders>
            <w:shd w:val="clear" w:color="auto" w:fill="auto"/>
            <w:noWrap/>
            <w:vAlign w:val="bottom"/>
            <w:hideMark/>
          </w:tcPr>
          <w:p w14:paraId="51681A2E" w14:textId="77777777" w:rsidR="003B42C7" w:rsidRPr="00CA5237" w:rsidRDefault="003B42C7" w:rsidP="003B42C7">
            <w:pPr>
              <w:rPr>
                <w:rFonts w:ascii="Arial" w:hAnsi="Arial" w:cs="Arial"/>
                <w:color w:val="000000"/>
                <w:sz w:val="22"/>
                <w:szCs w:val="22"/>
                <w:lang w:eastAsia="en-GB"/>
              </w:rPr>
            </w:pPr>
            <w:r w:rsidRPr="00CA5237">
              <w:rPr>
                <w:rFonts w:ascii="Arial" w:hAnsi="Arial" w:cs="Arial"/>
                <w:color w:val="000000"/>
                <w:sz w:val="22"/>
                <w:szCs w:val="22"/>
                <w:lang w:eastAsia="en-GB"/>
              </w:rPr>
              <w:t> </w:t>
            </w:r>
          </w:p>
        </w:tc>
        <w:tc>
          <w:tcPr>
            <w:tcW w:w="1136" w:type="dxa"/>
            <w:tcBorders>
              <w:top w:val="single" w:sz="8" w:space="0" w:color="auto"/>
              <w:left w:val="nil"/>
              <w:bottom w:val="nil"/>
              <w:right w:val="nil"/>
            </w:tcBorders>
            <w:shd w:val="clear" w:color="auto" w:fill="auto"/>
            <w:noWrap/>
            <w:vAlign w:val="bottom"/>
            <w:hideMark/>
          </w:tcPr>
          <w:p w14:paraId="21C140BD" w14:textId="77777777" w:rsidR="003B42C7" w:rsidRPr="00CA5237" w:rsidRDefault="003B42C7" w:rsidP="003B42C7">
            <w:pPr>
              <w:rPr>
                <w:rFonts w:ascii="Arial" w:hAnsi="Arial" w:cs="Arial"/>
                <w:color w:val="000000"/>
                <w:sz w:val="22"/>
                <w:szCs w:val="22"/>
                <w:lang w:eastAsia="en-GB"/>
              </w:rPr>
            </w:pPr>
            <w:r w:rsidRPr="00CA5237">
              <w:rPr>
                <w:rFonts w:ascii="Arial" w:hAnsi="Arial" w:cs="Arial"/>
                <w:color w:val="000000"/>
                <w:sz w:val="22"/>
                <w:szCs w:val="22"/>
                <w:lang w:eastAsia="en-GB"/>
              </w:rPr>
              <w:t> </w:t>
            </w:r>
          </w:p>
        </w:tc>
        <w:tc>
          <w:tcPr>
            <w:tcW w:w="1268" w:type="dxa"/>
            <w:tcBorders>
              <w:top w:val="single" w:sz="8" w:space="0" w:color="auto"/>
              <w:left w:val="nil"/>
              <w:bottom w:val="nil"/>
              <w:right w:val="nil"/>
            </w:tcBorders>
            <w:shd w:val="clear" w:color="auto" w:fill="auto"/>
            <w:noWrap/>
            <w:vAlign w:val="bottom"/>
            <w:hideMark/>
          </w:tcPr>
          <w:p w14:paraId="0DDD46F7" w14:textId="77777777" w:rsidR="003B42C7" w:rsidRPr="00CA5237" w:rsidRDefault="003B42C7" w:rsidP="003B42C7">
            <w:pPr>
              <w:rPr>
                <w:rFonts w:ascii="Arial" w:hAnsi="Arial" w:cs="Arial"/>
                <w:color w:val="000000"/>
                <w:sz w:val="22"/>
                <w:szCs w:val="22"/>
                <w:lang w:eastAsia="en-GB"/>
              </w:rPr>
            </w:pPr>
            <w:r w:rsidRPr="00CA5237">
              <w:rPr>
                <w:rFonts w:ascii="Arial" w:hAnsi="Arial" w:cs="Arial"/>
                <w:color w:val="000000"/>
                <w:sz w:val="22"/>
                <w:szCs w:val="22"/>
                <w:lang w:eastAsia="en-GB"/>
              </w:rPr>
              <w:t> </w:t>
            </w:r>
          </w:p>
        </w:tc>
        <w:tc>
          <w:tcPr>
            <w:tcW w:w="380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CF81CF6" w14:textId="39309B15" w:rsidR="003B42C7" w:rsidRPr="00CA5237" w:rsidRDefault="00E301F4" w:rsidP="003B42C7">
            <w:pPr>
              <w:jc w:val="center"/>
              <w:rPr>
                <w:rFonts w:ascii="Arial" w:hAnsi="Arial" w:cs="Arial"/>
                <w:b/>
                <w:bCs/>
                <w:color w:val="000000"/>
                <w:sz w:val="22"/>
                <w:szCs w:val="22"/>
                <w:lang w:eastAsia="en-GB"/>
              </w:rPr>
            </w:pPr>
            <w:r w:rsidRPr="00CA5237">
              <w:rPr>
                <w:rFonts w:ascii="Arial" w:hAnsi="Arial" w:cs="Arial"/>
                <w:b/>
                <w:bCs/>
                <w:color w:val="000000"/>
                <w:sz w:val="22"/>
                <w:szCs w:val="22"/>
                <w:lang w:eastAsia="en-GB"/>
              </w:rPr>
              <w:t xml:space="preserve">DFT proportion of the scale down from </w:t>
            </w:r>
            <w:r w:rsidR="003B42C7" w:rsidRPr="00CA5237">
              <w:rPr>
                <w:rFonts w:ascii="Arial" w:hAnsi="Arial" w:cs="Arial"/>
                <w:b/>
                <w:bCs/>
                <w:color w:val="000000"/>
                <w:sz w:val="22"/>
                <w:szCs w:val="22"/>
                <w:lang w:eastAsia="en-GB"/>
              </w:rPr>
              <w:t>Apr-22</w:t>
            </w:r>
          </w:p>
        </w:tc>
        <w:tc>
          <w:tcPr>
            <w:tcW w:w="967" w:type="dxa"/>
            <w:tcBorders>
              <w:top w:val="single" w:sz="8" w:space="0" w:color="auto"/>
              <w:left w:val="nil"/>
              <w:bottom w:val="nil"/>
              <w:right w:val="single" w:sz="8" w:space="0" w:color="auto"/>
            </w:tcBorders>
            <w:shd w:val="clear" w:color="auto" w:fill="auto"/>
            <w:noWrap/>
            <w:vAlign w:val="bottom"/>
            <w:hideMark/>
          </w:tcPr>
          <w:p w14:paraId="557C0227" w14:textId="77777777" w:rsidR="003B42C7" w:rsidRPr="00CA5237" w:rsidRDefault="003B42C7" w:rsidP="003B42C7">
            <w:pPr>
              <w:rPr>
                <w:rFonts w:ascii="Arial" w:hAnsi="Arial" w:cs="Arial"/>
                <w:color w:val="000000"/>
                <w:sz w:val="22"/>
                <w:szCs w:val="22"/>
                <w:lang w:eastAsia="en-GB"/>
              </w:rPr>
            </w:pPr>
            <w:r w:rsidRPr="00CA5237">
              <w:rPr>
                <w:rFonts w:ascii="Arial" w:hAnsi="Arial" w:cs="Arial"/>
                <w:color w:val="000000"/>
                <w:sz w:val="22"/>
                <w:szCs w:val="22"/>
                <w:lang w:eastAsia="en-GB"/>
              </w:rPr>
              <w:t> </w:t>
            </w:r>
          </w:p>
        </w:tc>
      </w:tr>
      <w:tr w:rsidR="003B42C7" w:rsidRPr="00CA5237" w14:paraId="140E397C" w14:textId="77777777" w:rsidTr="003B42C7">
        <w:trPr>
          <w:trHeight w:val="315"/>
        </w:trPr>
        <w:tc>
          <w:tcPr>
            <w:tcW w:w="2548" w:type="dxa"/>
            <w:tcBorders>
              <w:top w:val="nil"/>
              <w:left w:val="single" w:sz="8" w:space="0" w:color="auto"/>
              <w:bottom w:val="nil"/>
              <w:right w:val="nil"/>
            </w:tcBorders>
            <w:shd w:val="clear" w:color="auto" w:fill="auto"/>
            <w:noWrap/>
            <w:vAlign w:val="center"/>
            <w:hideMark/>
          </w:tcPr>
          <w:p w14:paraId="5FFBE754"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 </w:t>
            </w:r>
          </w:p>
        </w:tc>
        <w:tc>
          <w:tcPr>
            <w:tcW w:w="1136" w:type="dxa"/>
            <w:tcBorders>
              <w:top w:val="nil"/>
              <w:left w:val="nil"/>
              <w:bottom w:val="nil"/>
              <w:right w:val="nil"/>
            </w:tcBorders>
            <w:shd w:val="clear" w:color="auto" w:fill="auto"/>
            <w:noWrap/>
            <w:vAlign w:val="center"/>
            <w:hideMark/>
          </w:tcPr>
          <w:p w14:paraId="5DE67760" w14:textId="77777777" w:rsidR="003B42C7" w:rsidRPr="00CA5237" w:rsidRDefault="003B42C7" w:rsidP="003B42C7">
            <w:pPr>
              <w:jc w:val="center"/>
              <w:rPr>
                <w:rFonts w:ascii="Arial" w:hAnsi="Arial" w:cs="Arial"/>
                <w:color w:val="000000"/>
                <w:sz w:val="22"/>
                <w:szCs w:val="22"/>
                <w:lang w:eastAsia="en-GB"/>
              </w:rPr>
            </w:pPr>
          </w:p>
        </w:tc>
        <w:tc>
          <w:tcPr>
            <w:tcW w:w="1268" w:type="dxa"/>
            <w:tcBorders>
              <w:top w:val="nil"/>
              <w:left w:val="nil"/>
              <w:bottom w:val="nil"/>
              <w:right w:val="nil"/>
            </w:tcBorders>
            <w:shd w:val="clear" w:color="auto" w:fill="auto"/>
            <w:noWrap/>
            <w:vAlign w:val="center"/>
            <w:hideMark/>
          </w:tcPr>
          <w:p w14:paraId="6D7E935C" w14:textId="77777777" w:rsidR="003B42C7" w:rsidRPr="00CA5237" w:rsidRDefault="003B42C7" w:rsidP="003B42C7">
            <w:pPr>
              <w:jc w:val="center"/>
              <w:rPr>
                <w:rFonts w:ascii="Arial" w:hAnsi="Arial" w:cs="Arial"/>
                <w:sz w:val="22"/>
                <w:szCs w:val="22"/>
                <w:lang w:eastAsia="en-GB"/>
              </w:rPr>
            </w:pPr>
          </w:p>
        </w:tc>
        <w:tc>
          <w:tcPr>
            <w:tcW w:w="1060" w:type="dxa"/>
            <w:tcBorders>
              <w:top w:val="nil"/>
              <w:left w:val="single" w:sz="8" w:space="0" w:color="auto"/>
              <w:bottom w:val="single" w:sz="8" w:space="0" w:color="auto"/>
              <w:right w:val="single" w:sz="8" w:space="0" w:color="auto"/>
            </w:tcBorders>
            <w:shd w:val="clear" w:color="auto" w:fill="auto"/>
            <w:vAlign w:val="center"/>
            <w:hideMark/>
          </w:tcPr>
          <w:p w14:paraId="2BE8296F" w14:textId="77777777" w:rsidR="003B42C7" w:rsidRPr="00CA5237" w:rsidRDefault="003B42C7" w:rsidP="003B42C7">
            <w:pPr>
              <w:jc w:val="center"/>
              <w:rPr>
                <w:rFonts w:ascii="Arial" w:hAnsi="Arial" w:cs="Arial"/>
                <w:b/>
                <w:bCs/>
                <w:color w:val="000000"/>
                <w:sz w:val="22"/>
                <w:szCs w:val="22"/>
                <w:lang w:eastAsia="en-GB"/>
              </w:rPr>
            </w:pPr>
            <w:r w:rsidRPr="00CA5237">
              <w:rPr>
                <w:rFonts w:ascii="Arial" w:hAnsi="Arial" w:cs="Arial"/>
                <w:b/>
                <w:bCs/>
                <w:color w:val="000000"/>
                <w:sz w:val="22"/>
                <w:szCs w:val="22"/>
                <w:lang w:eastAsia="en-GB"/>
              </w:rPr>
              <w:t>Q1</w:t>
            </w:r>
          </w:p>
        </w:tc>
        <w:tc>
          <w:tcPr>
            <w:tcW w:w="880" w:type="dxa"/>
            <w:tcBorders>
              <w:top w:val="nil"/>
              <w:left w:val="nil"/>
              <w:bottom w:val="single" w:sz="8" w:space="0" w:color="auto"/>
              <w:right w:val="single" w:sz="8" w:space="0" w:color="auto"/>
            </w:tcBorders>
            <w:shd w:val="clear" w:color="auto" w:fill="auto"/>
            <w:vAlign w:val="center"/>
            <w:hideMark/>
          </w:tcPr>
          <w:p w14:paraId="048A484A" w14:textId="77777777" w:rsidR="003B42C7" w:rsidRPr="00CA5237" w:rsidRDefault="003B42C7" w:rsidP="003B42C7">
            <w:pPr>
              <w:jc w:val="center"/>
              <w:rPr>
                <w:rFonts w:ascii="Arial" w:hAnsi="Arial" w:cs="Arial"/>
                <w:b/>
                <w:bCs/>
                <w:color w:val="000000"/>
                <w:sz w:val="22"/>
                <w:szCs w:val="22"/>
                <w:lang w:eastAsia="en-GB"/>
              </w:rPr>
            </w:pPr>
            <w:r w:rsidRPr="00CA5237">
              <w:rPr>
                <w:rFonts w:ascii="Arial" w:hAnsi="Arial" w:cs="Arial"/>
                <w:b/>
                <w:bCs/>
                <w:color w:val="000000"/>
                <w:sz w:val="22"/>
                <w:szCs w:val="22"/>
                <w:lang w:eastAsia="en-GB"/>
              </w:rPr>
              <w:t>Q2</w:t>
            </w:r>
          </w:p>
        </w:tc>
        <w:tc>
          <w:tcPr>
            <w:tcW w:w="900" w:type="dxa"/>
            <w:tcBorders>
              <w:top w:val="nil"/>
              <w:left w:val="nil"/>
              <w:bottom w:val="single" w:sz="8" w:space="0" w:color="auto"/>
              <w:right w:val="single" w:sz="8" w:space="0" w:color="auto"/>
            </w:tcBorders>
            <w:shd w:val="clear" w:color="auto" w:fill="auto"/>
            <w:vAlign w:val="center"/>
            <w:hideMark/>
          </w:tcPr>
          <w:p w14:paraId="480404DE" w14:textId="77777777" w:rsidR="003B42C7" w:rsidRPr="00CA5237" w:rsidRDefault="003B42C7" w:rsidP="003B42C7">
            <w:pPr>
              <w:jc w:val="center"/>
              <w:rPr>
                <w:rFonts w:ascii="Arial" w:hAnsi="Arial" w:cs="Arial"/>
                <w:b/>
                <w:bCs/>
                <w:color w:val="000000"/>
                <w:sz w:val="22"/>
                <w:szCs w:val="22"/>
                <w:lang w:eastAsia="en-GB"/>
              </w:rPr>
            </w:pPr>
            <w:r w:rsidRPr="00CA5237">
              <w:rPr>
                <w:rFonts w:ascii="Arial" w:hAnsi="Arial" w:cs="Arial"/>
                <w:b/>
                <w:bCs/>
                <w:color w:val="000000"/>
                <w:sz w:val="22"/>
                <w:szCs w:val="22"/>
                <w:lang w:eastAsia="en-GB"/>
              </w:rPr>
              <w:t>Q3</w:t>
            </w:r>
          </w:p>
        </w:tc>
        <w:tc>
          <w:tcPr>
            <w:tcW w:w="960" w:type="dxa"/>
            <w:tcBorders>
              <w:top w:val="nil"/>
              <w:left w:val="nil"/>
              <w:bottom w:val="single" w:sz="8" w:space="0" w:color="auto"/>
              <w:right w:val="single" w:sz="8" w:space="0" w:color="auto"/>
            </w:tcBorders>
            <w:shd w:val="clear" w:color="auto" w:fill="auto"/>
            <w:vAlign w:val="center"/>
            <w:hideMark/>
          </w:tcPr>
          <w:p w14:paraId="5D3B8526" w14:textId="77777777" w:rsidR="003B42C7" w:rsidRPr="00CA5237" w:rsidRDefault="003B42C7" w:rsidP="003B42C7">
            <w:pPr>
              <w:jc w:val="center"/>
              <w:rPr>
                <w:rFonts w:ascii="Arial" w:hAnsi="Arial" w:cs="Arial"/>
                <w:b/>
                <w:bCs/>
                <w:color w:val="000000"/>
                <w:sz w:val="22"/>
                <w:szCs w:val="22"/>
                <w:lang w:eastAsia="en-GB"/>
              </w:rPr>
            </w:pPr>
            <w:r w:rsidRPr="00CA5237">
              <w:rPr>
                <w:rFonts w:ascii="Arial" w:hAnsi="Arial" w:cs="Arial"/>
                <w:b/>
                <w:bCs/>
                <w:color w:val="000000"/>
                <w:sz w:val="22"/>
                <w:szCs w:val="22"/>
                <w:lang w:eastAsia="en-GB"/>
              </w:rPr>
              <w:t>Q4</w:t>
            </w:r>
          </w:p>
        </w:tc>
        <w:tc>
          <w:tcPr>
            <w:tcW w:w="967" w:type="dxa"/>
            <w:tcBorders>
              <w:top w:val="nil"/>
              <w:left w:val="nil"/>
              <w:bottom w:val="nil"/>
              <w:right w:val="single" w:sz="8" w:space="0" w:color="auto"/>
            </w:tcBorders>
            <w:shd w:val="clear" w:color="auto" w:fill="auto"/>
            <w:noWrap/>
            <w:vAlign w:val="bottom"/>
            <w:hideMark/>
          </w:tcPr>
          <w:p w14:paraId="4F6FEE1A" w14:textId="77777777" w:rsidR="003B42C7" w:rsidRPr="00CA5237" w:rsidRDefault="003B42C7" w:rsidP="003B42C7">
            <w:pPr>
              <w:rPr>
                <w:rFonts w:ascii="Arial" w:hAnsi="Arial" w:cs="Arial"/>
                <w:color w:val="000000"/>
                <w:sz w:val="22"/>
                <w:szCs w:val="22"/>
                <w:lang w:eastAsia="en-GB"/>
              </w:rPr>
            </w:pPr>
            <w:r w:rsidRPr="00CA5237">
              <w:rPr>
                <w:rFonts w:ascii="Arial" w:hAnsi="Arial" w:cs="Arial"/>
                <w:color w:val="000000"/>
                <w:sz w:val="22"/>
                <w:szCs w:val="22"/>
                <w:lang w:eastAsia="en-GB"/>
              </w:rPr>
              <w:t> </w:t>
            </w:r>
          </w:p>
        </w:tc>
      </w:tr>
      <w:tr w:rsidR="003B42C7" w:rsidRPr="00CA5237" w14:paraId="64543C68" w14:textId="77777777" w:rsidTr="003B42C7">
        <w:trPr>
          <w:trHeight w:val="525"/>
        </w:trPr>
        <w:tc>
          <w:tcPr>
            <w:tcW w:w="2548" w:type="dxa"/>
            <w:tcBorders>
              <w:top w:val="single" w:sz="8" w:space="0" w:color="auto"/>
              <w:left w:val="single" w:sz="8" w:space="0" w:color="auto"/>
              <w:bottom w:val="nil"/>
              <w:right w:val="single" w:sz="8" w:space="0" w:color="auto"/>
            </w:tcBorders>
            <w:shd w:val="clear" w:color="000000" w:fill="BFBFBF"/>
            <w:vAlign w:val="center"/>
            <w:hideMark/>
          </w:tcPr>
          <w:p w14:paraId="00BFFBF4" w14:textId="77777777" w:rsidR="003B42C7" w:rsidRPr="00CA5237" w:rsidRDefault="003B42C7" w:rsidP="003B42C7">
            <w:pPr>
              <w:rPr>
                <w:rFonts w:ascii="Arial" w:hAnsi="Arial" w:cs="Arial"/>
                <w:b/>
                <w:bCs/>
                <w:color w:val="000000"/>
                <w:sz w:val="22"/>
                <w:szCs w:val="22"/>
                <w:lang w:eastAsia="en-GB"/>
              </w:rPr>
            </w:pPr>
            <w:r w:rsidRPr="00CA5237">
              <w:rPr>
                <w:rFonts w:ascii="Arial" w:hAnsi="Arial" w:cs="Arial"/>
                <w:b/>
                <w:bCs/>
                <w:color w:val="000000"/>
                <w:sz w:val="22"/>
                <w:szCs w:val="22"/>
                <w:lang w:eastAsia="en-GB"/>
              </w:rPr>
              <w:t>Bus Operator</w:t>
            </w:r>
          </w:p>
        </w:tc>
        <w:tc>
          <w:tcPr>
            <w:tcW w:w="1136" w:type="dxa"/>
            <w:tcBorders>
              <w:top w:val="single" w:sz="8" w:space="0" w:color="auto"/>
              <w:left w:val="nil"/>
              <w:bottom w:val="single" w:sz="8" w:space="0" w:color="auto"/>
              <w:right w:val="nil"/>
            </w:tcBorders>
            <w:shd w:val="clear" w:color="000000" w:fill="BFBFBF"/>
            <w:vAlign w:val="center"/>
            <w:hideMark/>
          </w:tcPr>
          <w:p w14:paraId="60317211" w14:textId="77777777" w:rsidR="003B42C7" w:rsidRPr="00CA5237" w:rsidRDefault="003B42C7" w:rsidP="003B42C7">
            <w:pPr>
              <w:jc w:val="center"/>
              <w:rPr>
                <w:rFonts w:ascii="Arial" w:hAnsi="Arial" w:cs="Arial"/>
                <w:b/>
                <w:bCs/>
                <w:color w:val="000000"/>
                <w:sz w:val="22"/>
                <w:szCs w:val="22"/>
                <w:lang w:eastAsia="en-GB"/>
              </w:rPr>
            </w:pPr>
            <w:r w:rsidRPr="00CA5237">
              <w:rPr>
                <w:rFonts w:ascii="Arial" w:hAnsi="Arial" w:cs="Arial"/>
                <w:b/>
                <w:bCs/>
                <w:color w:val="000000"/>
                <w:sz w:val="22"/>
                <w:szCs w:val="22"/>
                <w:lang w:eastAsia="en-GB"/>
              </w:rPr>
              <w:t xml:space="preserve">Q1 applied % </w:t>
            </w:r>
          </w:p>
        </w:tc>
        <w:tc>
          <w:tcPr>
            <w:tcW w:w="1268"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63F1D961" w14:textId="77777777" w:rsidR="003B42C7" w:rsidRPr="00CA5237" w:rsidRDefault="003B42C7" w:rsidP="003B42C7">
            <w:pPr>
              <w:jc w:val="center"/>
              <w:rPr>
                <w:rFonts w:ascii="Arial" w:hAnsi="Arial" w:cs="Arial"/>
                <w:b/>
                <w:bCs/>
                <w:color w:val="000000"/>
                <w:sz w:val="22"/>
                <w:szCs w:val="22"/>
                <w:lang w:eastAsia="en-GB"/>
              </w:rPr>
            </w:pPr>
            <w:r w:rsidRPr="00CA5237">
              <w:rPr>
                <w:rFonts w:ascii="Arial" w:hAnsi="Arial" w:cs="Arial"/>
                <w:b/>
                <w:bCs/>
                <w:color w:val="000000"/>
                <w:sz w:val="22"/>
                <w:szCs w:val="22"/>
                <w:lang w:eastAsia="en-GB"/>
              </w:rPr>
              <w:t>Q2 applied %</w:t>
            </w:r>
          </w:p>
        </w:tc>
        <w:tc>
          <w:tcPr>
            <w:tcW w:w="1060" w:type="dxa"/>
            <w:tcBorders>
              <w:top w:val="nil"/>
              <w:left w:val="nil"/>
              <w:bottom w:val="single" w:sz="8" w:space="0" w:color="auto"/>
              <w:right w:val="single" w:sz="8" w:space="0" w:color="auto"/>
            </w:tcBorders>
            <w:shd w:val="clear" w:color="000000" w:fill="BFBFBF"/>
            <w:vAlign w:val="center"/>
            <w:hideMark/>
          </w:tcPr>
          <w:p w14:paraId="502D566C" w14:textId="77777777" w:rsidR="003B42C7" w:rsidRPr="00CA5237" w:rsidRDefault="003B42C7" w:rsidP="003B42C7">
            <w:pPr>
              <w:jc w:val="center"/>
              <w:rPr>
                <w:rFonts w:ascii="Arial" w:hAnsi="Arial" w:cs="Arial"/>
                <w:b/>
                <w:bCs/>
                <w:color w:val="000000"/>
                <w:sz w:val="22"/>
                <w:szCs w:val="22"/>
                <w:lang w:eastAsia="en-GB"/>
              </w:rPr>
            </w:pPr>
            <w:r w:rsidRPr="00CA5237">
              <w:rPr>
                <w:rFonts w:ascii="Arial" w:hAnsi="Arial" w:cs="Arial"/>
                <w:b/>
                <w:bCs/>
                <w:color w:val="000000"/>
                <w:sz w:val="22"/>
                <w:szCs w:val="22"/>
                <w:lang w:eastAsia="en-GB"/>
              </w:rPr>
              <w:t>88.33%</w:t>
            </w:r>
          </w:p>
        </w:tc>
        <w:tc>
          <w:tcPr>
            <w:tcW w:w="880" w:type="dxa"/>
            <w:tcBorders>
              <w:top w:val="nil"/>
              <w:left w:val="nil"/>
              <w:bottom w:val="single" w:sz="8" w:space="0" w:color="auto"/>
              <w:right w:val="single" w:sz="8" w:space="0" w:color="auto"/>
            </w:tcBorders>
            <w:shd w:val="clear" w:color="000000" w:fill="BFBFBF"/>
            <w:vAlign w:val="center"/>
            <w:hideMark/>
          </w:tcPr>
          <w:p w14:paraId="7659548F" w14:textId="77777777" w:rsidR="003B42C7" w:rsidRPr="00CA5237" w:rsidRDefault="003B42C7" w:rsidP="003B42C7">
            <w:pPr>
              <w:jc w:val="center"/>
              <w:rPr>
                <w:rFonts w:ascii="Arial" w:hAnsi="Arial" w:cs="Arial"/>
                <w:b/>
                <w:bCs/>
                <w:color w:val="000000"/>
                <w:sz w:val="22"/>
                <w:szCs w:val="22"/>
                <w:lang w:eastAsia="en-GB"/>
              </w:rPr>
            </w:pPr>
            <w:r w:rsidRPr="00CA5237">
              <w:rPr>
                <w:rFonts w:ascii="Arial" w:hAnsi="Arial" w:cs="Arial"/>
                <w:b/>
                <w:bCs/>
                <w:color w:val="000000"/>
                <w:sz w:val="22"/>
                <w:szCs w:val="22"/>
                <w:lang w:eastAsia="en-GB"/>
              </w:rPr>
              <w:t>81.67%</w:t>
            </w:r>
          </w:p>
        </w:tc>
        <w:tc>
          <w:tcPr>
            <w:tcW w:w="900" w:type="dxa"/>
            <w:tcBorders>
              <w:top w:val="nil"/>
              <w:left w:val="nil"/>
              <w:bottom w:val="single" w:sz="8" w:space="0" w:color="auto"/>
              <w:right w:val="single" w:sz="8" w:space="0" w:color="auto"/>
            </w:tcBorders>
            <w:shd w:val="clear" w:color="000000" w:fill="BFBFBF"/>
            <w:vAlign w:val="center"/>
            <w:hideMark/>
          </w:tcPr>
          <w:p w14:paraId="5C0DDE4B" w14:textId="77777777" w:rsidR="003B42C7" w:rsidRPr="00CA5237" w:rsidRDefault="003B42C7" w:rsidP="003B42C7">
            <w:pPr>
              <w:jc w:val="center"/>
              <w:rPr>
                <w:rFonts w:ascii="Arial" w:hAnsi="Arial" w:cs="Arial"/>
                <w:b/>
                <w:bCs/>
                <w:color w:val="000000"/>
                <w:sz w:val="22"/>
                <w:szCs w:val="22"/>
                <w:lang w:eastAsia="en-GB"/>
              </w:rPr>
            </w:pPr>
            <w:r w:rsidRPr="00CA5237">
              <w:rPr>
                <w:rFonts w:ascii="Arial" w:hAnsi="Arial" w:cs="Arial"/>
                <w:b/>
                <w:bCs/>
                <w:color w:val="000000"/>
                <w:sz w:val="22"/>
                <w:szCs w:val="22"/>
                <w:lang w:eastAsia="en-GB"/>
              </w:rPr>
              <w:t>73.33%</w:t>
            </w:r>
          </w:p>
        </w:tc>
        <w:tc>
          <w:tcPr>
            <w:tcW w:w="960" w:type="dxa"/>
            <w:tcBorders>
              <w:top w:val="nil"/>
              <w:left w:val="nil"/>
              <w:bottom w:val="single" w:sz="8" w:space="0" w:color="auto"/>
              <w:right w:val="single" w:sz="8" w:space="0" w:color="auto"/>
            </w:tcBorders>
            <w:shd w:val="clear" w:color="000000" w:fill="BFBFBF"/>
            <w:vAlign w:val="center"/>
            <w:hideMark/>
          </w:tcPr>
          <w:p w14:paraId="1B15D643" w14:textId="77777777" w:rsidR="003B42C7" w:rsidRPr="00CA5237" w:rsidRDefault="003B42C7" w:rsidP="003B42C7">
            <w:pPr>
              <w:jc w:val="center"/>
              <w:rPr>
                <w:rFonts w:ascii="Arial" w:hAnsi="Arial" w:cs="Arial"/>
                <w:b/>
                <w:bCs/>
                <w:color w:val="000000"/>
                <w:sz w:val="22"/>
                <w:szCs w:val="22"/>
                <w:lang w:eastAsia="en-GB"/>
              </w:rPr>
            </w:pPr>
            <w:r w:rsidRPr="00CA5237">
              <w:rPr>
                <w:rFonts w:ascii="Arial" w:hAnsi="Arial" w:cs="Arial"/>
                <w:b/>
                <w:bCs/>
                <w:color w:val="000000"/>
                <w:sz w:val="22"/>
                <w:szCs w:val="22"/>
                <w:lang w:eastAsia="en-GB"/>
              </w:rPr>
              <w:t>66.67%</w:t>
            </w:r>
          </w:p>
        </w:tc>
        <w:tc>
          <w:tcPr>
            <w:tcW w:w="967" w:type="dxa"/>
            <w:tcBorders>
              <w:top w:val="nil"/>
              <w:left w:val="nil"/>
              <w:bottom w:val="nil"/>
              <w:right w:val="single" w:sz="8" w:space="0" w:color="auto"/>
            </w:tcBorders>
            <w:shd w:val="clear" w:color="auto" w:fill="auto"/>
            <w:noWrap/>
            <w:vAlign w:val="bottom"/>
            <w:hideMark/>
          </w:tcPr>
          <w:p w14:paraId="2FC99B36" w14:textId="77777777" w:rsidR="003B42C7" w:rsidRPr="00CA5237" w:rsidRDefault="003B42C7" w:rsidP="003B42C7">
            <w:pPr>
              <w:rPr>
                <w:rFonts w:ascii="Arial" w:hAnsi="Arial" w:cs="Arial"/>
                <w:color w:val="000000"/>
                <w:sz w:val="22"/>
                <w:szCs w:val="22"/>
                <w:lang w:eastAsia="en-GB"/>
              </w:rPr>
            </w:pPr>
            <w:r w:rsidRPr="00CA5237">
              <w:rPr>
                <w:rFonts w:ascii="Arial" w:hAnsi="Arial" w:cs="Arial"/>
                <w:color w:val="000000"/>
                <w:sz w:val="22"/>
                <w:szCs w:val="22"/>
                <w:lang w:eastAsia="en-GB"/>
              </w:rPr>
              <w:t> </w:t>
            </w:r>
          </w:p>
        </w:tc>
      </w:tr>
      <w:tr w:rsidR="003B42C7" w:rsidRPr="00CA5237" w14:paraId="5BBDA9F2" w14:textId="77777777" w:rsidTr="003B42C7">
        <w:trPr>
          <w:trHeight w:val="315"/>
        </w:trPr>
        <w:tc>
          <w:tcPr>
            <w:tcW w:w="2548"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0E9E612A" w14:textId="77777777" w:rsidR="003B42C7" w:rsidRPr="00CA5237" w:rsidRDefault="003B42C7" w:rsidP="003B42C7">
            <w:pPr>
              <w:rPr>
                <w:rFonts w:ascii="Arial" w:hAnsi="Arial" w:cs="Arial"/>
                <w:b/>
                <w:bCs/>
                <w:color w:val="000000"/>
                <w:sz w:val="22"/>
                <w:szCs w:val="22"/>
                <w:lang w:eastAsia="en-GB"/>
              </w:rPr>
            </w:pPr>
            <w:r w:rsidRPr="00CA5237">
              <w:rPr>
                <w:rFonts w:ascii="Arial" w:hAnsi="Arial" w:cs="Arial"/>
                <w:b/>
                <w:bCs/>
                <w:color w:val="000000"/>
                <w:sz w:val="22"/>
                <w:szCs w:val="22"/>
                <w:lang w:eastAsia="en-GB"/>
              </w:rPr>
              <w:t>Arriva Kent</w:t>
            </w:r>
          </w:p>
        </w:tc>
        <w:tc>
          <w:tcPr>
            <w:tcW w:w="1136" w:type="dxa"/>
            <w:tcBorders>
              <w:top w:val="nil"/>
              <w:left w:val="nil"/>
              <w:bottom w:val="single" w:sz="4" w:space="0" w:color="auto"/>
              <w:right w:val="nil"/>
            </w:tcBorders>
            <w:shd w:val="clear" w:color="auto" w:fill="auto"/>
            <w:noWrap/>
            <w:vAlign w:val="bottom"/>
            <w:hideMark/>
          </w:tcPr>
          <w:p w14:paraId="6D0233A4"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85%</w:t>
            </w:r>
          </w:p>
        </w:tc>
        <w:tc>
          <w:tcPr>
            <w:tcW w:w="1268" w:type="dxa"/>
            <w:tcBorders>
              <w:top w:val="nil"/>
              <w:left w:val="single" w:sz="8" w:space="0" w:color="auto"/>
              <w:bottom w:val="single" w:sz="4" w:space="0" w:color="auto"/>
              <w:right w:val="single" w:sz="8" w:space="0" w:color="auto"/>
            </w:tcBorders>
            <w:shd w:val="clear" w:color="auto" w:fill="auto"/>
            <w:noWrap/>
            <w:vAlign w:val="bottom"/>
            <w:hideMark/>
          </w:tcPr>
          <w:p w14:paraId="0883FAF1"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91%</w:t>
            </w:r>
          </w:p>
        </w:tc>
        <w:tc>
          <w:tcPr>
            <w:tcW w:w="1060" w:type="dxa"/>
            <w:tcBorders>
              <w:top w:val="nil"/>
              <w:left w:val="nil"/>
              <w:bottom w:val="single" w:sz="4" w:space="0" w:color="auto"/>
              <w:right w:val="nil"/>
            </w:tcBorders>
            <w:shd w:val="clear" w:color="000000" w:fill="FFFF00"/>
            <w:noWrap/>
            <w:vAlign w:val="bottom"/>
            <w:hideMark/>
          </w:tcPr>
          <w:p w14:paraId="4A3E9371"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88.33%</w:t>
            </w:r>
          </w:p>
        </w:tc>
        <w:tc>
          <w:tcPr>
            <w:tcW w:w="880" w:type="dxa"/>
            <w:tcBorders>
              <w:top w:val="nil"/>
              <w:left w:val="single" w:sz="8" w:space="0" w:color="auto"/>
              <w:bottom w:val="single" w:sz="4" w:space="0" w:color="auto"/>
              <w:right w:val="nil"/>
            </w:tcBorders>
            <w:shd w:val="clear" w:color="000000" w:fill="FFFF00"/>
            <w:noWrap/>
            <w:vAlign w:val="bottom"/>
            <w:hideMark/>
          </w:tcPr>
          <w:p w14:paraId="5DAB301D"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81.67%</w:t>
            </w:r>
          </w:p>
        </w:tc>
        <w:tc>
          <w:tcPr>
            <w:tcW w:w="900" w:type="dxa"/>
            <w:tcBorders>
              <w:top w:val="nil"/>
              <w:left w:val="single" w:sz="8" w:space="0" w:color="auto"/>
              <w:bottom w:val="single" w:sz="4" w:space="0" w:color="auto"/>
              <w:right w:val="nil"/>
            </w:tcBorders>
            <w:shd w:val="clear" w:color="000000" w:fill="FFFF00"/>
            <w:noWrap/>
            <w:vAlign w:val="bottom"/>
            <w:hideMark/>
          </w:tcPr>
          <w:p w14:paraId="0B61AF1E"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73.33%</w:t>
            </w:r>
          </w:p>
        </w:tc>
        <w:tc>
          <w:tcPr>
            <w:tcW w:w="960" w:type="dxa"/>
            <w:tcBorders>
              <w:top w:val="nil"/>
              <w:left w:val="single" w:sz="8" w:space="0" w:color="auto"/>
              <w:bottom w:val="single" w:sz="4" w:space="0" w:color="auto"/>
              <w:right w:val="single" w:sz="8" w:space="0" w:color="auto"/>
            </w:tcBorders>
            <w:shd w:val="clear" w:color="000000" w:fill="FFFF00"/>
            <w:noWrap/>
            <w:vAlign w:val="bottom"/>
            <w:hideMark/>
          </w:tcPr>
          <w:p w14:paraId="3D87B890"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66.67%</w:t>
            </w:r>
          </w:p>
        </w:tc>
        <w:tc>
          <w:tcPr>
            <w:tcW w:w="967" w:type="dxa"/>
            <w:vMerge w:val="restart"/>
            <w:tcBorders>
              <w:top w:val="single" w:sz="8" w:space="0" w:color="auto"/>
              <w:left w:val="single" w:sz="8" w:space="0" w:color="auto"/>
              <w:bottom w:val="nil"/>
              <w:right w:val="single" w:sz="8" w:space="0" w:color="auto"/>
            </w:tcBorders>
            <w:shd w:val="clear" w:color="auto" w:fill="auto"/>
            <w:vAlign w:val="center"/>
            <w:hideMark/>
          </w:tcPr>
          <w:p w14:paraId="1AC03BAA" w14:textId="22E7289D" w:rsidR="003B42C7" w:rsidRPr="00CA5237" w:rsidRDefault="003B42C7" w:rsidP="003B42C7">
            <w:pPr>
              <w:jc w:val="center"/>
              <w:rPr>
                <w:rFonts w:ascii="Arial" w:hAnsi="Arial" w:cs="Arial"/>
                <w:b/>
                <w:bCs/>
                <w:color w:val="000000"/>
                <w:sz w:val="22"/>
                <w:szCs w:val="22"/>
                <w:lang w:eastAsia="en-GB"/>
              </w:rPr>
            </w:pPr>
            <w:r w:rsidRPr="00CA5237">
              <w:rPr>
                <w:rFonts w:ascii="Arial" w:hAnsi="Arial" w:cs="Arial"/>
                <w:b/>
                <w:bCs/>
                <w:color w:val="000000"/>
                <w:sz w:val="22"/>
                <w:szCs w:val="22"/>
                <w:lang w:eastAsia="en-GB"/>
              </w:rPr>
              <w:t>If actual revenue is higher</w:t>
            </w:r>
            <w:r w:rsidR="002638B2">
              <w:rPr>
                <w:rFonts w:ascii="Arial" w:hAnsi="Arial" w:cs="Arial"/>
                <w:b/>
                <w:bCs/>
                <w:color w:val="000000"/>
                <w:sz w:val="22"/>
                <w:szCs w:val="22"/>
                <w:lang w:eastAsia="en-GB"/>
              </w:rPr>
              <w:t>,</w:t>
            </w:r>
            <w:r w:rsidRPr="00CA5237">
              <w:rPr>
                <w:rFonts w:ascii="Arial" w:hAnsi="Arial" w:cs="Arial"/>
                <w:b/>
                <w:bCs/>
                <w:color w:val="000000"/>
                <w:sz w:val="22"/>
                <w:szCs w:val="22"/>
                <w:lang w:eastAsia="en-GB"/>
              </w:rPr>
              <w:t xml:space="preserve"> than </w:t>
            </w:r>
            <w:r w:rsidR="002638B2">
              <w:rPr>
                <w:rFonts w:ascii="Arial" w:hAnsi="Arial" w:cs="Arial"/>
                <w:b/>
                <w:bCs/>
                <w:color w:val="000000"/>
                <w:sz w:val="22"/>
                <w:szCs w:val="22"/>
                <w:lang w:eastAsia="en-GB"/>
              </w:rPr>
              <w:t xml:space="preserve">the </w:t>
            </w:r>
            <w:r w:rsidRPr="00CA5237">
              <w:rPr>
                <w:rFonts w:ascii="Arial" w:hAnsi="Arial" w:cs="Arial"/>
                <w:b/>
                <w:bCs/>
                <w:color w:val="000000"/>
                <w:sz w:val="22"/>
                <w:szCs w:val="22"/>
                <w:lang w:eastAsia="en-GB"/>
              </w:rPr>
              <w:t xml:space="preserve">actual revenue </w:t>
            </w:r>
          </w:p>
        </w:tc>
      </w:tr>
      <w:tr w:rsidR="003B42C7" w:rsidRPr="00CA5237" w14:paraId="3890ABE1" w14:textId="77777777" w:rsidTr="003B42C7">
        <w:trPr>
          <w:trHeight w:val="315"/>
        </w:trPr>
        <w:tc>
          <w:tcPr>
            <w:tcW w:w="2548" w:type="dxa"/>
            <w:tcBorders>
              <w:top w:val="nil"/>
              <w:left w:val="single" w:sz="8" w:space="0" w:color="auto"/>
              <w:bottom w:val="single" w:sz="4" w:space="0" w:color="auto"/>
              <w:right w:val="single" w:sz="8" w:space="0" w:color="auto"/>
            </w:tcBorders>
            <w:shd w:val="clear" w:color="auto" w:fill="auto"/>
            <w:noWrap/>
            <w:vAlign w:val="center"/>
            <w:hideMark/>
          </w:tcPr>
          <w:p w14:paraId="162D83CE" w14:textId="77777777" w:rsidR="003B42C7" w:rsidRPr="00CA5237" w:rsidRDefault="003B42C7" w:rsidP="003B42C7">
            <w:pPr>
              <w:rPr>
                <w:rFonts w:ascii="Arial" w:hAnsi="Arial" w:cs="Arial"/>
                <w:b/>
                <w:bCs/>
                <w:color w:val="000000"/>
                <w:sz w:val="22"/>
                <w:szCs w:val="22"/>
                <w:lang w:eastAsia="en-GB"/>
              </w:rPr>
            </w:pPr>
            <w:r w:rsidRPr="00CA5237">
              <w:rPr>
                <w:rFonts w:ascii="Arial" w:hAnsi="Arial" w:cs="Arial"/>
                <w:b/>
                <w:bCs/>
                <w:color w:val="000000"/>
                <w:sz w:val="22"/>
                <w:szCs w:val="22"/>
                <w:lang w:eastAsia="en-GB"/>
              </w:rPr>
              <w:t>Arriva the Shires</w:t>
            </w:r>
          </w:p>
        </w:tc>
        <w:tc>
          <w:tcPr>
            <w:tcW w:w="1136" w:type="dxa"/>
            <w:tcBorders>
              <w:top w:val="nil"/>
              <w:left w:val="nil"/>
              <w:bottom w:val="single" w:sz="4" w:space="0" w:color="auto"/>
              <w:right w:val="nil"/>
            </w:tcBorders>
            <w:shd w:val="clear" w:color="auto" w:fill="auto"/>
            <w:noWrap/>
            <w:vAlign w:val="bottom"/>
            <w:hideMark/>
          </w:tcPr>
          <w:p w14:paraId="6B2635F9"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44%</w:t>
            </w:r>
          </w:p>
        </w:tc>
        <w:tc>
          <w:tcPr>
            <w:tcW w:w="1268" w:type="dxa"/>
            <w:tcBorders>
              <w:top w:val="nil"/>
              <w:left w:val="single" w:sz="8" w:space="0" w:color="auto"/>
              <w:bottom w:val="single" w:sz="4" w:space="0" w:color="auto"/>
              <w:right w:val="single" w:sz="8" w:space="0" w:color="auto"/>
            </w:tcBorders>
            <w:shd w:val="clear" w:color="auto" w:fill="auto"/>
            <w:noWrap/>
            <w:vAlign w:val="bottom"/>
            <w:hideMark/>
          </w:tcPr>
          <w:p w14:paraId="33F17DE1"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54%</w:t>
            </w:r>
          </w:p>
        </w:tc>
        <w:tc>
          <w:tcPr>
            <w:tcW w:w="1060" w:type="dxa"/>
            <w:tcBorders>
              <w:top w:val="single" w:sz="8" w:space="0" w:color="auto"/>
              <w:left w:val="nil"/>
              <w:bottom w:val="single" w:sz="4" w:space="0" w:color="auto"/>
              <w:right w:val="nil"/>
            </w:tcBorders>
            <w:shd w:val="clear" w:color="000000" w:fill="FFFF00"/>
            <w:noWrap/>
            <w:vAlign w:val="bottom"/>
            <w:hideMark/>
          </w:tcPr>
          <w:p w14:paraId="5276F448"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54.25%</w:t>
            </w:r>
          </w:p>
        </w:tc>
        <w:tc>
          <w:tcPr>
            <w:tcW w:w="880" w:type="dxa"/>
            <w:tcBorders>
              <w:top w:val="single" w:sz="8" w:space="0" w:color="auto"/>
              <w:left w:val="single" w:sz="8" w:space="0" w:color="auto"/>
              <w:bottom w:val="single" w:sz="4" w:space="0" w:color="auto"/>
              <w:right w:val="nil"/>
            </w:tcBorders>
            <w:shd w:val="clear" w:color="000000" w:fill="FFFF00"/>
            <w:noWrap/>
            <w:vAlign w:val="bottom"/>
            <w:hideMark/>
          </w:tcPr>
          <w:p w14:paraId="38865C4D"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54.25%</w:t>
            </w:r>
          </w:p>
        </w:tc>
        <w:tc>
          <w:tcPr>
            <w:tcW w:w="900" w:type="dxa"/>
            <w:tcBorders>
              <w:top w:val="single" w:sz="8" w:space="0" w:color="auto"/>
              <w:left w:val="single" w:sz="8" w:space="0" w:color="auto"/>
              <w:bottom w:val="single" w:sz="4" w:space="0" w:color="auto"/>
              <w:right w:val="nil"/>
            </w:tcBorders>
            <w:shd w:val="clear" w:color="000000" w:fill="FFFF00"/>
            <w:noWrap/>
            <w:vAlign w:val="bottom"/>
            <w:hideMark/>
          </w:tcPr>
          <w:p w14:paraId="158FD044"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54.25%</w:t>
            </w:r>
          </w:p>
        </w:tc>
        <w:tc>
          <w:tcPr>
            <w:tcW w:w="960" w:type="dxa"/>
            <w:tcBorders>
              <w:top w:val="single" w:sz="8" w:space="0" w:color="auto"/>
              <w:left w:val="single" w:sz="8" w:space="0" w:color="auto"/>
              <w:bottom w:val="single" w:sz="4" w:space="0" w:color="auto"/>
              <w:right w:val="single" w:sz="8" w:space="0" w:color="auto"/>
            </w:tcBorders>
            <w:shd w:val="clear" w:color="000000" w:fill="FFFF00"/>
            <w:noWrap/>
            <w:vAlign w:val="bottom"/>
            <w:hideMark/>
          </w:tcPr>
          <w:p w14:paraId="49356F75"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54.25%</w:t>
            </w:r>
          </w:p>
        </w:tc>
        <w:tc>
          <w:tcPr>
            <w:tcW w:w="967" w:type="dxa"/>
            <w:vMerge/>
            <w:tcBorders>
              <w:top w:val="single" w:sz="8" w:space="0" w:color="auto"/>
              <w:left w:val="single" w:sz="8" w:space="0" w:color="auto"/>
              <w:bottom w:val="nil"/>
              <w:right w:val="single" w:sz="8" w:space="0" w:color="auto"/>
            </w:tcBorders>
            <w:vAlign w:val="center"/>
            <w:hideMark/>
          </w:tcPr>
          <w:p w14:paraId="2201C288" w14:textId="77777777" w:rsidR="003B42C7" w:rsidRPr="00CA5237" w:rsidRDefault="003B42C7" w:rsidP="003B42C7">
            <w:pPr>
              <w:rPr>
                <w:rFonts w:ascii="Arial" w:hAnsi="Arial" w:cs="Arial"/>
                <w:b/>
                <w:bCs/>
                <w:color w:val="000000"/>
                <w:sz w:val="22"/>
                <w:szCs w:val="22"/>
                <w:lang w:eastAsia="en-GB"/>
              </w:rPr>
            </w:pPr>
          </w:p>
        </w:tc>
      </w:tr>
      <w:tr w:rsidR="003B42C7" w:rsidRPr="00CA5237" w14:paraId="7952B536" w14:textId="77777777" w:rsidTr="003B42C7">
        <w:trPr>
          <w:trHeight w:val="315"/>
        </w:trPr>
        <w:tc>
          <w:tcPr>
            <w:tcW w:w="2548" w:type="dxa"/>
            <w:tcBorders>
              <w:top w:val="nil"/>
              <w:left w:val="single" w:sz="8" w:space="0" w:color="auto"/>
              <w:bottom w:val="single" w:sz="4" w:space="0" w:color="auto"/>
              <w:right w:val="single" w:sz="8" w:space="0" w:color="auto"/>
            </w:tcBorders>
            <w:shd w:val="clear" w:color="auto" w:fill="auto"/>
            <w:noWrap/>
            <w:vAlign w:val="center"/>
            <w:hideMark/>
          </w:tcPr>
          <w:p w14:paraId="211EB3BA" w14:textId="77777777" w:rsidR="003B42C7" w:rsidRPr="00CA5237" w:rsidRDefault="003B42C7" w:rsidP="003B42C7">
            <w:pPr>
              <w:rPr>
                <w:rFonts w:ascii="Arial" w:hAnsi="Arial" w:cs="Arial"/>
                <w:b/>
                <w:bCs/>
                <w:color w:val="000000"/>
                <w:sz w:val="22"/>
                <w:szCs w:val="22"/>
                <w:lang w:eastAsia="en-GB"/>
              </w:rPr>
            </w:pPr>
            <w:r w:rsidRPr="00CA5237">
              <w:rPr>
                <w:rFonts w:ascii="Arial" w:hAnsi="Arial" w:cs="Arial"/>
                <w:b/>
                <w:bCs/>
                <w:color w:val="000000"/>
                <w:sz w:val="22"/>
                <w:szCs w:val="22"/>
                <w:lang w:eastAsia="en-GB"/>
              </w:rPr>
              <w:t>Carousel Buses</w:t>
            </w:r>
          </w:p>
        </w:tc>
        <w:tc>
          <w:tcPr>
            <w:tcW w:w="1136" w:type="dxa"/>
            <w:tcBorders>
              <w:top w:val="nil"/>
              <w:left w:val="nil"/>
              <w:bottom w:val="single" w:sz="4" w:space="0" w:color="auto"/>
              <w:right w:val="nil"/>
            </w:tcBorders>
            <w:shd w:val="clear" w:color="auto" w:fill="auto"/>
            <w:noWrap/>
            <w:vAlign w:val="bottom"/>
            <w:hideMark/>
          </w:tcPr>
          <w:p w14:paraId="31E1AA02"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100%</w:t>
            </w:r>
          </w:p>
        </w:tc>
        <w:tc>
          <w:tcPr>
            <w:tcW w:w="1268" w:type="dxa"/>
            <w:tcBorders>
              <w:top w:val="nil"/>
              <w:left w:val="single" w:sz="8" w:space="0" w:color="auto"/>
              <w:bottom w:val="single" w:sz="4" w:space="0" w:color="auto"/>
              <w:right w:val="single" w:sz="8" w:space="0" w:color="auto"/>
            </w:tcBorders>
            <w:shd w:val="clear" w:color="auto" w:fill="auto"/>
            <w:noWrap/>
            <w:vAlign w:val="bottom"/>
            <w:hideMark/>
          </w:tcPr>
          <w:p w14:paraId="3943D47C"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100%</w:t>
            </w:r>
          </w:p>
        </w:tc>
        <w:tc>
          <w:tcPr>
            <w:tcW w:w="1060" w:type="dxa"/>
            <w:tcBorders>
              <w:top w:val="single" w:sz="8" w:space="0" w:color="auto"/>
              <w:left w:val="nil"/>
              <w:bottom w:val="single" w:sz="4" w:space="0" w:color="auto"/>
              <w:right w:val="nil"/>
            </w:tcBorders>
            <w:shd w:val="clear" w:color="000000" w:fill="FFFF00"/>
            <w:noWrap/>
            <w:vAlign w:val="bottom"/>
            <w:hideMark/>
          </w:tcPr>
          <w:p w14:paraId="7A3B7701"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88.33%</w:t>
            </w:r>
          </w:p>
        </w:tc>
        <w:tc>
          <w:tcPr>
            <w:tcW w:w="880" w:type="dxa"/>
            <w:tcBorders>
              <w:top w:val="single" w:sz="8" w:space="0" w:color="auto"/>
              <w:left w:val="single" w:sz="8" w:space="0" w:color="auto"/>
              <w:bottom w:val="single" w:sz="4" w:space="0" w:color="auto"/>
              <w:right w:val="nil"/>
            </w:tcBorders>
            <w:shd w:val="clear" w:color="000000" w:fill="FFFF00"/>
            <w:noWrap/>
            <w:vAlign w:val="bottom"/>
            <w:hideMark/>
          </w:tcPr>
          <w:p w14:paraId="56515906"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81.67%</w:t>
            </w:r>
          </w:p>
        </w:tc>
        <w:tc>
          <w:tcPr>
            <w:tcW w:w="900" w:type="dxa"/>
            <w:tcBorders>
              <w:top w:val="single" w:sz="8" w:space="0" w:color="auto"/>
              <w:left w:val="single" w:sz="8" w:space="0" w:color="auto"/>
              <w:bottom w:val="single" w:sz="4" w:space="0" w:color="auto"/>
              <w:right w:val="nil"/>
            </w:tcBorders>
            <w:shd w:val="clear" w:color="000000" w:fill="FFFF00"/>
            <w:noWrap/>
            <w:vAlign w:val="bottom"/>
            <w:hideMark/>
          </w:tcPr>
          <w:p w14:paraId="09D1182B"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73.33%</w:t>
            </w:r>
          </w:p>
        </w:tc>
        <w:tc>
          <w:tcPr>
            <w:tcW w:w="960" w:type="dxa"/>
            <w:tcBorders>
              <w:top w:val="single" w:sz="8" w:space="0" w:color="auto"/>
              <w:left w:val="single" w:sz="8" w:space="0" w:color="auto"/>
              <w:bottom w:val="single" w:sz="4" w:space="0" w:color="auto"/>
              <w:right w:val="single" w:sz="8" w:space="0" w:color="auto"/>
            </w:tcBorders>
            <w:shd w:val="clear" w:color="000000" w:fill="FFFF00"/>
            <w:noWrap/>
            <w:vAlign w:val="bottom"/>
            <w:hideMark/>
          </w:tcPr>
          <w:p w14:paraId="3598ED0F"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66.67%</w:t>
            </w:r>
          </w:p>
        </w:tc>
        <w:tc>
          <w:tcPr>
            <w:tcW w:w="967" w:type="dxa"/>
            <w:vMerge/>
            <w:tcBorders>
              <w:top w:val="single" w:sz="8" w:space="0" w:color="auto"/>
              <w:left w:val="single" w:sz="8" w:space="0" w:color="auto"/>
              <w:bottom w:val="nil"/>
              <w:right w:val="single" w:sz="8" w:space="0" w:color="auto"/>
            </w:tcBorders>
            <w:vAlign w:val="center"/>
            <w:hideMark/>
          </w:tcPr>
          <w:p w14:paraId="46CB1E35" w14:textId="77777777" w:rsidR="003B42C7" w:rsidRPr="00CA5237" w:rsidRDefault="003B42C7" w:rsidP="003B42C7">
            <w:pPr>
              <w:rPr>
                <w:rFonts w:ascii="Arial" w:hAnsi="Arial" w:cs="Arial"/>
                <w:b/>
                <w:bCs/>
                <w:color w:val="000000"/>
                <w:sz w:val="22"/>
                <w:szCs w:val="22"/>
                <w:lang w:eastAsia="en-GB"/>
              </w:rPr>
            </w:pPr>
          </w:p>
        </w:tc>
      </w:tr>
      <w:tr w:rsidR="003B42C7" w:rsidRPr="00CA5237" w14:paraId="0D70AB88" w14:textId="77777777" w:rsidTr="003B42C7">
        <w:trPr>
          <w:trHeight w:val="315"/>
        </w:trPr>
        <w:tc>
          <w:tcPr>
            <w:tcW w:w="2548" w:type="dxa"/>
            <w:tcBorders>
              <w:top w:val="nil"/>
              <w:left w:val="single" w:sz="8" w:space="0" w:color="auto"/>
              <w:bottom w:val="single" w:sz="4" w:space="0" w:color="auto"/>
              <w:right w:val="single" w:sz="8" w:space="0" w:color="auto"/>
            </w:tcBorders>
            <w:shd w:val="clear" w:color="auto" w:fill="auto"/>
            <w:noWrap/>
            <w:vAlign w:val="center"/>
            <w:hideMark/>
          </w:tcPr>
          <w:p w14:paraId="74FED046" w14:textId="77777777" w:rsidR="003B42C7" w:rsidRPr="00CA5237" w:rsidRDefault="003B42C7" w:rsidP="003B42C7">
            <w:pPr>
              <w:rPr>
                <w:rFonts w:ascii="Arial" w:hAnsi="Arial" w:cs="Arial"/>
                <w:b/>
                <w:bCs/>
                <w:color w:val="000000"/>
                <w:sz w:val="22"/>
                <w:szCs w:val="22"/>
                <w:lang w:eastAsia="en-GB"/>
              </w:rPr>
            </w:pPr>
            <w:r w:rsidRPr="00CA5237">
              <w:rPr>
                <w:rFonts w:ascii="Arial" w:hAnsi="Arial" w:cs="Arial"/>
                <w:b/>
                <w:bCs/>
                <w:color w:val="000000"/>
                <w:sz w:val="22"/>
                <w:szCs w:val="22"/>
                <w:lang w:eastAsia="en-GB"/>
              </w:rPr>
              <w:t xml:space="preserve">Hallmark </w:t>
            </w:r>
          </w:p>
        </w:tc>
        <w:tc>
          <w:tcPr>
            <w:tcW w:w="1136" w:type="dxa"/>
            <w:tcBorders>
              <w:top w:val="nil"/>
              <w:left w:val="nil"/>
              <w:bottom w:val="single" w:sz="4" w:space="0" w:color="auto"/>
              <w:right w:val="nil"/>
            </w:tcBorders>
            <w:shd w:val="clear" w:color="auto" w:fill="auto"/>
            <w:noWrap/>
            <w:vAlign w:val="bottom"/>
            <w:hideMark/>
          </w:tcPr>
          <w:p w14:paraId="6E8910C7"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100%</w:t>
            </w:r>
          </w:p>
        </w:tc>
        <w:tc>
          <w:tcPr>
            <w:tcW w:w="1268" w:type="dxa"/>
            <w:tcBorders>
              <w:top w:val="nil"/>
              <w:left w:val="single" w:sz="8" w:space="0" w:color="auto"/>
              <w:bottom w:val="single" w:sz="4" w:space="0" w:color="auto"/>
              <w:right w:val="single" w:sz="8" w:space="0" w:color="auto"/>
            </w:tcBorders>
            <w:shd w:val="clear" w:color="auto" w:fill="auto"/>
            <w:noWrap/>
            <w:vAlign w:val="bottom"/>
            <w:hideMark/>
          </w:tcPr>
          <w:p w14:paraId="1B558C2B"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100%</w:t>
            </w:r>
          </w:p>
        </w:tc>
        <w:tc>
          <w:tcPr>
            <w:tcW w:w="1060" w:type="dxa"/>
            <w:tcBorders>
              <w:top w:val="single" w:sz="8" w:space="0" w:color="auto"/>
              <w:left w:val="nil"/>
              <w:bottom w:val="single" w:sz="4" w:space="0" w:color="auto"/>
              <w:right w:val="nil"/>
            </w:tcBorders>
            <w:shd w:val="clear" w:color="000000" w:fill="FFFF00"/>
            <w:noWrap/>
            <w:vAlign w:val="bottom"/>
            <w:hideMark/>
          </w:tcPr>
          <w:p w14:paraId="3BEF1A6C"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88.33%</w:t>
            </w:r>
          </w:p>
        </w:tc>
        <w:tc>
          <w:tcPr>
            <w:tcW w:w="880" w:type="dxa"/>
            <w:tcBorders>
              <w:top w:val="single" w:sz="8" w:space="0" w:color="auto"/>
              <w:left w:val="single" w:sz="8" w:space="0" w:color="auto"/>
              <w:bottom w:val="single" w:sz="4" w:space="0" w:color="auto"/>
              <w:right w:val="nil"/>
            </w:tcBorders>
            <w:shd w:val="clear" w:color="000000" w:fill="FFFF00"/>
            <w:noWrap/>
            <w:vAlign w:val="bottom"/>
            <w:hideMark/>
          </w:tcPr>
          <w:p w14:paraId="5ED5820A"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81.67%</w:t>
            </w:r>
          </w:p>
        </w:tc>
        <w:tc>
          <w:tcPr>
            <w:tcW w:w="900" w:type="dxa"/>
            <w:tcBorders>
              <w:top w:val="single" w:sz="8" w:space="0" w:color="auto"/>
              <w:left w:val="single" w:sz="8" w:space="0" w:color="auto"/>
              <w:bottom w:val="single" w:sz="4" w:space="0" w:color="auto"/>
              <w:right w:val="nil"/>
            </w:tcBorders>
            <w:shd w:val="clear" w:color="000000" w:fill="FFFF00"/>
            <w:noWrap/>
            <w:vAlign w:val="bottom"/>
            <w:hideMark/>
          </w:tcPr>
          <w:p w14:paraId="3FEAAD8C"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73.33%</w:t>
            </w:r>
          </w:p>
        </w:tc>
        <w:tc>
          <w:tcPr>
            <w:tcW w:w="960" w:type="dxa"/>
            <w:tcBorders>
              <w:top w:val="single" w:sz="8" w:space="0" w:color="auto"/>
              <w:left w:val="single" w:sz="8" w:space="0" w:color="auto"/>
              <w:bottom w:val="single" w:sz="4" w:space="0" w:color="auto"/>
              <w:right w:val="single" w:sz="8" w:space="0" w:color="auto"/>
            </w:tcBorders>
            <w:shd w:val="clear" w:color="000000" w:fill="FFFF00"/>
            <w:noWrap/>
            <w:vAlign w:val="bottom"/>
            <w:hideMark/>
          </w:tcPr>
          <w:p w14:paraId="2910ADA0"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66.67%</w:t>
            </w:r>
          </w:p>
        </w:tc>
        <w:tc>
          <w:tcPr>
            <w:tcW w:w="967" w:type="dxa"/>
            <w:vMerge/>
            <w:tcBorders>
              <w:top w:val="single" w:sz="8" w:space="0" w:color="auto"/>
              <w:left w:val="single" w:sz="8" w:space="0" w:color="auto"/>
              <w:bottom w:val="nil"/>
              <w:right w:val="single" w:sz="8" w:space="0" w:color="auto"/>
            </w:tcBorders>
            <w:vAlign w:val="center"/>
            <w:hideMark/>
          </w:tcPr>
          <w:p w14:paraId="7FE19DD3" w14:textId="77777777" w:rsidR="003B42C7" w:rsidRPr="00CA5237" w:rsidRDefault="003B42C7" w:rsidP="003B42C7">
            <w:pPr>
              <w:rPr>
                <w:rFonts w:ascii="Arial" w:hAnsi="Arial" w:cs="Arial"/>
                <w:b/>
                <w:bCs/>
                <w:color w:val="000000"/>
                <w:sz w:val="22"/>
                <w:szCs w:val="22"/>
                <w:lang w:eastAsia="en-GB"/>
              </w:rPr>
            </w:pPr>
          </w:p>
        </w:tc>
      </w:tr>
      <w:tr w:rsidR="003B42C7" w:rsidRPr="00CA5237" w14:paraId="5C8575E7" w14:textId="77777777" w:rsidTr="003B42C7">
        <w:trPr>
          <w:trHeight w:val="315"/>
        </w:trPr>
        <w:tc>
          <w:tcPr>
            <w:tcW w:w="2548" w:type="dxa"/>
            <w:tcBorders>
              <w:top w:val="nil"/>
              <w:left w:val="single" w:sz="8" w:space="0" w:color="auto"/>
              <w:bottom w:val="single" w:sz="4" w:space="0" w:color="auto"/>
              <w:right w:val="single" w:sz="8" w:space="0" w:color="auto"/>
            </w:tcBorders>
            <w:shd w:val="clear" w:color="auto" w:fill="auto"/>
            <w:noWrap/>
            <w:vAlign w:val="center"/>
            <w:hideMark/>
          </w:tcPr>
          <w:p w14:paraId="367127E5" w14:textId="77777777" w:rsidR="003B42C7" w:rsidRPr="00CA5237" w:rsidRDefault="003B42C7" w:rsidP="003B42C7">
            <w:pPr>
              <w:rPr>
                <w:rFonts w:ascii="Arial" w:hAnsi="Arial" w:cs="Arial"/>
                <w:b/>
                <w:bCs/>
                <w:color w:val="000000"/>
                <w:sz w:val="22"/>
                <w:szCs w:val="22"/>
                <w:lang w:eastAsia="en-GB"/>
              </w:rPr>
            </w:pPr>
            <w:r w:rsidRPr="00CA5237">
              <w:rPr>
                <w:rFonts w:ascii="Arial" w:hAnsi="Arial" w:cs="Arial"/>
                <w:b/>
                <w:bCs/>
                <w:color w:val="000000"/>
                <w:sz w:val="22"/>
                <w:szCs w:val="22"/>
                <w:lang w:eastAsia="en-GB"/>
              </w:rPr>
              <w:t>Metrobus</w:t>
            </w:r>
          </w:p>
        </w:tc>
        <w:tc>
          <w:tcPr>
            <w:tcW w:w="1136" w:type="dxa"/>
            <w:tcBorders>
              <w:top w:val="nil"/>
              <w:left w:val="nil"/>
              <w:bottom w:val="single" w:sz="4" w:space="0" w:color="auto"/>
              <w:right w:val="nil"/>
            </w:tcBorders>
            <w:shd w:val="clear" w:color="auto" w:fill="auto"/>
            <w:noWrap/>
            <w:vAlign w:val="bottom"/>
            <w:hideMark/>
          </w:tcPr>
          <w:p w14:paraId="2E144B78"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100%</w:t>
            </w:r>
          </w:p>
        </w:tc>
        <w:tc>
          <w:tcPr>
            <w:tcW w:w="1268" w:type="dxa"/>
            <w:tcBorders>
              <w:top w:val="nil"/>
              <w:left w:val="single" w:sz="8" w:space="0" w:color="auto"/>
              <w:bottom w:val="single" w:sz="4" w:space="0" w:color="auto"/>
              <w:right w:val="single" w:sz="8" w:space="0" w:color="auto"/>
            </w:tcBorders>
            <w:shd w:val="clear" w:color="auto" w:fill="auto"/>
            <w:noWrap/>
            <w:vAlign w:val="bottom"/>
            <w:hideMark/>
          </w:tcPr>
          <w:p w14:paraId="5B9FF4D0"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100%</w:t>
            </w:r>
          </w:p>
        </w:tc>
        <w:tc>
          <w:tcPr>
            <w:tcW w:w="1060" w:type="dxa"/>
            <w:tcBorders>
              <w:top w:val="single" w:sz="8" w:space="0" w:color="auto"/>
              <w:left w:val="nil"/>
              <w:bottom w:val="single" w:sz="4" w:space="0" w:color="auto"/>
              <w:right w:val="nil"/>
            </w:tcBorders>
            <w:shd w:val="clear" w:color="000000" w:fill="FFFF00"/>
            <w:noWrap/>
            <w:vAlign w:val="bottom"/>
            <w:hideMark/>
          </w:tcPr>
          <w:p w14:paraId="227FAE93"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88.33%</w:t>
            </w:r>
          </w:p>
        </w:tc>
        <w:tc>
          <w:tcPr>
            <w:tcW w:w="880" w:type="dxa"/>
            <w:tcBorders>
              <w:top w:val="single" w:sz="8" w:space="0" w:color="auto"/>
              <w:left w:val="single" w:sz="8" w:space="0" w:color="auto"/>
              <w:bottom w:val="single" w:sz="4" w:space="0" w:color="auto"/>
              <w:right w:val="nil"/>
            </w:tcBorders>
            <w:shd w:val="clear" w:color="000000" w:fill="FFFF00"/>
            <w:noWrap/>
            <w:vAlign w:val="bottom"/>
            <w:hideMark/>
          </w:tcPr>
          <w:p w14:paraId="1758FD2B"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81.67%</w:t>
            </w:r>
          </w:p>
        </w:tc>
        <w:tc>
          <w:tcPr>
            <w:tcW w:w="900" w:type="dxa"/>
            <w:tcBorders>
              <w:top w:val="single" w:sz="8" w:space="0" w:color="auto"/>
              <w:left w:val="single" w:sz="8" w:space="0" w:color="auto"/>
              <w:bottom w:val="single" w:sz="4" w:space="0" w:color="auto"/>
              <w:right w:val="nil"/>
            </w:tcBorders>
            <w:shd w:val="clear" w:color="000000" w:fill="FFFF00"/>
            <w:noWrap/>
            <w:vAlign w:val="bottom"/>
            <w:hideMark/>
          </w:tcPr>
          <w:p w14:paraId="4BF52433"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73.33%</w:t>
            </w:r>
          </w:p>
        </w:tc>
        <w:tc>
          <w:tcPr>
            <w:tcW w:w="960" w:type="dxa"/>
            <w:tcBorders>
              <w:top w:val="single" w:sz="8" w:space="0" w:color="auto"/>
              <w:left w:val="single" w:sz="8" w:space="0" w:color="auto"/>
              <w:bottom w:val="single" w:sz="4" w:space="0" w:color="auto"/>
              <w:right w:val="single" w:sz="8" w:space="0" w:color="auto"/>
            </w:tcBorders>
            <w:shd w:val="clear" w:color="000000" w:fill="FFFF00"/>
            <w:noWrap/>
            <w:vAlign w:val="bottom"/>
            <w:hideMark/>
          </w:tcPr>
          <w:p w14:paraId="167AA09B"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66.67%</w:t>
            </w:r>
          </w:p>
        </w:tc>
        <w:tc>
          <w:tcPr>
            <w:tcW w:w="967" w:type="dxa"/>
            <w:vMerge/>
            <w:tcBorders>
              <w:top w:val="single" w:sz="8" w:space="0" w:color="auto"/>
              <w:left w:val="single" w:sz="8" w:space="0" w:color="auto"/>
              <w:bottom w:val="nil"/>
              <w:right w:val="single" w:sz="8" w:space="0" w:color="auto"/>
            </w:tcBorders>
            <w:vAlign w:val="center"/>
            <w:hideMark/>
          </w:tcPr>
          <w:p w14:paraId="7970193F" w14:textId="77777777" w:rsidR="003B42C7" w:rsidRPr="00CA5237" w:rsidRDefault="003B42C7" w:rsidP="003B42C7">
            <w:pPr>
              <w:rPr>
                <w:rFonts w:ascii="Arial" w:hAnsi="Arial" w:cs="Arial"/>
                <w:b/>
                <w:bCs/>
                <w:color w:val="000000"/>
                <w:sz w:val="22"/>
                <w:szCs w:val="22"/>
                <w:lang w:eastAsia="en-GB"/>
              </w:rPr>
            </w:pPr>
          </w:p>
        </w:tc>
      </w:tr>
      <w:tr w:rsidR="003B42C7" w:rsidRPr="00CA5237" w14:paraId="04B7F40B" w14:textId="77777777" w:rsidTr="003B42C7">
        <w:trPr>
          <w:trHeight w:val="315"/>
        </w:trPr>
        <w:tc>
          <w:tcPr>
            <w:tcW w:w="2548" w:type="dxa"/>
            <w:tcBorders>
              <w:top w:val="nil"/>
              <w:left w:val="single" w:sz="8" w:space="0" w:color="auto"/>
              <w:bottom w:val="single" w:sz="4" w:space="0" w:color="auto"/>
              <w:right w:val="single" w:sz="8" w:space="0" w:color="auto"/>
            </w:tcBorders>
            <w:shd w:val="clear" w:color="auto" w:fill="auto"/>
            <w:noWrap/>
            <w:vAlign w:val="center"/>
            <w:hideMark/>
          </w:tcPr>
          <w:p w14:paraId="07090E0A" w14:textId="77777777" w:rsidR="003B42C7" w:rsidRPr="00CA5237" w:rsidRDefault="003B42C7" w:rsidP="003B42C7">
            <w:pPr>
              <w:rPr>
                <w:rFonts w:ascii="Arial" w:hAnsi="Arial" w:cs="Arial"/>
                <w:b/>
                <w:bCs/>
                <w:color w:val="000000"/>
                <w:sz w:val="22"/>
                <w:szCs w:val="22"/>
                <w:lang w:eastAsia="en-GB"/>
              </w:rPr>
            </w:pPr>
            <w:proofErr w:type="spellStart"/>
            <w:r w:rsidRPr="00CA5237">
              <w:rPr>
                <w:rFonts w:ascii="Arial" w:hAnsi="Arial" w:cs="Arial"/>
                <w:b/>
                <w:bCs/>
                <w:color w:val="000000"/>
                <w:sz w:val="22"/>
                <w:szCs w:val="22"/>
                <w:lang w:eastAsia="en-GB"/>
              </w:rPr>
              <w:t>Metroline</w:t>
            </w:r>
            <w:proofErr w:type="spellEnd"/>
          </w:p>
        </w:tc>
        <w:tc>
          <w:tcPr>
            <w:tcW w:w="1136" w:type="dxa"/>
            <w:tcBorders>
              <w:top w:val="nil"/>
              <w:left w:val="nil"/>
              <w:bottom w:val="single" w:sz="4" w:space="0" w:color="auto"/>
              <w:right w:val="nil"/>
            </w:tcBorders>
            <w:shd w:val="clear" w:color="auto" w:fill="auto"/>
            <w:noWrap/>
            <w:vAlign w:val="bottom"/>
            <w:hideMark/>
          </w:tcPr>
          <w:p w14:paraId="016C576D"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100%</w:t>
            </w:r>
          </w:p>
        </w:tc>
        <w:tc>
          <w:tcPr>
            <w:tcW w:w="1268" w:type="dxa"/>
            <w:tcBorders>
              <w:top w:val="nil"/>
              <w:left w:val="single" w:sz="8" w:space="0" w:color="auto"/>
              <w:bottom w:val="single" w:sz="4" w:space="0" w:color="auto"/>
              <w:right w:val="single" w:sz="8" w:space="0" w:color="auto"/>
            </w:tcBorders>
            <w:shd w:val="clear" w:color="auto" w:fill="auto"/>
            <w:noWrap/>
            <w:vAlign w:val="bottom"/>
            <w:hideMark/>
          </w:tcPr>
          <w:p w14:paraId="34629025"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100%</w:t>
            </w:r>
          </w:p>
        </w:tc>
        <w:tc>
          <w:tcPr>
            <w:tcW w:w="1060" w:type="dxa"/>
            <w:tcBorders>
              <w:top w:val="single" w:sz="8" w:space="0" w:color="auto"/>
              <w:left w:val="nil"/>
              <w:bottom w:val="single" w:sz="4" w:space="0" w:color="auto"/>
              <w:right w:val="nil"/>
            </w:tcBorders>
            <w:shd w:val="clear" w:color="000000" w:fill="FFFF00"/>
            <w:noWrap/>
            <w:vAlign w:val="bottom"/>
            <w:hideMark/>
          </w:tcPr>
          <w:p w14:paraId="4440A0FA"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88.33%</w:t>
            </w:r>
          </w:p>
        </w:tc>
        <w:tc>
          <w:tcPr>
            <w:tcW w:w="880" w:type="dxa"/>
            <w:tcBorders>
              <w:top w:val="single" w:sz="8" w:space="0" w:color="auto"/>
              <w:left w:val="single" w:sz="8" w:space="0" w:color="auto"/>
              <w:bottom w:val="single" w:sz="4" w:space="0" w:color="auto"/>
              <w:right w:val="nil"/>
            </w:tcBorders>
            <w:shd w:val="clear" w:color="000000" w:fill="FFFF00"/>
            <w:noWrap/>
            <w:vAlign w:val="bottom"/>
            <w:hideMark/>
          </w:tcPr>
          <w:p w14:paraId="7E6C6B60"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81.67%</w:t>
            </w:r>
          </w:p>
        </w:tc>
        <w:tc>
          <w:tcPr>
            <w:tcW w:w="900" w:type="dxa"/>
            <w:tcBorders>
              <w:top w:val="single" w:sz="8" w:space="0" w:color="auto"/>
              <w:left w:val="single" w:sz="8" w:space="0" w:color="auto"/>
              <w:bottom w:val="single" w:sz="4" w:space="0" w:color="auto"/>
              <w:right w:val="nil"/>
            </w:tcBorders>
            <w:shd w:val="clear" w:color="000000" w:fill="FFFF00"/>
            <w:noWrap/>
            <w:vAlign w:val="bottom"/>
            <w:hideMark/>
          </w:tcPr>
          <w:p w14:paraId="20602E39"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73.33%</w:t>
            </w:r>
          </w:p>
        </w:tc>
        <w:tc>
          <w:tcPr>
            <w:tcW w:w="960" w:type="dxa"/>
            <w:tcBorders>
              <w:top w:val="single" w:sz="8" w:space="0" w:color="auto"/>
              <w:left w:val="single" w:sz="8" w:space="0" w:color="auto"/>
              <w:bottom w:val="single" w:sz="4" w:space="0" w:color="auto"/>
              <w:right w:val="single" w:sz="8" w:space="0" w:color="auto"/>
            </w:tcBorders>
            <w:shd w:val="clear" w:color="000000" w:fill="FFFF00"/>
            <w:noWrap/>
            <w:vAlign w:val="bottom"/>
            <w:hideMark/>
          </w:tcPr>
          <w:p w14:paraId="24DA0D5C"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66.67%</w:t>
            </w:r>
          </w:p>
        </w:tc>
        <w:tc>
          <w:tcPr>
            <w:tcW w:w="967" w:type="dxa"/>
            <w:vMerge/>
            <w:tcBorders>
              <w:top w:val="single" w:sz="8" w:space="0" w:color="auto"/>
              <w:left w:val="single" w:sz="8" w:space="0" w:color="auto"/>
              <w:bottom w:val="nil"/>
              <w:right w:val="single" w:sz="8" w:space="0" w:color="auto"/>
            </w:tcBorders>
            <w:vAlign w:val="center"/>
            <w:hideMark/>
          </w:tcPr>
          <w:p w14:paraId="5C3F554B" w14:textId="77777777" w:rsidR="003B42C7" w:rsidRPr="00CA5237" w:rsidRDefault="003B42C7" w:rsidP="003B42C7">
            <w:pPr>
              <w:rPr>
                <w:rFonts w:ascii="Arial" w:hAnsi="Arial" w:cs="Arial"/>
                <w:b/>
                <w:bCs/>
                <w:color w:val="000000"/>
                <w:sz w:val="22"/>
                <w:szCs w:val="22"/>
                <w:lang w:eastAsia="en-GB"/>
              </w:rPr>
            </w:pPr>
          </w:p>
        </w:tc>
      </w:tr>
      <w:tr w:rsidR="003B42C7" w:rsidRPr="00CA5237" w14:paraId="4CF53D1D" w14:textId="77777777" w:rsidTr="003B42C7">
        <w:trPr>
          <w:trHeight w:val="315"/>
        </w:trPr>
        <w:tc>
          <w:tcPr>
            <w:tcW w:w="2548" w:type="dxa"/>
            <w:tcBorders>
              <w:top w:val="nil"/>
              <w:left w:val="single" w:sz="8" w:space="0" w:color="auto"/>
              <w:bottom w:val="single" w:sz="4" w:space="0" w:color="auto"/>
              <w:right w:val="single" w:sz="8" w:space="0" w:color="auto"/>
            </w:tcBorders>
            <w:shd w:val="clear" w:color="auto" w:fill="auto"/>
            <w:noWrap/>
            <w:vAlign w:val="center"/>
            <w:hideMark/>
          </w:tcPr>
          <w:p w14:paraId="2019FCA6" w14:textId="77777777" w:rsidR="003B42C7" w:rsidRPr="00CA5237" w:rsidRDefault="003B42C7" w:rsidP="003B42C7">
            <w:pPr>
              <w:rPr>
                <w:rFonts w:ascii="Arial" w:hAnsi="Arial" w:cs="Arial"/>
                <w:b/>
                <w:bCs/>
                <w:color w:val="000000"/>
                <w:sz w:val="22"/>
                <w:szCs w:val="22"/>
                <w:lang w:eastAsia="en-GB"/>
              </w:rPr>
            </w:pPr>
            <w:r w:rsidRPr="00CA5237">
              <w:rPr>
                <w:rFonts w:ascii="Arial" w:hAnsi="Arial" w:cs="Arial"/>
                <w:b/>
                <w:bCs/>
                <w:color w:val="000000"/>
                <w:sz w:val="22"/>
                <w:szCs w:val="22"/>
                <w:lang w:eastAsia="en-GB"/>
              </w:rPr>
              <w:t>Oxford Tube (Stagecoach)</w:t>
            </w:r>
          </w:p>
        </w:tc>
        <w:tc>
          <w:tcPr>
            <w:tcW w:w="1136" w:type="dxa"/>
            <w:tcBorders>
              <w:top w:val="nil"/>
              <w:left w:val="nil"/>
              <w:bottom w:val="single" w:sz="4" w:space="0" w:color="auto"/>
              <w:right w:val="nil"/>
            </w:tcBorders>
            <w:shd w:val="clear" w:color="auto" w:fill="auto"/>
            <w:noWrap/>
            <w:vAlign w:val="bottom"/>
            <w:hideMark/>
          </w:tcPr>
          <w:p w14:paraId="1FFE3E0E"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86%</w:t>
            </w:r>
          </w:p>
        </w:tc>
        <w:tc>
          <w:tcPr>
            <w:tcW w:w="1268" w:type="dxa"/>
            <w:tcBorders>
              <w:top w:val="nil"/>
              <w:left w:val="single" w:sz="8" w:space="0" w:color="auto"/>
              <w:bottom w:val="single" w:sz="4" w:space="0" w:color="auto"/>
              <w:right w:val="single" w:sz="8" w:space="0" w:color="auto"/>
            </w:tcBorders>
            <w:shd w:val="clear" w:color="auto" w:fill="auto"/>
            <w:noWrap/>
            <w:vAlign w:val="bottom"/>
            <w:hideMark/>
          </w:tcPr>
          <w:p w14:paraId="779F5914"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86%</w:t>
            </w:r>
          </w:p>
        </w:tc>
        <w:tc>
          <w:tcPr>
            <w:tcW w:w="1060" w:type="dxa"/>
            <w:tcBorders>
              <w:top w:val="single" w:sz="8" w:space="0" w:color="auto"/>
              <w:left w:val="nil"/>
              <w:bottom w:val="single" w:sz="4" w:space="0" w:color="auto"/>
              <w:right w:val="nil"/>
            </w:tcBorders>
            <w:shd w:val="clear" w:color="000000" w:fill="FFFF00"/>
            <w:noWrap/>
            <w:vAlign w:val="bottom"/>
            <w:hideMark/>
          </w:tcPr>
          <w:p w14:paraId="372944BC"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86.23%</w:t>
            </w:r>
          </w:p>
        </w:tc>
        <w:tc>
          <w:tcPr>
            <w:tcW w:w="880" w:type="dxa"/>
            <w:tcBorders>
              <w:top w:val="single" w:sz="8" w:space="0" w:color="auto"/>
              <w:left w:val="single" w:sz="8" w:space="0" w:color="auto"/>
              <w:bottom w:val="single" w:sz="4" w:space="0" w:color="auto"/>
              <w:right w:val="nil"/>
            </w:tcBorders>
            <w:shd w:val="clear" w:color="000000" w:fill="FFFF00"/>
            <w:noWrap/>
            <w:vAlign w:val="bottom"/>
            <w:hideMark/>
          </w:tcPr>
          <w:p w14:paraId="453EAC80"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81.67%</w:t>
            </w:r>
          </w:p>
        </w:tc>
        <w:tc>
          <w:tcPr>
            <w:tcW w:w="900" w:type="dxa"/>
            <w:tcBorders>
              <w:top w:val="single" w:sz="8" w:space="0" w:color="auto"/>
              <w:left w:val="single" w:sz="8" w:space="0" w:color="auto"/>
              <w:bottom w:val="single" w:sz="4" w:space="0" w:color="auto"/>
              <w:right w:val="nil"/>
            </w:tcBorders>
            <w:shd w:val="clear" w:color="000000" w:fill="FFFF00"/>
            <w:noWrap/>
            <w:vAlign w:val="bottom"/>
            <w:hideMark/>
          </w:tcPr>
          <w:p w14:paraId="106C79ED"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73.33%</w:t>
            </w:r>
          </w:p>
        </w:tc>
        <w:tc>
          <w:tcPr>
            <w:tcW w:w="960" w:type="dxa"/>
            <w:tcBorders>
              <w:top w:val="single" w:sz="8" w:space="0" w:color="auto"/>
              <w:left w:val="single" w:sz="8" w:space="0" w:color="auto"/>
              <w:bottom w:val="single" w:sz="4" w:space="0" w:color="auto"/>
              <w:right w:val="single" w:sz="8" w:space="0" w:color="auto"/>
            </w:tcBorders>
            <w:shd w:val="clear" w:color="000000" w:fill="FFFF00"/>
            <w:noWrap/>
            <w:vAlign w:val="bottom"/>
            <w:hideMark/>
          </w:tcPr>
          <w:p w14:paraId="2C8E4141"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66.67%</w:t>
            </w:r>
          </w:p>
        </w:tc>
        <w:tc>
          <w:tcPr>
            <w:tcW w:w="967" w:type="dxa"/>
            <w:vMerge/>
            <w:tcBorders>
              <w:top w:val="single" w:sz="8" w:space="0" w:color="auto"/>
              <w:left w:val="single" w:sz="8" w:space="0" w:color="auto"/>
              <w:bottom w:val="nil"/>
              <w:right w:val="single" w:sz="8" w:space="0" w:color="auto"/>
            </w:tcBorders>
            <w:vAlign w:val="center"/>
            <w:hideMark/>
          </w:tcPr>
          <w:p w14:paraId="686A3161" w14:textId="77777777" w:rsidR="003B42C7" w:rsidRPr="00CA5237" w:rsidRDefault="003B42C7" w:rsidP="003B42C7">
            <w:pPr>
              <w:rPr>
                <w:rFonts w:ascii="Arial" w:hAnsi="Arial" w:cs="Arial"/>
                <w:b/>
                <w:bCs/>
                <w:color w:val="000000"/>
                <w:sz w:val="22"/>
                <w:szCs w:val="22"/>
                <w:lang w:eastAsia="en-GB"/>
              </w:rPr>
            </w:pPr>
          </w:p>
        </w:tc>
      </w:tr>
      <w:tr w:rsidR="003B42C7" w:rsidRPr="00CA5237" w14:paraId="0D1EAC3A" w14:textId="77777777" w:rsidTr="003B42C7">
        <w:trPr>
          <w:trHeight w:val="315"/>
        </w:trPr>
        <w:tc>
          <w:tcPr>
            <w:tcW w:w="2548" w:type="dxa"/>
            <w:tcBorders>
              <w:top w:val="nil"/>
              <w:left w:val="single" w:sz="8" w:space="0" w:color="auto"/>
              <w:bottom w:val="single" w:sz="4" w:space="0" w:color="auto"/>
              <w:right w:val="single" w:sz="8" w:space="0" w:color="auto"/>
            </w:tcBorders>
            <w:shd w:val="clear" w:color="auto" w:fill="auto"/>
            <w:noWrap/>
            <w:vAlign w:val="center"/>
            <w:hideMark/>
          </w:tcPr>
          <w:p w14:paraId="77366A6F" w14:textId="77777777" w:rsidR="003B42C7" w:rsidRPr="00CA5237" w:rsidRDefault="003B42C7" w:rsidP="003B42C7">
            <w:pPr>
              <w:rPr>
                <w:rFonts w:ascii="Arial" w:hAnsi="Arial" w:cs="Arial"/>
                <w:b/>
                <w:bCs/>
                <w:color w:val="000000"/>
                <w:sz w:val="22"/>
                <w:szCs w:val="22"/>
                <w:lang w:eastAsia="en-GB"/>
              </w:rPr>
            </w:pPr>
            <w:r w:rsidRPr="00CA5237">
              <w:rPr>
                <w:rFonts w:ascii="Arial" w:hAnsi="Arial" w:cs="Arial"/>
                <w:b/>
                <w:bCs/>
                <w:color w:val="000000"/>
                <w:sz w:val="22"/>
                <w:szCs w:val="22"/>
                <w:lang w:eastAsia="en-GB"/>
              </w:rPr>
              <w:t>Reading Buses</w:t>
            </w:r>
          </w:p>
        </w:tc>
        <w:tc>
          <w:tcPr>
            <w:tcW w:w="1136" w:type="dxa"/>
            <w:tcBorders>
              <w:top w:val="nil"/>
              <w:left w:val="nil"/>
              <w:bottom w:val="single" w:sz="4" w:space="0" w:color="auto"/>
              <w:right w:val="nil"/>
            </w:tcBorders>
            <w:shd w:val="clear" w:color="auto" w:fill="auto"/>
            <w:noWrap/>
            <w:vAlign w:val="bottom"/>
            <w:hideMark/>
          </w:tcPr>
          <w:p w14:paraId="7D9E098D"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100%</w:t>
            </w:r>
          </w:p>
        </w:tc>
        <w:tc>
          <w:tcPr>
            <w:tcW w:w="1268" w:type="dxa"/>
            <w:tcBorders>
              <w:top w:val="nil"/>
              <w:left w:val="single" w:sz="8" w:space="0" w:color="auto"/>
              <w:bottom w:val="single" w:sz="4" w:space="0" w:color="auto"/>
              <w:right w:val="single" w:sz="8" w:space="0" w:color="auto"/>
            </w:tcBorders>
            <w:shd w:val="clear" w:color="auto" w:fill="auto"/>
            <w:noWrap/>
            <w:vAlign w:val="bottom"/>
            <w:hideMark/>
          </w:tcPr>
          <w:p w14:paraId="32E14F59"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100%</w:t>
            </w:r>
          </w:p>
        </w:tc>
        <w:tc>
          <w:tcPr>
            <w:tcW w:w="1060" w:type="dxa"/>
            <w:tcBorders>
              <w:top w:val="single" w:sz="8" w:space="0" w:color="auto"/>
              <w:left w:val="nil"/>
              <w:bottom w:val="single" w:sz="4" w:space="0" w:color="auto"/>
              <w:right w:val="nil"/>
            </w:tcBorders>
            <w:shd w:val="clear" w:color="000000" w:fill="FFFF00"/>
            <w:noWrap/>
            <w:vAlign w:val="bottom"/>
            <w:hideMark/>
          </w:tcPr>
          <w:p w14:paraId="08ADDD2E"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88.33%</w:t>
            </w:r>
          </w:p>
        </w:tc>
        <w:tc>
          <w:tcPr>
            <w:tcW w:w="880" w:type="dxa"/>
            <w:tcBorders>
              <w:top w:val="single" w:sz="8" w:space="0" w:color="auto"/>
              <w:left w:val="single" w:sz="8" w:space="0" w:color="auto"/>
              <w:bottom w:val="single" w:sz="4" w:space="0" w:color="auto"/>
              <w:right w:val="nil"/>
            </w:tcBorders>
            <w:shd w:val="clear" w:color="000000" w:fill="FFFF00"/>
            <w:noWrap/>
            <w:vAlign w:val="bottom"/>
            <w:hideMark/>
          </w:tcPr>
          <w:p w14:paraId="110AEB01"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81.67%</w:t>
            </w:r>
          </w:p>
        </w:tc>
        <w:tc>
          <w:tcPr>
            <w:tcW w:w="900" w:type="dxa"/>
            <w:tcBorders>
              <w:top w:val="single" w:sz="8" w:space="0" w:color="auto"/>
              <w:left w:val="single" w:sz="8" w:space="0" w:color="auto"/>
              <w:bottom w:val="single" w:sz="4" w:space="0" w:color="auto"/>
              <w:right w:val="nil"/>
            </w:tcBorders>
            <w:shd w:val="clear" w:color="000000" w:fill="FFFF00"/>
            <w:noWrap/>
            <w:vAlign w:val="bottom"/>
            <w:hideMark/>
          </w:tcPr>
          <w:p w14:paraId="6AE64F2A"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73.33%</w:t>
            </w:r>
          </w:p>
        </w:tc>
        <w:tc>
          <w:tcPr>
            <w:tcW w:w="960" w:type="dxa"/>
            <w:tcBorders>
              <w:top w:val="single" w:sz="8" w:space="0" w:color="auto"/>
              <w:left w:val="single" w:sz="8" w:space="0" w:color="auto"/>
              <w:bottom w:val="single" w:sz="4" w:space="0" w:color="auto"/>
              <w:right w:val="single" w:sz="8" w:space="0" w:color="auto"/>
            </w:tcBorders>
            <w:shd w:val="clear" w:color="000000" w:fill="FFFF00"/>
            <w:noWrap/>
            <w:vAlign w:val="bottom"/>
            <w:hideMark/>
          </w:tcPr>
          <w:p w14:paraId="2077FB3E"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66.67%</w:t>
            </w:r>
          </w:p>
        </w:tc>
        <w:tc>
          <w:tcPr>
            <w:tcW w:w="967" w:type="dxa"/>
            <w:vMerge/>
            <w:tcBorders>
              <w:top w:val="single" w:sz="8" w:space="0" w:color="auto"/>
              <w:left w:val="single" w:sz="8" w:space="0" w:color="auto"/>
              <w:bottom w:val="nil"/>
              <w:right w:val="single" w:sz="8" w:space="0" w:color="auto"/>
            </w:tcBorders>
            <w:vAlign w:val="center"/>
            <w:hideMark/>
          </w:tcPr>
          <w:p w14:paraId="35EE2C1A" w14:textId="77777777" w:rsidR="003B42C7" w:rsidRPr="00CA5237" w:rsidRDefault="003B42C7" w:rsidP="003B42C7">
            <w:pPr>
              <w:rPr>
                <w:rFonts w:ascii="Arial" w:hAnsi="Arial" w:cs="Arial"/>
                <w:b/>
                <w:bCs/>
                <w:color w:val="000000"/>
                <w:sz w:val="22"/>
                <w:szCs w:val="22"/>
                <w:lang w:eastAsia="en-GB"/>
              </w:rPr>
            </w:pPr>
          </w:p>
        </w:tc>
      </w:tr>
      <w:tr w:rsidR="003B42C7" w:rsidRPr="00CA5237" w14:paraId="71A293C3" w14:textId="77777777" w:rsidTr="003B42C7">
        <w:trPr>
          <w:trHeight w:val="315"/>
        </w:trPr>
        <w:tc>
          <w:tcPr>
            <w:tcW w:w="2548" w:type="dxa"/>
            <w:tcBorders>
              <w:top w:val="nil"/>
              <w:left w:val="single" w:sz="8" w:space="0" w:color="auto"/>
              <w:bottom w:val="single" w:sz="4" w:space="0" w:color="auto"/>
              <w:right w:val="single" w:sz="8" w:space="0" w:color="auto"/>
            </w:tcBorders>
            <w:shd w:val="clear" w:color="auto" w:fill="auto"/>
            <w:noWrap/>
            <w:vAlign w:val="center"/>
            <w:hideMark/>
          </w:tcPr>
          <w:p w14:paraId="6CC1EB2F" w14:textId="77777777" w:rsidR="003B42C7" w:rsidRPr="00CA5237" w:rsidRDefault="003B42C7" w:rsidP="003B42C7">
            <w:pPr>
              <w:rPr>
                <w:rFonts w:ascii="Arial" w:hAnsi="Arial" w:cs="Arial"/>
                <w:b/>
                <w:bCs/>
                <w:color w:val="000000"/>
                <w:sz w:val="22"/>
                <w:szCs w:val="22"/>
                <w:lang w:eastAsia="en-GB"/>
              </w:rPr>
            </w:pPr>
            <w:proofErr w:type="spellStart"/>
            <w:r w:rsidRPr="00CA5237">
              <w:rPr>
                <w:rFonts w:ascii="Arial" w:hAnsi="Arial" w:cs="Arial"/>
                <w:b/>
                <w:bCs/>
                <w:color w:val="000000"/>
                <w:sz w:val="22"/>
                <w:szCs w:val="22"/>
                <w:lang w:eastAsia="en-GB"/>
              </w:rPr>
              <w:t>Reptons</w:t>
            </w:r>
            <w:proofErr w:type="spellEnd"/>
            <w:r w:rsidRPr="00CA5237">
              <w:rPr>
                <w:rFonts w:ascii="Arial" w:hAnsi="Arial" w:cs="Arial"/>
                <w:b/>
                <w:bCs/>
                <w:color w:val="000000"/>
                <w:sz w:val="22"/>
                <w:szCs w:val="22"/>
                <w:lang w:eastAsia="en-GB"/>
              </w:rPr>
              <w:t xml:space="preserve"> Coaches</w:t>
            </w:r>
          </w:p>
        </w:tc>
        <w:tc>
          <w:tcPr>
            <w:tcW w:w="1136" w:type="dxa"/>
            <w:tcBorders>
              <w:top w:val="nil"/>
              <w:left w:val="nil"/>
              <w:bottom w:val="single" w:sz="4" w:space="0" w:color="auto"/>
              <w:right w:val="nil"/>
            </w:tcBorders>
            <w:shd w:val="clear" w:color="auto" w:fill="auto"/>
            <w:noWrap/>
            <w:vAlign w:val="bottom"/>
            <w:hideMark/>
          </w:tcPr>
          <w:p w14:paraId="66685A2A"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100%</w:t>
            </w:r>
          </w:p>
        </w:tc>
        <w:tc>
          <w:tcPr>
            <w:tcW w:w="1268" w:type="dxa"/>
            <w:tcBorders>
              <w:top w:val="nil"/>
              <w:left w:val="single" w:sz="8" w:space="0" w:color="auto"/>
              <w:bottom w:val="single" w:sz="4" w:space="0" w:color="auto"/>
              <w:right w:val="single" w:sz="8" w:space="0" w:color="auto"/>
            </w:tcBorders>
            <w:shd w:val="clear" w:color="auto" w:fill="auto"/>
            <w:noWrap/>
            <w:vAlign w:val="bottom"/>
            <w:hideMark/>
          </w:tcPr>
          <w:p w14:paraId="4C57F345"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100%</w:t>
            </w:r>
          </w:p>
        </w:tc>
        <w:tc>
          <w:tcPr>
            <w:tcW w:w="1060" w:type="dxa"/>
            <w:tcBorders>
              <w:top w:val="single" w:sz="8" w:space="0" w:color="auto"/>
              <w:left w:val="nil"/>
              <w:bottom w:val="single" w:sz="4" w:space="0" w:color="auto"/>
              <w:right w:val="nil"/>
            </w:tcBorders>
            <w:shd w:val="clear" w:color="000000" w:fill="FFFF00"/>
            <w:noWrap/>
            <w:vAlign w:val="bottom"/>
            <w:hideMark/>
          </w:tcPr>
          <w:p w14:paraId="651C7B20"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88.33%</w:t>
            </w:r>
          </w:p>
        </w:tc>
        <w:tc>
          <w:tcPr>
            <w:tcW w:w="880" w:type="dxa"/>
            <w:tcBorders>
              <w:top w:val="single" w:sz="8" w:space="0" w:color="auto"/>
              <w:left w:val="single" w:sz="8" w:space="0" w:color="auto"/>
              <w:bottom w:val="single" w:sz="4" w:space="0" w:color="auto"/>
              <w:right w:val="nil"/>
            </w:tcBorders>
            <w:shd w:val="clear" w:color="000000" w:fill="FFFF00"/>
            <w:noWrap/>
            <w:vAlign w:val="bottom"/>
            <w:hideMark/>
          </w:tcPr>
          <w:p w14:paraId="10AC6B65"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81.67%</w:t>
            </w:r>
          </w:p>
        </w:tc>
        <w:tc>
          <w:tcPr>
            <w:tcW w:w="900" w:type="dxa"/>
            <w:tcBorders>
              <w:top w:val="single" w:sz="8" w:space="0" w:color="auto"/>
              <w:left w:val="single" w:sz="8" w:space="0" w:color="auto"/>
              <w:bottom w:val="single" w:sz="4" w:space="0" w:color="auto"/>
              <w:right w:val="nil"/>
            </w:tcBorders>
            <w:shd w:val="clear" w:color="000000" w:fill="FFFF00"/>
            <w:noWrap/>
            <w:vAlign w:val="bottom"/>
            <w:hideMark/>
          </w:tcPr>
          <w:p w14:paraId="41A0C354"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73.33%</w:t>
            </w:r>
          </w:p>
        </w:tc>
        <w:tc>
          <w:tcPr>
            <w:tcW w:w="960" w:type="dxa"/>
            <w:tcBorders>
              <w:top w:val="single" w:sz="8" w:space="0" w:color="auto"/>
              <w:left w:val="single" w:sz="8" w:space="0" w:color="auto"/>
              <w:bottom w:val="single" w:sz="4" w:space="0" w:color="auto"/>
              <w:right w:val="single" w:sz="8" w:space="0" w:color="auto"/>
            </w:tcBorders>
            <w:shd w:val="clear" w:color="000000" w:fill="FFFF00"/>
            <w:noWrap/>
            <w:vAlign w:val="bottom"/>
            <w:hideMark/>
          </w:tcPr>
          <w:p w14:paraId="4F724BDA"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66.67%</w:t>
            </w:r>
          </w:p>
        </w:tc>
        <w:tc>
          <w:tcPr>
            <w:tcW w:w="967" w:type="dxa"/>
            <w:vMerge/>
            <w:tcBorders>
              <w:top w:val="single" w:sz="8" w:space="0" w:color="auto"/>
              <w:left w:val="single" w:sz="8" w:space="0" w:color="auto"/>
              <w:bottom w:val="nil"/>
              <w:right w:val="single" w:sz="8" w:space="0" w:color="auto"/>
            </w:tcBorders>
            <w:vAlign w:val="center"/>
            <w:hideMark/>
          </w:tcPr>
          <w:p w14:paraId="6ED4B7F8" w14:textId="77777777" w:rsidR="003B42C7" w:rsidRPr="00CA5237" w:rsidRDefault="003B42C7" w:rsidP="003B42C7">
            <w:pPr>
              <w:rPr>
                <w:rFonts w:ascii="Arial" w:hAnsi="Arial" w:cs="Arial"/>
                <w:b/>
                <w:bCs/>
                <w:color w:val="000000"/>
                <w:sz w:val="22"/>
                <w:szCs w:val="22"/>
                <w:lang w:eastAsia="en-GB"/>
              </w:rPr>
            </w:pPr>
          </w:p>
        </w:tc>
      </w:tr>
      <w:tr w:rsidR="003B42C7" w:rsidRPr="00CA5237" w14:paraId="5875D642" w14:textId="77777777" w:rsidTr="003B42C7">
        <w:trPr>
          <w:trHeight w:val="315"/>
        </w:trPr>
        <w:tc>
          <w:tcPr>
            <w:tcW w:w="2548" w:type="dxa"/>
            <w:tcBorders>
              <w:top w:val="nil"/>
              <w:left w:val="single" w:sz="8" w:space="0" w:color="auto"/>
              <w:bottom w:val="single" w:sz="4" w:space="0" w:color="auto"/>
              <w:right w:val="single" w:sz="8" w:space="0" w:color="auto"/>
            </w:tcBorders>
            <w:shd w:val="clear" w:color="auto" w:fill="auto"/>
            <w:noWrap/>
            <w:vAlign w:val="center"/>
            <w:hideMark/>
          </w:tcPr>
          <w:p w14:paraId="050B849F" w14:textId="77777777" w:rsidR="003B42C7" w:rsidRPr="00CA5237" w:rsidRDefault="003B42C7" w:rsidP="003B42C7">
            <w:pPr>
              <w:rPr>
                <w:rFonts w:ascii="Arial" w:hAnsi="Arial" w:cs="Arial"/>
                <w:b/>
                <w:bCs/>
                <w:color w:val="000000"/>
                <w:sz w:val="22"/>
                <w:szCs w:val="22"/>
                <w:lang w:eastAsia="en-GB"/>
              </w:rPr>
            </w:pPr>
            <w:r w:rsidRPr="00CA5237">
              <w:rPr>
                <w:rFonts w:ascii="Arial" w:hAnsi="Arial" w:cs="Arial"/>
                <w:b/>
                <w:bCs/>
                <w:color w:val="000000"/>
                <w:sz w:val="22"/>
                <w:szCs w:val="22"/>
                <w:lang w:eastAsia="en-GB"/>
              </w:rPr>
              <w:t>Southdown PSV</w:t>
            </w:r>
          </w:p>
        </w:tc>
        <w:tc>
          <w:tcPr>
            <w:tcW w:w="1136" w:type="dxa"/>
            <w:tcBorders>
              <w:top w:val="nil"/>
              <w:left w:val="nil"/>
              <w:bottom w:val="single" w:sz="4" w:space="0" w:color="auto"/>
              <w:right w:val="nil"/>
            </w:tcBorders>
            <w:shd w:val="clear" w:color="auto" w:fill="auto"/>
            <w:noWrap/>
            <w:vAlign w:val="bottom"/>
            <w:hideMark/>
          </w:tcPr>
          <w:p w14:paraId="25EB8714"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97%</w:t>
            </w:r>
          </w:p>
        </w:tc>
        <w:tc>
          <w:tcPr>
            <w:tcW w:w="1268" w:type="dxa"/>
            <w:tcBorders>
              <w:top w:val="nil"/>
              <w:left w:val="single" w:sz="8" w:space="0" w:color="auto"/>
              <w:bottom w:val="single" w:sz="4" w:space="0" w:color="auto"/>
              <w:right w:val="single" w:sz="8" w:space="0" w:color="auto"/>
            </w:tcBorders>
            <w:shd w:val="clear" w:color="auto" w:fill="auto"/>
            <w:noWrap/>
            <w:vAlign w:val="bottom"/>
            <w:hideMark/>
          </w:tcPr>
          <w:p w14:paraId="57A9D066"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99%</w:t>
            </w:r>
          </w:p>
        </w:tc>
        <w:tc>
          <w:tcPr>
            <w:tcW w:w="1060" w:type="dxa"/>
            <w:tcBorders>
              <w:top w:val="single" w:sz="8" w:space="0" w:color="auto"/>
              <w:left w:val="nil"/>
              <w:bottom w:val="single" w:sz="4" w:space="0" w:color="auto"/>
              <w:right w:val="nil"/>
            </w:tcBorders>
            <w:shd w:val="clear" w:color="000000" w:fill="FFFF00"/>
            <w:noWrap/>
            <w:vAlign w:val="bottom"/>
            <w:hideMark/>
          </w:tcPr>
          <w:p w14:paraId="28ACB37F"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88.33%</w:t>
            </w:r>
          </w:p>
        </w:tc>
        <w:tc>
          <w:tcPr>
            <w:tcW w:w="880" w:type="dxa"/>
            <w:tcBorders>
              <w:top w:val="single" w:sz="8" w:space="0" w:color="auto"/>
              <w:left w:val="single" w:sz="8" w:space="0" w:color="auto"/>
              <w:bottom w:val="single" w:sz="4" w:space="0" w:color="auto"/>
              <w:right w:val="nil"/>
            </w:tcBorders>
            <w:shd w:val="clear" w:color="000000" w:fill="FFFF00"/>
            <w:noWrap/>
            <w:vAlign w:val="bottom"/>
            <w:hideMark/>
          </w:tcPr>
          <w:p w14:paraId="046ECBD5"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81.67%</w:t>
            </w:r>
          </w:p>
        </w:tc>
        <w:tc>
          <w:tcPr>
            <w:tcW w:w="900" w:type="dxa"/>
            <w:tcBorders>
              <w:top w:val="single" w:sz="8" w:space="0" w:color="auto"/>
              <w:left w:val="single" w:sz="8" w:space="0" w:color="auto"/>
              <w:bottom w:val="single" w:sz="4" w:space="0" w:color="auto"/>
              <w:right w:val="nil"/>
            </w:tcBorders>
            <w:shd w:val="clear" w:color="000000" w:fill="FFFF00"/>
            <w:noWrap/>
            <w:vAlign w:val="bottom"/>
            <w:hideMark/>
          </w:tcPr>
          <w:p w14:paraId="298E62CD"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73.33%</w:t>
            </w:r>
          </w:p>
        </w:tc>
        <w:tc>
          <w:tcPr>
            <w:tcW w:w="960" w:type="dxa"/>
            <w:tcBorders>
              <w:top w:val="single" w:sz="8" w:space="0" w:color="auto"/>
              <w:left w:val="single" w:sz="8" w:space="0" w:color="auto"/>
              <w:bottom w:val="single" w:sz="4" w:space="0" w:color="auto"/>
              <w:right w:val="single" w:sz="8" w:space="0" w:color="auto"/>
            </w:tcBorders>
            <w:shd w:val="clear" w:color="000000" w:fill="FFFF00"/>
            <w:noWrap/>
            <w:vAlign w:val="bottom"/>
            <w:hideMark/>
          </w:tcPr>
          <w:p w14:paraId="567123B2"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66.67%</w:t>
            </w:r>
          </w:p>
        </w:tc>
        <w:tc>
          <w:tcPr>
            <w:tcW w:w="967" w:type="dxa"/>
            <w:vMerge/>
            <w:tcBorders>
              <w:top w:val="single" w:sz="8" w:space="0" w:color="auto"/>
              <w:left w:val="single" w:sz="8" w:space="0" w:color="auto"/>
              <w:bottom w:val="nil"/>
              <w:right w:val="single" w:sz="8" w:space="0" w:color="auto"/>
            </w:tcBorders>
            <w:vAlign w:val="center"/>
            <w:hideMark/>
          </w:tcPr>
          <w:p w14:paraId="4D73399B" w14:textId="77777777" w:rsidR="003B42C7" w:rsidRPr="00CA5237" w:rsidRDefault="003B42C7" w:rsidP="003B42C7">
            <w:pPr>
              <w:rPr>
                <w:rFonts w:ascii="Arial" w:hAnsi="Arial" w:cs="Arial"/>
                <w:b/>
                <w:bCs/>
                <w:color w:val="000000"/>
                <w:sz w:val="22"/>
                <w:szCs w:val="22"/>
                <w:lang w:eastAsia="en-GB"/>
              </w:rPr>
            </w:pPr>
          </w:p>
        </w:tc>
      </w:tr>
      <w:tr w:rsidR="003B42C7" w:rsidRPr="00CA5237" w14:paraId="11D92669" w14:textId="77777777" w:rsidTr="003B42C7">
        <w:trPr>
          <w:trHeight w:val="315"/>
        </w:trPr>
        <w:tc>
          <w:tcPr>
            <w:tcW w:w="2548" w:type="dxa"/>
            <w:tcBorders>
              <w:top w:val="nil"/>
              <w:left w:val="single" w:sz="8" w:space="0" w:color="auto"/>
              <w:bottom w:val="single" w:sz="4" w:space="0" w:color="auto"/>
              <w:right w:val="single" w:sz="8" w:space="0" w:color="auto"/>
            </w:tcBorders>
            <w:shd w:val="clear" w:color="auto" w:fill="auto"/>
            <w:noWrap/>
            <w:vAlign w:val="center"/>
            <w:hideMark/>
          </w:tcPr>
          <w:p w14:paraId="3BA991D8" w14:textId="77777777" w:rsidR="003B42C7" w:rsidRPr="00CA5237" w:rsidRDefault="003B42C7" w:rsidP="003B42C7">
            <w:pPr>
              <w:rPr>
                <w:rFonts w:ascii="Arial" w:hAnsi="Arial" w:cs="Arial"/>
                <w:b/>
                <w:bCs/>
                <w:color w:val="000000"/>
                <w:sz w:val="22"/>
                <w:szCs w:val="22"/>
                <w:lang w:eastAsia="en-GB"/>
              </w:rPr>
            </w:pPr>
            <w:r w:rsidRPr="00CA5237">
              <w:rPr>
                <w:rFonts w:ascii="Arial" w:hAnsi="Arial" w:cs="Arial"/>
                <w:b/>
                <w:bCs/>
                <w:color w:val="000000"/>
                <w:sz w:val="22"/>
                <w:szCs w:val="22"/>
                <w:lang w:eastAsia="en-GB"/>
              </w:rPr>
              <w:t>Stagecoach south</w:t>
            </w:r>
          </w:p>
        </w:tc>
        <w:tc>
          <w:tcPr>
            <w:tcW w:w="1136" w:type="dxa"/>
            <w:tcBorders>
              <w:top w:val="nil"/>
              <w:left w:val="nil"/>
              <w:bottom w:val="single" w:sz="4" w:space="0" w:color="auto"/>
              <w:right w:val="nil"/>
            </w:tcBorders>
            <w:shd w:val="clear" w:color="auto" w:fill="auto"/>
            <w:noWrap/>
            <w:vAlign w:val="bottom"/>
            <w:hideMark/>
          </w:tcPr>
          <w:p w14:paraId="734CEC93"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100%</w:t>
            </w:r>
          </w:p>
        </w:tc>
        <w:tc>
          <w:tcPr>
            <w:tcW w:w="1268" w:type="dxa"/>
            <w:tcBorders>
              <w:top w:val="nil"/>
              <w:left w:val="single" w:sz="8" w:space="0" w:color="auto"/>
              <w:bottom w:val="single" w:sz="4" w:space="0" w:color="auto"/>
              <w:right w:val="single" w:sz="8" w:space="0" w:color="auto"/>
            </w:tcBorders>
            <w:shd w:val="clear" w:color="auto" w:fill="auto"/>
            <w:noWrap/>
            <w:vAlign w:val="bottom"/>
            <w:hideMark/>
          </w:tcPr>
          <w:p w14:paraId="691CACD3"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100%</w:t>
            </w:r>
          </w:p>
        </w:tc>
        <w:tc>
          <w:tcPr>
            <w:tcW w:w="1060" w:type="dxa"/>
            <w:tcBorders>
              <w:top w:val="single" w:sz="8" w:space="0" w:color="auto"/>
              <w:left w:val="nil"/>
              <w:bottom w:val="single" w:sz="4" w:space="0" w:color="auto"/>
              <w:right w:val="nil"/>
            </w:tcBorders>
            <w:shd w:val="clear" w:color="000000" w:fill="FFFF00"/>
            <w:noWrap/>
            <w:vAlign w:val="bottom"/>
            <w:hideMark/>
          </w:tcPr>
          <w:p w14:paraId="0C1F0A60"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88.33%</w:t>
            </w:r>
          </w:p>
        </w:tc>
        <w:tc>
          <w:tcPr>
            <w:tcW w:w="880" w:type="dxa"/>
            <w:tcBorders>
              <w:top w:val="single" w:sz="8" w:space="0" w:color="auto"/>
              <w:left w:val="single" w:sz="8" w:space="0" w:color="auto"/>
              <w:bottom w:val="single" w:sz="4" w:space="0" w:color="auto"/>
              <w:right w:val="nil"/>
            </w:tcBorders>
            <w:shd w:val="clear" w:color="000000" w:fill="FFFF00"/>
            <w:noWrap/>
            <w:vAlign w:val="bottom"/>
            <w:hideMark/>
          </w:tcPr>
          <w:p w14:paraId="1DDDB1AF"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81.67%</w:t>
            </w:r>
          </w:p>
        </w:tc>
        <w:tc>
          <w:tcPr>
            <w:tcW w:w="900" w:type="dxa"/>
            <w:tcBorders>
              <w:top w:val="single" w:sz="8" w:space="0" w:color="auto"/>
              <w:left w:val="single" w:sz="8" w:space="0" w:color="auto"/>
              <w:bottom w:val="single" w:sz="4" w:space="0" w:color="auto"/>
              <w:right w:val="nil"/>
            </w:tcBorders>
            <w:shd w:val="clear" w:color="000000" w:fill="FFFF00"/>
            <w:noWrap/>
            <w:vAlign w:val="bottom"/>
            <w:hideMark/>
          </w:tcPr>
          <w:p w14:paraId="5CF651E0"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73.33%</w:t>
            </w:r>
          </w:p>
        </w:tc>
        <w:tc>
          <w:tcPr>
            <w:tcW w:w="960" w:type="dxa"/>
            <w:tcBorders>
              <w:top w:val="single" w:sz="8" w:space="0" w:color="auto"/>
              <w:left w:val="single" w:sz="8" w:space="0" w:color="auto"/>
              <w:bottom w:val="single" w:sz="4" w:space="0" w:color="auto"/>
              <w:right w:val="single" w:sz="8" w:space="0" w:color="auto"/>
            </w:tcBorders>
            <w:shd w:val="clear" w:color="000000" w:fill="FFFF00"/>
            <w:noWrap/>
            <w:vAlign w:val="bottom"/>
            <w:hideMark/>
          </w:tcPr>
          <w:p w14:paraId="70AFED44"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66.67%</w:t>
            </w:r>
          </w:p>
        </w:tc>
        <w:tc>
          <w:tcPr>
            <w:tcW w:w="967" w:type="dxa"/>
            <w:vMerge/>
            <w:tcBorders>
              <w:top w:val="single" w:sz="8" w:space="0" w:color="auto"/>
              <w:left w:val="single" w:sz="8" w:space="0" w:color="auto"/>
              <w:bottom w:val="nil"/>
              <w:right w:val="single" w:sz="8" w:space="0" w:color="auto"/>
            </w:tcBorders>
            <w:vAlign w:val="center"/>
            <w:hideMark/>
          </w:tcPr>
          <w:p w14:paraId="282E4350" w14:textId="77777777" w:rsidR="003B42C7" w:rsidRPr="00CA5237" w:rsidRDefault="003B42C7" w:rsidP="003B42C7">
            <w:pPr>
              <w:rPr>
                <w:rFonts w:ascii="Arial" w:hAnsi="Arial" w:cs="Arial"/>
                <w:b/>
                <w:bCs/>
                <w:color w:val="000000"/>
                <w:sz w:val="22"/>
                <w:szCs w:val="22"/>
                <w:lang w:eastAsia="en-GB"/>
              </w:rPr>
            </w:pPr>
          </w:p>
        </w:tc>
      </w:tr>
      <w:tr w:rsidR="003B42C7" w:rsidRPr="00CA5237" w14:paraId="1A0270D2" w14:textId="77777777" w:rsidTr="003B42C7">
        <w:trPr>
          <w:trHeight w:val="315"/>
        </w:trPr>
        <w:tc>
          <w:tcPr>
            <w:tcW w:w="2548" w:type="dxa"/>
            <w:tcBorders>
              <w:top w:val="nil"/>
              <w:left w:val="single" w:sz="8" w:space="0" w:color="auto"/>
              <w:bottom w:val="single" w:sz="4" w:space="0" w:color="auto"/>
              <w:right w:val="single" w:sz="8" w:space="0" w:color="auto"/>
            </w:tcBorders>
            <w:shd w:val="clear" w:color="auto" w:fill="auto"/>
            <w:noWrap/>
            <w:vAlign w:val="center"/>
            <w:hideMark/>
          </w:tcPr>
          <w:p w14:paraId="52A35586" w14:textId="77777777" w:rsidR="003B42C7" w:rsidRPr="00CA5237" w:rsidRDefault="003B42C7" w:rsidP="003B42C7">
            <w:pPr>
              <w:rPr>
                <w:rFonts w:ascii="Arial" w:hAnsi="Arial" w:cs="Arial"/>
                <w:b/>
                <w:bCs/>
                <w:color w:val="000000"/>
                <w:sz w:val="22"/>
                <w:szCs w:val="22"/>
                <w:lang w:eastAsia="en-GB"/>
              </w:rPr>
            </w:pPr>
            <w:r w:rsidRPr="00CA5237">
              <w:rPr>
                <w:rFonts w:ascii="Arial" w:hAnsi="Arial" w:cs="Arial"/>
                <w:b/>
                <w:bCs/>
                <w:color w:val="000000"/>
                <w:sz w:val="22"/>
                <w:szCs w:val="22"/>
                <w:lang w:eastAsia="en-GB"/>
              </w:rPr>
              <w:t>Surrey County Councils</w:t>
            </w:r>
          </w:p>
        </w:tc>
        <w:tc>
          <w:tcPr>
            <w:tcW w:w="1136" w:type="dxa"/>
            <w:tcBorders>
              <w:top w:val="nil"/>
              <w:left w:val="nil"/>
              <w:bottom w:val="single" w:sz="4" w:space="0" w:color="auto"/>
              <w:right w:val="nil"/>
            </w:tcBorders>
            <w:shd w:val="clear" w:color="auto" w:fill="auto"/>
            <w:noWrap/>
            <w:vAlign w:val="bottom"/>
            <w:hideMark/>
          </w:tcPr>
          <w:p w14:paraId="5F14C52D"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97%</w:t>
            </w:r>
          </w:p>
        </w:tc>
        <w:tc>
          <w:tcPr>
            <w:tcW w:w="1268" w:type="dxa"/>
            <w:tcBorders>
              <w:top w:val="nil"/>
              <w:left w:val="single" w:sz="8" w:space="0" w:color="auto"/>
              <w:bottom w:val="single" w:sz="4" w:space="0" w:color="auto"/>
              <w:right w:val="single" w:sz="8" w:space="0" w:color="auto"/>
            </w:tcBorders>
            <w:shd w:val="clear" w:color="auto" w:fill="auto"/>
            <w:noWrap/>
            <w:vAlign w:val="bottom"/>
            <w:hideMark/>
          </w:tcPr>
          <w:p w14:paraId="3ADD44D6" w14:textId="77777777" w:rsidR="003B42C7" w:rsidRPr="00CA5237" w:rsidRDefault="003B42C7" w:rsidP="003B42C7">
            <w:pPr>
              <w:jc w:val="center"/>
              <w:rPr>
                <w:rFonts w:ascii="Arial" w:hAnsi="Arial" w:cs="Arial"/>
                <w:sz w:val="22"/>
                <w:szCs w:val="22"/>
                <w:lang w:eastAsia="en-GB"/>
              </w:rPr>
            </w:pPr>
            <w:r w:rsidRPr="00CA5237">
              <w:rPr>
                <w:rFonts w:ascii="Arial" w:hAnsi="Arial" w:cs="Arial"/>
                <w:sz w:val="22"/>
                <w:szCs w:val="22"/>
                <w:lang w:eastAsia="en-GB"/>
              </w:rPr>
              <w:t>96%</w:t>
            </w:r>
          </w:p>
        </w:tc>
        <w:tc>
          <w:tcPr>
            <w:tcW w:w="1060" w:type="dxa"/>
            <w:tcBorders>
              <w:top w:val="single" w:sz="8" w:space="0" w:color="auto"/>
              <w:left w:val="nil"/>
              <w:bottom w:val="single" w:sz="4" w:space="0" w:color="auto"/>
              <w:right w:val="nil"/>
            </w:tcBorders>
            <w:shd w:val="clear" w:color="000000" w:fill="FFFF00"/>
            <w:noWrap/>
            <w:vAlign w:val="bottom"/>
            <w:hideMark/>
          </w:tcPr>
          <w:p w14:paraId="55A69863"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88.33%</w:t>
            </w:r>
          </w:p>
        </w:tc>
        <w:tc>
          <w:tcPr>
            <w:tcW w:w="880" w:type="dxa"/>
            <w:tcBorders>
              <w:top w:val="single" w:sz="8" w:space="0" w:color="auto"/>
              <w:left w:val="single" w:sz="8" w:space="0" w:color="auto"/>
              <w:bottom w:val="single" w:sz="4" w:space="0" w:color="auto"/>
              <w:right w:val="nil"/>
            </w:tcBorders>
            <w:shd w:val="clear" w:color="000000" w:fill="FFFF00"/>
            <w:noWrap/>
            <w:vAlign w:val="bottom"/>
            <w:hideMark/>
          </w:tcPr>
          <w:p w14:paraId="7330F537"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81.67%</w:t>
            </w:r>
          </w:p>
        </w:tc>
        <w:tc>
          <w:tcPr>
            <w:tcW w:w="900" w:type="dxa"/>
            <w:tcBorders>
              <w:top w:val="single" w:sz="8" w:space="0" w:color="auto"/>
              <w:left w:val="single" w:sz="8" w:space="0" w:color="auto"/>
              <w:bottom w:val="single" w:sz="4" w:space="0" w:color="auto"/>
              <w:right w:val="nil"/>
            </w:tcBorders>
            <w:shd w:val="clear" w:color="000000" w:fill="FFFF00"/>
            <w:noWrap/>
            <w:vAlign w:val="bottom"/>
            <w:hideMark/>
          </w:tcPr>
          <w:p w14:paraId="383C245C"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73.33%</w:t>
            </w:r>
          </w:p>
        </w:tc>
        <w:tc>
          <w:tcPr>
            <w:tcW w:w="960" w:type="dxa"/>
            <w:tcBorders>
              <w:top w:val="single" w:sz="8" w:space="0" w:color="auto"/>
              <w:left w:val="single" w:sz="8" w:space="0" w:color="auto"/>
              <w:bottom w:val="single" w:sz="4" w:space="0" w:color="auto"/>
              <w:right w:val="single" w:sz="8" w:space="0" w:color="auto"/>
            </w:tcBorders>
            <w:shd w:val="clear" w:color="000000" w:fill="FFFF00"/>
            <w:noWrap/>
            <w:vAlign w:val="bottom"/>
            <w:hideMark/>
          </w:tcPr>
          <w:p w14:paraId="764BAE1E"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66.67%</w:t>
            </w:r>
          </w:p>
        </w:tc>
        <w:tc>
          <w:tcPr>
            <w:tcW w:w="967" w:type="dxa"/>
            <w:vMerge/>
            <w:tcBorders>
              <w:top w:val="single" w:sz="8" w:space="0" w:color="auto"/>
              <w:left w:val="single" w:sz="8" w:space="0" w:color="auto"/>
              <w:bottom w:val="nil"/>
              <w:right w:val="single" w:sz="8" w:space="0" w:color="auto"/>
            </w:tcBorders>
            <w:vAlign w:val="center"/>
            <w:hideMark/>
          </w:tcPr>
          <w:p w14:paraId="5063A6CA" w14:textId="77777777" w:rsidR="003B42C7" w:rsidRPr="00CA5237" w:rsidRDefault="003B42C7" w:rsidP="003B42C7">
            <w:pPr>
              <w:rPr>
                <w:rFonts w:ascii="Arial" w:hAnsi="Arial" w:cs="Arial"/>
                <w:b/>
                <w:bCs/>
                <w:color w:val="000000"/>
                <w:sz w:val="22"/>
                <w:szCs w:val="22"/>
                <w:lang w:eastAsia="en-GB"/>
              </w:rPr>
            </w:pPr>
          </w:p>
        </w:tc>
      </w:tr>
      <w:tr w:rsidR="003B42C7" w:rsidRPr="00CA5237" w14:paraId="5C06307E" w14:textId="77777777" w:rsidTr="003B42C7">
        <w:trPr>
          <w:trHeight w:val="315"/>
        </w:trPr>
        <w:tc>
          <w:tcPr>
            <w:tcW w:w="2548" w:type="dxa"/>
            <w:tcBorders>
              <w:top w:val="nil"/>
              <w:left w:val="single" w:sz="8" w:space="0" w:color="auto"/>
              <w:bottom w:val="single" w:sz="8" w:space="0" w:color="auto"/>
              <w:right w:val="single" w:sz="8" w:space="0" w:color="auto"/>
            </w:tcBorders>
            <w:shd w:val="clear" w:color="auto" w:fill="auto"/>
            <w:noWrap/>
            <w:vAlign w:val="center"/>
            <w:hideMark/>
          </w:tcPr>
          <w:p w14:paraId="6AAEEF2B" w14:textId="4B5059B7" w:rsidR="003B42C7" w:rsidRPr="00CA5237" w:rsidRDefault="003B42C7" w:rsidP="003B42C7">
            <w:pPr>
              <w:rPr>
                <w:rFonts w:ascii="Arial" w:hAnsi="Arial" w:cs="Arial"/>
                <w:b/>
                <w:bCs/>
                <w:color w:val="000000"/>
                <w:sz w:val="22"/>
                <w:szCs w:val="22"/>
                <w:lang w:eastAsia="en-GB"/>
              </w:rPr>
            </w:pPr>
            <w:r w:rsidRPr="00CA5237">
              <w:rPr>
                <w:rFonts w:ascii="Arial" w:hAnsi="Arial" w:cs="Arial"/>
                <w:b/>
                <w:bCs/>
                <w:color w:val="000000"/>
                <w:sz w:val="22"/>
                <w:szCs w:val="22"/>
                <w:lang w:eastAsia="en-GB"/>
              </w:rPr>
              <w:t>University Bus</w:t>
            </w:r>
          </w:p>
        </w:tc>
        <w:tc>
          <w:tcPr>
            <w:tcW w:w="1136" w:type="dxa"/>
            <w:tcBorders>
              <w:top w:val="nil"/>
              <w:left w:val="nil"/>
              <w:bottom w:val="single" w:sz="8" w:space="0" w:color="auto"/>
              <w:right w:val="nil"/>
            </w:tcBorders>
            <w:shd w:val="clear" w:color="auto" w:fill="auto"/>
            <w:noWrap/>
            <w:vAlign w:val="bottom"/>
            <w:hideMark/>
          </w:tcPr>
          <w:p w14:paraId="541A3E61"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77%</w:t>
            </w:r>
          </w:p>
        </w:tc>
        <w:tc>
          <w:tcPr>
            <w:tcW w:w="1268" w:type="dxa"/>
            <w:tcBorders>
              <w:top w:val="nil"/>
              <w:left w:val="single" w:sz="8" w:space="0" w:color="auto"/>
              <w:bottom w:val="single" w:sz="8" w:space="0" w:color="auto"/>
              <w:right w:val="single" w:sz="8" w:space="0" w:color="auto"/>
            </w:tcBorders>
            <w:shd w:val="clear" w:color="auto" w:fill="auto"/>
            <w:noWrap/>
            <w:vAlign w:val="bottom"/>
            <w:hideMark/>
          </w:tcPr>
          <w:p w14:paraId="0DD7EF73"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82%</w:t>
            </w:r>
          </w:p>
        </w:tc>
        <w:tc>
          <w:tcPr>
            <w:tcW w:w="1060" w:type="dxa"/>
            <w:tcBorders>
              <w:top w:val="single" w:sz="8" w:space="0" w:color="auto"/>
              <w:left w:val="nil"/>
              <w:bottom w:val="single" w:sz="8" w:space="0" w:color="auto"/>
              <w:right w:val="nil"/>
            </w:tcBorders>
            <w:shd w:val="clear" w:color="000000" w:fill="FFFF00"/>
            <w:noWrap/>
            <w:vAlign w:val="bottom"/>
            <w:hideMark/>
          </w:tcPr>
          <w:p w14:paraId="3009CAF2"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81.59%</w:t>
            </w:r>
          </w:p>
        </w:tc>
        <w:tc>
          <w:tcPr>
            <w:tcW w:w="880" w:type="dxa"/>
            <w:tcBorders>
              <w:top w:val="single" w:sz="8" w:space="0" w:color="auto"/>
              <w:left w:val="single" w:sz="8" w:space="0" w:color="auto"/>
              <w:bottom w:val="single" w:sz="8" w:space="0" w:color="auto"/>
              <w:right w:val="nil"/>
            </w:tcBorders>
            <w:shd w:val="clear" w:color="000000" w:fill="FFFF00"/>
            <w:noWrap/>
            <w:vAlign w:val="bottom"/>
            <w:hideMark/>
          </w:tcPr>
          <w:p w14:paraId="02BB7A4A"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81.59%</w:t>
            </w:r>
          </w:p>
        </w:tc>
        <w:tc>
          <w:tcPr>
            <w:tcW w:w="900" w:type="dxa"/>
            <w:tcBorders>
              <w:top w:val="single" w:sz="8" w:space="0" w:color="auto"/>
              <w:left w:val="single" w:sz="8" w:space="0" w:color="auto"/>
              <w:bottom w:val="single" w:sz="8" w:space="0" w:color="auto"/>
              <w:right w:val="nil"/>
            </w:tcBorders>
            <w:shd w:val="clear" w:color="000000" w:fill="FFFF00"/>
            <w:noWrap/>
            <w:vAlign w:val="bottom"/>
            <w:hideMark/>
          </w:tcPr>
          <w:p w14:paraId="6D4F0A39"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73.33%</w:t>
            </w:r>
          </w:p>
        </w:tc>
        <w:tc>
          <w:tcPr>
            <w:tcW w:w="960"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14:paraId="0C482665"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66.67%</w:t>
            </w:r>
          </w:p>
        </w:tc>
        <w:tc>
          <w:tcPr>
            <w:tcW w:w="967" w:type="dxa"/>
            <w:vMerge/>
            <w:tcBorders>
              <w:top w:val="single" w:sz="8" w:space="0" w:color="auto"/>
              <w:left w:val="single" w:sz="8" w:space="0" w:color="auto"/>
              <w:bottom w:val="nil"/>
              <w:right w:val="single" w:sz="8" w:space="0" w:color="auto"/>
            </w:tcBorders>
            <w:vAlign w:val="center"/>
            <w:hideMark/>
          </w:tcPr>
          <w:p w14:paraId="46F5BAA5" w14:textId="77777777" w:rsidR="003B42C7" w:rsidRPr="00CA5237" w:rsidRDefault="003B42C7" w:rsidP="003B42C7">
            <w:pPr>
              <w:rPr>
                <w:rFonts w:ascii="Arial" w:hAnsi="Arial" w:cs="Arial"/>
                <w:b/>
                <w:bCs/>
                <w:color w:val="000000"/>
                <w:sz w:val="22"/>
                <w:szCs w:val="22"/>
                <w:lang w:eastAsia="en-GB"/>
              </w:rPr>
            </w:pPr>
          </w:p>
        </w:tc>
      </w:tr>
      <w:tr w:rsidR="003B42C7" w:rsidRPr="00CA5237" w14:paraId="48ECBF51" w14:textId="77777777" w:rsidTr="003B42C7">
        <w:trPr>
          <w:trHeight w:val="315"/>
        </w:trPr>
        <w:tc>
          <w:tcPr>
            <w:tcW w:w="2548" w:type="dxa"/>
            <w:tcBorders>
              <w:top w:val="nil"/>
              <w:left w:val="single" w:sz="8" w:space="0" w:color="auto"/>
              <w:bottom w:val="single" w:sz="8" w:space="0" w:color="auto"/>
              <w:right w:val="single" w:sz="8" w:space="0" w:color="auto"/>
            </w:tcBorders>
            <w:shd w:val="clear" w:color="000000" w:fill="BFBFBF"/>
            <w:noWrap/>
            <w:vAlign w:val="center"/>
            <w:hideMark/>
          </w:tcPr>
          <w:p w14:paraId="747F48D5" w14:textId="77777777" w:rsidR="003B42C7" w:rsidRPr="00CA5237" w:rsidRDefault="003B42C7" w:rsidP="003B42C7">
            <w:pPr>
              <w:rPr>
                <w:rFonts w:ascii="Arial" w:hAnsi="Arial" w:cs="Arial"/>
                <w:b/>
                <w:bCs/>
                <w:color w:val="000000"/>
                <w:sz w:val="22"/>
                <w:szCs w:val="22"/>
                <w:lang w:eastAsia="en-GB"/>
              </w:rPr>
            </w:pPr>
            <w:r w:rsidRPr="00CA5237">
              <w:rPr>
                <w:rFonts w:ascii="Arial" w:hAnsi="Arial" w:cs="Arial"/>
                <w:b/>
                <w:bCs/>
                <w:color w:val="000000"/>
                <w:sz w:val="22"/>
                <w:szCs w:val="22"/>
                <w:lang w:eastAsia="en-GB"/>
              </w:rPr>
              <w:t>Paid</w:t>
            </w:r>
          </w:p>
        </w:tc>
        <w:tc>
          <w:tcPr>
            <w:tcW w:w="1136" w:type="dxa"/>
            <w:tcBorders>
              <w:top w:val="nil"/>
              <w:left w:val="nil"/>
              <w:bottom w:val="single" w:sz="8" w:space="0" w:color="auto"/>
              <w:right w:val="nil"/>
            </w:tcBorders>
            <w:shd w:val="clear" w:color="000000" w:fill="BFBFBF"/>
            <w:noWrap/>
            <w:vAlign w:val="bottom"/>
            <w:hideMark/>
          </w:tcPr>
          <w:p w14:paraId="521A0545"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88%</w:t>
            </w:r>
          </w:p>
        </w:tc>
        <w:tc>
          <w:tcPr>
            <w:tcW w:w="1268" w:type="dxa"/>
            <w:tcBorders>
              <w:top w:val="nil"/>
              <w:left w:val="single" w:sz="8" w:space="0" w:color="auto"/>
              <w:bottom w:val="single" w:sz="8" w:space="0" w:color="auto"/>
              <w:right w:val="single" w:sz="8" w:space="0" w:color="auto"/>
            </w:tcBorders>
            <w:shd w:val="clear" w:color="000000" w:fill="BFBFBF"/>
            <w:noWrap/>
            <w:vAlign w:val="bottom"/>
            <w:hideMark/>
          </w:tcPr>
          <w:p w14:paraId="4B490580"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88%</w:t>
            </w:r>
          </w:p>
        </w:tc>
        <w:tc>
          <w:tcPr>
            <w:tcW w:w="1060" w:type="dxa"/>
            <w:tcBorders>
              <w:top w:val="nil"/>
              <w:left w:val="nil"/>
              <w:bottom w:val="single" w:sz="8" w:space="0" w:color="auto"/>
              <w:right w:val="single" w:sz="8" w:space="0" w:color="auto"/>
            </w:tcBorders>
            <w:shd w:val="clear" w:color="000000" w:fill="BFBFBF"/>
            <w:noWrap/>
            <w:vAlign w:val="bottom"/>
            <w:hideMark/>
          </w:tcPr>
          <w:p w14:paraId="4B64ECBF"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81.23%</w:t>
            </w:r>
          </w:p>
        </w:tc>
        <w:tc>
          <w:tcPr>
            <w:tcW w:w="880" w:type="dxa"/>
            <w:tcBorders>
              <w:top w:val="nil"/>
              <w:left w:val="nil"/>
              <w:bottom w:val="single" w:sz="8" w:space="0" w:color="auto"/>
              <w:right w:val="single" w:sz="8" w:space="0" w:color="auto"/>
            </w:tcBorders>
            <w:shd w:val="clear" w:color="000000" w:fill="BFBFBF"/>
            <w:noWrap/>
            <w:vAlign w:val="bottom"/>
            <w:hideMark/>
          </w:tcPr>
          <w:p w14:paraId="79DB2EC7"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76.36%</w:t>
            </w:r>
          </w:p>
        </w:tc>
        <w:tc>
          <w:tcPr>
            <w:tcW w:w="900" w:type="dxa"/>
            <w:tcBorders>
              <w:top w:val="nil"/>
              <w:left w:val="nil"/>
              <w:bottom w:val="single" w:sz="8" w:space="0" w:color="auto"/>
              <w:right w:val="single" w:sz="8" w:space="0" w:color="auto"/>
            </w:tcBorders>
            <w:shd w:val="clear" w:color="000000" w:fill="BFBFBF"/>
            <w:noWrap/>
            <w:vAlign w:val="bottom"/>
            <w:hideMark/>
          </w:tcPr>
          <w:p w14:paraId="689E8EDD"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69.64%</w:t>
            </w:r>
          </w:p>
        </w:tc>
        <w:tc>
          <w:tcPr>
            <w:tcW w:w="960" w:type="dxa"/>
            <w:tcBorders>
              <w:top w:val="nil"/>
              <w:left w:val="nil"/>
              <w:bottom w:val="single" w:sz="8" w:space="0" w:color="auto"/>
              <w:right w:val="single" w:sz="8" w:space="0" w:color="auto"/>
            </w:tcBorders>
            <w:shd w:val="clear" w:color="000000" w:fill="BFBFBF"/>
            <w:noWrap/>
            <w:vAlign w:val="bottom"/>
            <w:hideMark/>
          </w:tcPr>
          <w:p w14:paraId="25DB96D1"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64.27%</w:t>
            </w:r>
          </w:p>
        </w:tc>
        <w:tc>
          <w:tcPr>
            <w:tcW w:w="967" w:type="dxa"/>
            <w:vMerge/>
            <w:tcBorders>
              <w:top w:val="single" w:sz="8" w:space="0" w:color="auto"/>
              <w:left w:val="single" w:sz="8" w:space="0" w:color="auto"/>
              <w:bottom w:val="nil"/>
              <w:right w:val="single" w:sz="8" w:space="0" w:color="auto"/>
            </w:tcBorders>
            <w:vAlign w:val="center"/>
            <w:hideMark/>
          </w:tcPr>
          <w:p w14:paraId="7435A44B" w14:textId="77777777" w:rsidR="003B42C7" w:rsidRPr="00CA5237" w:rsidRDefault="003B42C7" w:rsidP="003B42C7">
            <w:pPr>
              <w:rPr>
                <w:rFonts w:ascii="Arial" w:hAnsi="Arial" w:cs="Arial"/>
                <w:b/>
                <w:bCs/>
                <w:color w:val="000000"/>
                <w:sz w:val="22"/>
                <w:szCs w:val="22"/>
                <w:lang w:eastAsia="en-GB"/>
              </w:rPr>
            </w:pPr>
          </w:p>
        </w:tc>
      </w:tr>
      <w:tr w:rsidR="003B42C7" w:rsidRPr="00CA5237" w14:paraId="49E37C94" w14:textId="77777777" w:rsidTr="003B42C7">
        <w:trPr>
          <w:trHeight w:val="315"/>
        </w:trPr>
        <w:tc>
          <w:tcPr>
            <w:tcW w:w="2548" w:type="dxa"/>
            <w:tcBorders>
              <w:top w:val="nil"/>
              <w:left w:val="single" w:sz="8" w:space="0" w:color="auto"/>
              <w:bottom w:val="single" w:sz="8" w:space="0" w:color="auto"/>
              <w:right w:val="single" w:sz="8" w:space="0" w:color="auto"/>
            </w:tcBorders>
            <w:shd w:val="clear" w:color="auto" w:fill="auto"/>
            <w:noWrap/>
            <w:vAlign w:val="center"/>
            <w:hideMark/>
          </w:tcPr>
          <w:p w14:paraId="3D7459D2" w14:textId="77777777" w:rsidR="003B42C7" w:rsidRPr="00CA5237" w:rsidRDefault="003B42C7" w:rsidP="003B42C7">
            <w:pPr>
              <w:rPr>
                <w:rFonts w:ascii="Arial" w:hAnsi="Arial" w:cs="Arial"/>
                <w:b/>
                <w:bCs/>
                <w:color w:val="000000"/>
                <w:sz w:val="22"/>
                <w:szCs w:val="22"/>
                <w:lang w:eastAsia="en-GB"/>
              </w:rPr>
            </w:pPr>
            <w:r w:rsidRPr="00CA5237">
              <w:rPr>
                <w:rFonts w:ascii="Arial" w:hAnsi="Arial" w:cs="Arial"/>
                <w:b/>
                <w:bCs/>
                <w:color w:val="000000"/>
                <w:sz w:val="22"/>
                <w:szCs w:val="22"/>
                <w:lang w:eastAsia="en-GB"/>
              </w:rPr>
              <w:t>Actuals</w:t>
            </w:r>
          </w:p>
        </w:tc>
        <w:tc>
          <w:tcPr>
            <w:tcW w:w="1136" w:type="dxa"/>
            <w:tcBorders>
              <w:top w:val="nil"/>
              <w:left w:val="nil"/>
              <w:bottom w:val="single" w:sz="8" w:space="0" w:color="auto"/>
              <w:right w:val="nil"/>
            </w:tcBorders>
            <w:shd w:val="clear" w:color="auto" w:fill="auto"/>
            <w:noWrap/>
            <w:vAlign w:val="bottom"/>
            <w:hideMark/>
          </w:tcPr>
          <w:p w14:paraId="33A6AD80"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34%</w:t>
            </w:r>
          </w:p>
        </w:tc>
        <w:tc>
          <w:tcPr>
            <w:tcW w:w="1268" w:type="dxa"/>
            <w:tcBorders>
              <w:top w:val="nil"/>
              <w:left w:val="single" w:sz="8" w:space="0" w:color="auto"/>
              <w:bottom w:val="single" w:sz="8" w:space="0" w:color="auto"/>
              <w:right w:val="single" w:sz="8" w:space="0" w:color="auto"/>
            </w:tcBorders>
            <w:shd w:val="clear" w:color="auto" w:fill="auto"/>
            <w:noWrap/>
            <w:vAlign w:val="bottom"/>
            <w:hideMark/>
          </w:tcPr>
          <w:p w14:paraId="1C5AC3AC"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48%</w:t>
            </w:r>
          </w:p>
        </w:tc>
        <w:tc>
          <w:tcPr>
            <w:tcW w:w="1060" w:type="dxa"/>
            <w:tcBorders>
              <w:top w:val="nil"/>
              <w:left w:val="nil"/>
              <w:bottom w:val="single" w:sz="8" w:space="0" w:color="auto"/>
              <w:right w:val="nil"/>
            </w:tcBorders>
            <w:shd w:val="clear" w:color="auto" w:fill="auto"/>
            <w:noWrap/>
            <w:vAlign w:val="bottom"/>
            <w:hideMark/>
          </w:tcPr>
          <w:p w14:paraId="61114B7D" w14:textId="77777777" w:rsidR="003B42C7" w:rsidRPr="00CA5237" w:rsidRDefault="003B42C7" w:rsidP="003B42C7">
            <w:pPr>
              <w:rPr>
                <w:rFonts w:ascii="Arial" w:hAnsi="Arial" w:cs="Arial"/>
                <w:color w:val="000000"/>
                <w:sz w:val="22"/>
                <w:szCs w:val="22"/>
                <w:lang w:eastAsia="en-GB"/>
              </w:rPr>
            </w:pPr>
            <w:r w:rsidRPr="00CA5237">
              <w:rPr>
                <w:rFonts w:ascii="Arial" w:hAnsi="Arial" w:cs="Arial"/>
                <w:color w:val="000000"/>
                <w:sz w:val="22"/>
                <w:szCs w:val="22"/>
                <w:lang w:eastAsia="en-GB"/>
              </w:rPr>
              <w:t> </w:t>
            </w:r>
          </w:p>
        </w:tc>
        <w:tc>
          <w:tcPr>
            <w:tcW w:w="880" w:type="dxa"/>
            <w:tcBorders>
              <w:top w:val="nil"/>
              <w:left w:val="nil"/>
              <w:bottom w:val="single" w:sz="8" w:space="0" w:color="auto"/>
              <w:right w:val="nil"/>
            </w:tcBorders>
            <w:shd w:val="clear" w:color="auto" w:fill="auto"/>
            <w:noWrap/>
            <w:vAlign w:val="bottom"/>
            <w:hideMark/>
          </w:tcPr>
          <w:p w14:paraId="6F89E87A" w14:textId="77777777" w:rsidR="003B42C7" w:rsidRPr="00CA5237" w:rsidRDefault="003B42C7" w:rsidP="003B42C7">
            <w:pPr>
              <w:rPr>
                <w:rFonts w:ascii="Arial" w:hAnsi="Arial" w:cs="Arial"/>
                <w:color w:val="000000"/>
                <w:sz w:val="22"/>
                <w:szCs w:val="22"/>
                <w:lang w:eastAsia="en-GB"/>
              </w:rPr>
            </w:pPr>
            <w:r w:rsidRPr="00CA5237">
              <w:rPr>
                <w:rFonts w:ascii="Arial" w:hAnsi="Arial" w:cs="Arial"/>
                <w:color w:val="000000"/>
                <w:sz w:val="22"/>
                <w:szCs w:val="22"/>
                <w:lang w:eastAsia="en-GB"/>
              </w:rPr>
              <w:t> </w:t>
            </w:r>
          </w:p>
        </w:tc>
        <w:tc>
          <w:tcPr>
            <w:tcW w:w="900" w:type="dxa"/>
            <w:tcBorders>
              <w:top w:val="nil"/>
              <w:left w:val="nil"/>
              <w:bottom w:val="single" w:sz="8" w:space="0" w:color="auto"/>
              <w:right w:val="nil"/>
            </w:tcBorders>
            <w:shd w:val="clear" w:color="auto" w:fill="auto"/>
            <w:noWrap/>
            <w:vAlign w:val="bottom"/>
            <w:hideMark/>
          </w:tcPr>
          <w:p w14:paraId="18A88A02" w14:textId="77777777" w:rsidR="003B42C7" w:rsidRPr="00CA5237" w:rsidRDefault="003B42C7" w:rsidP="003B42C7">
            <w:pPr>
              <w:rPr>
                <w:rFonts w:ascii="Arial" w:hAnsi="Arial" w:cs="Arial"/>
                <w:color w:val="000000"/>
                <w:sz w:val="22"/>
                <w:szCs w:val="22"/>
                <w:lang w:eastAsia="en-GB"/>
              </w:rPr>
            </w:pPr>
            <w:r w:rsidRPr="00CA5237">
              <w:rPr>
                <w:rFonts w:ascii="Arial" w:hAnsi="Arial" w:cs="Arial"/>
                <w:color w:val="000000"/>
                <w:sz w:val="22"/>
                <w:szCs w:val="22"/>
                <w:lang w:eastAsia="en-GB"/>
              </w:rPr>
              <w:t> </w:t>
            </w:r>
          </w:p>
        </w:tc>
        <w:tc>
          <w:tcPr>
            <w:tcW w:w="960" w:type="dxa"/>
            <w:tcBorders>
              <w:top w:val="nil"/>
              <w:left w:val="nil"/>
              <w:bottom w:val="single" w:sz="8" w:space="0" w:color="auto"/>
              <w:right w:val="nil"/>
            </w:tcBorders>
            <w:shd w:val="clear" w:color="auto" w:fill="auto"/>
            <w:noWrap/>
            <w:vAlign w:val="bottom"/>
            <w:hideMark/>
          </w:tcPr>
          <w:p w14:paraId="14C3219B" w14:textId="77777777" w:rsidR="003B42C7" w:rsidRPr="00CA5237" w:rsidRDefault="003B42C7" w:rsidP="003B42C7">
            <w:pPr>
              <w:rPr>
                <w:rFonts w:ascii="Arial" w:hAnsi="Arial" w:cs="Arial"/>
                <w:color w:val="000000"/>
                <w:sz w:val="22"/>
                <w:szCs w:val="22"/>
                <w:lang w:eastAsia="en-GB"/>
              </w:rPr>
            </w:pPr>
            <w:r w:rsidRPr="00CA5237">
              <w:rPr>
                <w:rFonts w:ascii="Arial" w:hAnsi="Arial" w:cs="Arial"/>
                <w:color w:val="000000"/>
                <w:sz w:val="22"/>
                <w:szCs w:val="22"/>
                <w:lang w:eastAsia="en-GB"/>
              </w:rPr>
              <w:t> </w:t>
            </w:r>
          </w:p>
        </w:tc>
        <w:tc>
          <w:tcPr>
            <w:tcW w:w="967" w:type="dxa"/>
            <w:tcBorders>
              <w:top w:val="nil"/>
              <w:left w:val="nil"/>
              <w:bottom w:val="single" w:sz="8" w:space="0" w:color="auto"/>
              <w:right w:val="single" w:sz="8" w:space="0" w:color="auto"/>
            </w:tcBorders>
            <w:shd w:val="clear" w:color="auto" w:fill="auto"/>
            <w:noWrap/>
            <w:vAlign w:val="bottom"/>
            <w:hideMark/>
          </w:tcPr>
          <w:p w14:paraId="1CECF799" w14:textId="77777777" w:rsidR="003B42C7" w:rsidRPr="00CA5237" w:rsidRDefault="003B42C7" w:rsidP="003B42C7">
            <w:pPr>
              <w:rPr>
                <w:rFonts w:ascii="Arial" w:hAnsi="Arial" w:cs="Arial"/>
                <w:color w:val="000000"/>
                <w:sz w:val="22"/>
                <w:szCs w:val="22"/>
                <w:lang w:eastAsia="en-GB"/>
              </w:rPr>
            </w:pPr>
            <w:r w:rsidRPr="00CA5237">
              <w:rPr>
                <w:rFonts w:ascii="Arial" w:hAnsi="Arial" w:cs="Arial"/>
                <w:color w:val="000000"/>
                <w:sz w:val="22"/>
                <w:szCs w:val="22"/>
                <w:lang w:eastAsia="en-GB"/>
              </w:rPr>
              <w:t> </w:t>
            </w:r>
          </w:p>
        </w:tc>
      </w:tr>
    </w:tbl>
    <w:p w14:paraId="797DBC63" w14:textId="77777777" w:rsidR="003B42C7" w:rsidRPr="00CA5237" w:rsidRDefault="003B42C7" w:rsidP="00DA43D8">
      <w:pPr>
        <w:rPr>
          <w:rFonts w:ascii="Arial" w:hAnsi="Arial" w:cs="Arial"/>
          <w:sz w:val="22"/>
          <w:szCs w:val="22"/>
        </w:rPr>
      </w:pPr>
    </w:p>
    <w:p w14:paraId="72D3D335" w14:textId="435A7EC2" w:rsidR="00382783" w:rsidRPr="00CA5237" w:rsidRDefault="00382783" w:rsidP="00DA43D8">
      <w:pPr>
        <w:rPr>
          <w:rFonts w:ascii="Arial" w:hAnsi="Arial" w:cs="Arial"/>
          <w:sz w:val="22"/>
          <w:szCs w:val="22"/>
        </w:rPr>
      </w:pPr>
    </w:p>
    <w:p w14:paraId="01BD9E8A" w14:textId="534F53DD" w:rsidR="00382783" w:rsidRPr="00CA5237" w:rsidRDefault="00382783" w:rsidP="00DA43D8">
      <w:pPr>
        <w:rPr>
          <w:rFonts w:ascii="Arial" w:hAnsi="Arial" w:cs="Arial"/>
          <w:sz w:val="22"/>
          <w:szCs w:val="22"/>
        </w:rPr>
      </w:pPr>
    </w:p>
    <w:p w14:paraId="748392C3" w14:textId="77777777" w:rsidR="00D27E1E" w:rsidRPr="00CA5237" w:rsidRDefault="00D27E1E" w:rsidP="00DA43D8">
      <w:pPr>
        <w:rPr>
          <w:rFonts w:ascii="Arial" w:hAnsi="Arial" w:cs="Arial"/>
          <w:sz w:val="22"/>
          <w:szCs w:val="22"/>
        </w:rPr>
      </w:pPr>
    </w:p>
    <w:p w14:paraId="25511BAE" w14:textId="139C76BB" w:rsidR="003B42C7" w:rsidRPr="00CA5237" w:rsidRDefault="00D27E1E" w:rsidP="00DA43D8">
      <w:pPr>
        <w:rPr>
          <w:rFonts w:ascii="Arial" w:hAnsi="Arial" w:cs="Arial"/>
          <w:sz w:val="22"/>
          <w:szCs w:val="22"/>
        </w:rPr>
      </w:pPr>
      <w:r w:rsidRPr="00CA5237">
        <w:rPr>
          <w:rFonts w:ascii="Arial" w:hAnsi="Arial" w:cs="Arial"/>
          <w:sz w:val="22"/>
          <w:szCs w:val="22"/>
        </w:rPr>
        <w:t xml:space="preserve">Below are the addendums issued in April 2021 and April 2020 </w:t>
      </w:r>
    </w:p>
    <w:p w14:paraId="54032404" w14:textId="1789A1F8" w:rsidR="00382783" w:rsidRPr="00CA5237" w:rsidRDefault="00382783" w:rsidP="00DA43D8">
      <w:pPr>
        <w:rPr>
          <w:rFonts w:ascii="Arial" w:hAnsi="Arial" w:cs="Arial"/>
          <w:sz w:val="22"/>
          <w:szCs w:val="22"/>
        </w:rPr>
      </w:pPr>
    </w:p>
    <w:p w14:paraId="16176BE1" w14:textId="1B9266D7" w:rsidR="00382783" w:rsidRPr="00CA5237" w:rsidRDefault="00382783" w:rsidP="00DA43D8">
      <w:pPr>
        <w:rPr>
          <w:rFonts w:ascii="Arial" w:hAnsi="Arial" w:cs="Arial"/>
          <w:sz w:val="22"/>
          <w:szCs w:val="22"/>
        </w:rPr>
      </w:pPr>
    </w:p>
    <w:p w14:paraId="12DED110" w14:textId="6284C074" w:rsidR="003F41D0" w:rsidRPr="00CA5237" w:rsidRDefault="003F41D0" w:rsidP="00DA43D8">
      <w:pPr>
        <w:rPr>
          <w:rFonts w:ascii="Arial" w:hAnsi="Arial" w:cs="Arial"/>
          <w:sz w:val="22"/>
          <w:szCs w:val="22"/>
        </w:rPr>
      </w:pPr>
    </w:p>
    <w:p w14:paraId="3516B0A6" w14:textId="77777777" w:rsidR="00DA43D8" w:rsidRPr="00CA5237" w:rsidRDefault="00DA43D8" w:rsidP="00DA43D8">
      <w:pPr>
        <w:rPr>
          <w:rFonts w:ascii="Arial" w:hAnsi="Arial" w:cs="Arial"/>
          <w:sz w:val="22"/>
          <w:szCs w:val="22"/>
        </w:rPr>
      </w:pPr>
    </w:p>
    <w:p w14:paraId="4283AE0A" w14:textId="17556974" w:rsidR="00DA43D8" w:rsidRPr="00CA5237" w:rsidRDefault="00DA43D8" w:rsidP="00DA43D8">
      <w:pPr>
        <w:rPr>
          <w:rFonts w:ascii="Arial" w:hAnsi="Arial" w:cs="Arial"/>
          <w:bCs/>
          <w:sz w:val="22"/>
          <w:szCs w:val="22"/>
        </w:rPr>
      </w:pPr>
      <w:r w:rsidRPr="00CA5237">
        <w:rPr>
          <w:rFonts w:ascii="Arial" w:hAnsi="Arial" w:cs="Arial"/>
          <w:b/>
          <w:bCs/>
          <w:sz w:val="22"/>
          <w:szCs w:val="22"/>
          <w:u w:val="single"/>
        </w:rPr>
        <w:t xml:space="preserve">ADDENDUM </w:t>
      </w:r>
      <w:r w:rsidR="00D27E1E" w:rsidRPr="00CA5237">
        <w:rPr>
          <w:rFonts w:ascii="Arial" w:hAnsi="Arial" w:cs="Arial"/>
          <w:b/>
          <w:bCs/>
          <w:sz w:val="22"/>
          <w:szCs w:val="22"/>
          <w:u w:val="single"/>
        </w:rPr>
        <w:t>2</w:t>
      </w:r>
      <w:r w:rsidRPr="00CA5237">
        <w:rPr>
          <w:rFonts w:ascii="Arial" w:hAnsi="Arial" w:cs="Arial"/>
          <w:b/>
          <w:bCs/>
          <w:sz w:val="22"/>
          <w:szCs w:val="22"/>
          <w:u w:val="single"/>
        </w:rPr>
        <w:t xml:space="preserve"> – RESPONSE TO COVID-19</w:t>
      </w:r>
      <w:r w:rsidRPr="00CA5237">
        <w:rPr>
          <w:rFonts w:ascii="Arial" w:hAnsi="Arial" w:cs="Arial"/>
          <w:b/>
          <w:bCs/>
          <w:sz w:val="22"/>
          <w:szCs w:val="22"/>
        </w:rPr>
        <w:t xml:space="preserve">: ISSUED ON 1 April 2021 </w:t>
      </w:r>
    </w:p>
    <w:p w14:paraId="50B89863" w14:textId="77777777" w:rsidR="00DA43D8" w:rsidRPr="00CA5237" w:rsidRDefault="00DA43D8" w:rsidP="00DA43D8">
      <w:pPr>
        <w:rPr>
          <w:rFonts w:ascii="Arial" w:hAnsi="Arial" w:cs="Arial"/>
          <w:sz w:val="22"/>
          <w:szCs w:val="22"/>
        </w:rPr>
      </w:pPr>
    </w:p>
    <w:p w14:paraId="54BAF73D" w14:textId="77777777" w:rsidR="00DA43D8" w:rsidRPr="00CA5237" w:rsidRDefault="00DA43D8" w:rsidP="00DA43D8">
      <w:pPr>
        <w:pStyle w:val="ListParagraph"/>
        <w:numPr>
          <w:ilvl w:val="0"/>
          <w:numId w:val="16"/>
        </w:numPr>
        <w:ind w:left="567" w:hanging="567"/>
        <w:rPr>
          <w:rFonts w:cs="Arial"/>
          <w:b/>
          <w:bCs/>
          <w:u w:val="single"/>
        </w:rPr>
      </w:pPr>
      <w:r w:rsidRPr="00CA5237">
        <w:rPr>
          <w:rFonts w:cs="Arial"/>
          <w:b/>
          <w:bCs/>
          <w:u w:val="single"/>
        </w:rPr>
        <w:t>Purpose &amp; Scope:</w:t>
      </w:r>
    </w:p>
    <w:p w14:paraId="23ABC0DE" w14:textId="6C70A261" w:rsidR="00DA43D8" w:rsidRPr="00CA5237" w:rsidRDefault="00DA43D8" w:rsidP="00DA43D8">
      <w:pPr>
        <w:rPr>
          <w:rFonts w:ascii="Arial" w:hAnsi="Arial" w:cs="Arial"/>
          <w:sz w:val="22"/>
          <w:szCs w:val="22"/>
        </w:rPr>
      </w:pPr>
      <w:r w:rsidRPr="00CA5237">
        <w:rPr>
          <w:rFonts w:ascii="Arial" w:hAnsi="Arial" w:cs="Arial"/>
          <w:sz w:val="22"/>
          <w:szCs w:val="22"/>
        </w:rPr>
        <w:t xml:space="preserve">In light of social distancing measures introduced by HM Government in response to the coronavirus / Covid-19 health pandemic in 2020 and 2021 and in line with Department for Transport guidance and restrictions on travel for older persons Freedom Pass holders during the morning peak on the TfL network being introduced from 15 June 2020, London Councils Transport and Environment Committee has (acting for and on behalf of itself and the 33 London local authorities) authorised </w:t>
      </w:r>
      <w:r w:rsidRPr="00CA5237">
        <w:rPr>
          <w:rFonts w:ascii="Arial" w:hAnsi="Arial" w:cs="Arial"/>
          <w:sz w:val="22"/>
          <w:szCs w:val="22"/>
          <w:u w:val="single"/>
        </w:rPr>
        <w:t xml:space="preserve">extraordinary and temporary variations </w:t>
      </w:r>
      <w:r w:rsidRPr="00CA5237">
        <w:rPr>
          <w:rFonts w:ascii="Arial" w:hAnsi="Arial" w:cs="Arial"/>
          <w:sz w:val="22"/>
          <w:szCs w:val="22"/>
        </w:rPr>
        <w:t xml:space="preserve">to the London Concessionary Bus Schemes 2020/21 and 2021/22 (“the Scheme(s)”) which operate as part of the London Concessionary Fares Scheme (otherwise known as the “Freedom Pass”), subject to reaching agreement with the </w:t>
      </w:r>
      <w:r w:rsidRPr="00CA5237">
        <w:rPr>
          <w:rFonts w:ascii="Arial" w:hAnsi="Arial" w:cs="Arial"/>
          <w:sz w:val="22"/>
          <w:szCs w:val="22"/>
        </w:rPr>
        <w:lastRenderedPageBreak/>
        <w:t>London Service Permits Operators (LSP Operators) to these variations as provided in section 149(2)(a) of the Transport Act 2000.</w:t>
      </w:r>
    </w:p>
    <w:p w14:paraId="0F12D919" w14:textId="77777777" w:rsidR="00DA43D8" w:rsidRPr="00CA5237" w:rsidRDefault="00DA43D8" w:rsidP="00DA43D8">
      <w:pPr>
        <w:rPr>
          <w:rFonts w:ascii="Arial" w:hAnsi="Arial" w:cs="Arial"/>
          <w:sz w:val="22"/>
          <w:szCs w:val="22"/>
        </w:rPr>
      </w:pPr>
    </w:p>
    <w:p w14:paraId="611F3C64" w14:textId="3D60A956" w:rsidR="00DA43D8" w:rsidRPr="00CA5237" w:rsidRDefault="00DA43D8" w:rsidP="00DA43D8">
      <w:pPr>
        <w:rPr>
          <w:rFonts w:ascii="Arial" w:hAnsi="Arial" w:cs="Arial"/>
          <w:i/>
          <w:iCs/>
          <w:sz w:val="22"/>
          <w:szCs w:val="22"/>
        </w:rPr>
      </w:pPr>
      <w:r w:rsidRPr="00CA5237">
        <w:rPr>
          <w:rFonts w:ascii="Arial" w:hAnsi="Arial" w:cs="Arial"/>
          <w:i/>
          <w:iCs/>
          <w:sz w:val="22"/>
          <w:szCs w:val="22"/>
        </w:rPr>
        <w:t>For the avoidance of doubt, the variations in this Addendum do not set any precedent for any future schemes and may be removed or varied to reflect new DfT Guidance and/or a decision of London Councils Transport and Environment Committee.</w:t>
      </w:r>
    </w:p>
    <w:p w14:paraId="065CBDE5" w14:textId="77777777" w:rsidR="00DA43D8" w:rsidRPr="00CA5237" w:rsidRDefault="00DA43D8" w:rsidP="00DA43D8">
      <w:pPr>
        <w:rPr>
          <w:rFonts w:ascii="Arial" w:hAnsi="Arial" w:cs="Arial"/>
          <w:sz w:val="22"/>
          <w:szCs w:val="22"/>
        </w:rPr>
      </w:pPr>
    </w:p>
    <w:p w14:paraId="2EEDAD72" w14:textId="77777777" w:rsidR="00DA43D8" w:rsidRPr="00CA5237" w:rsidRDefault="00DA43D8" w:rsidP="00DA43D8">
      <w:pPr>
        <w:pStyle w:val="ListParagraph"/>
        <w:numPr>
          <w:ilvl w:val="0"/>
          <w:numId w:val="16"/>
        </w:numPr>
        <w:ind w:left="567" w:hanging="567"/>
        <w:rPr>
          <w:rFonts w:cs="Arial"/>
          <w:b/>
          <w:bCs/>
          <w:u w:val="single"/>
        </w:rPr>
      </w:pPr>
      <w:r w:rsidRPr="00CA5237">
        <w:rPr>
          <w:rFonts w:cs="Arial"/>
          <w:b/>
          <w:bCs/>
          <w:u w:val="single"/>
        </w:rPr>
        <w:t>Variations &amp; Conditions:</w:t>
      </w:r>
    </w:p>
    <w:p w14:paraId="6F23AB2E" w14:textId="66752B5F" w:rsidR="00DA43D8" w:rsidRPr="00CA5237" w:rsidRDefault="00DA43D8" w:rsidP="00DA43D8">
      <w:pPr>
        <w:rPr>
          <w:rFonts w:ascii="Arial" w:hAnsi="Arial" w:cs="Arial"/>
          <w:sz w:val="22"/>
          <w:szCs w:val="22"/>
        </w:rPr>
      </w:pPr>
      <w:r w:rsidRPr="00CA5237">
        <w:rPr>
          <w:rFonts w:ascii="Arial" w:hAnsi="Arial" w:cs="Arial"/>
          <w:sz w:val="22"/>
          <w:szCs w:val="22"/>
        </w:rPr>
        <w:t>The variations to the Schemes are, effective from 1 January 2021:</w:t>
      </w:r>
    </w:p>
    <w:p w14:paraId="466AE977" w14:textId="77777777" w:rsidR="00DA43D8" w:rsidRPr="00CA5237" w:rsidRDefault="00DA43D8" w:rsidP="00DA43D8">
      <w:pPr>
        <w:rPr>
          <w:rFonts w:ascii="Arial" w:hAnsi="Arial" w:cs="Arial"/>
          <w:sz w:val="22"/>
          <w:szCs w:val="22"/>
        </w:rPr>
      </w:pPr>
    </w:p>
    <w:p w14:paraId="0E8B477C" w14:textId="77777777" w:rsidR="00DA43D8" w:rsidRPr="00CA5237" w:rsidRDefault="00DA43D8" w:rsidP="00DA43D8">
      <w:pPr>
        <w:pStyle w:val="ListParagraph"/>
        <w:numPr>
          <w:ilvl w:val="0"/>
          <w:numId w:val="17"/>
        </w:numPr>
        <w:rPr>
          <w:rFonts w:cs="Arial"/>
        </w:rPr>
      </w:pPr>
      <w:r w:rsidRPr="00CA5237" w:rsidDel="007242E6">
        <w:rPr>
          <w:rFonts w:cs="Arial"/>
        </w:rPr>
        <w:t xml:space="preserve">An extension to the hours of operation of the </w:t>
      </w:r>
      <w:r w:rsidRPr="00CA5237">
        <w:rPr>
          <w:rFonts w:cs="Arial"/>
        </w:rPr>
        <w:t>S</w:t>
      </w:r>
      <w:r w:rsidRPr="00CA5237" w:rsidDel="007242E6">
        <w:rPr>
          <w:rFonts w:cs="Arial"/>
        </w:rPr>
        <w:t>chemes (currently 9.30am to 11pm) to allow travel 24 hours per day</w:t>
      </w:r>
      <w:r w:rsidRPr="00CA5237">
        <w:rPr>
          <w:rFonts w:cs="Arial"/>
        </w:rPr>
        <w:t xml:space="preserve"> for disabled persons Freedom Pass </w:t>
      </w:r>
      <w:proofErr w:type="gramStart"/>
      <w:r w:rsidRPr="00CA5237">
        <w:rPr>
          <w:rFonts w:cs="Arial"/>
        </w:rPr>
        <w:t>holders</w:t>
      </w:r>
      <w:r w:rsidRPr="00CA5237" w:rsidDel="007242E6">
        <w:rPr>
          <w:rFonts w:cs="Arial"/>
        </w:rPr>
        <w:t>;</w:t>
      </w:r>
      <w:proofErr w:type="gramEnd"/>
    </w:p>
    <w:p w14:paraId="10421DF1" w14:textId="02CD705E" w:rsidR="00DA43D8" w:rsidRPr="00CA5237" w:rsidDel="007242E6" w:rsidRDefault="00DA43D8" w:rsidP="00DA43D8">
      <w:pPr>
        <w:pStyle w:val="ListParagraph"/>
        <w:numPr>
          <w:ilvl w:val="0"/>
          <w:numId w:val="17"/>
        </w:numPr>
        <w:ind w:hanging="436"/>
        <w:rPr>
          <w:rFonts w:cs="Arial"/>
        </w:rPr>
      </w:pPr>
      <w:r w:rsidRPr="00CA5237">
        <w:rPr>
          <w:rFonts w:cs="Arial"/>
        </w:rPr>
        <w:t>A return to the statutory hours of operation (09:30 – 11:00</w:t>
      </w:r>
      <w:r w:rsidR="00D40A89" w:rsidRPr="00CA5237">
        <w:rPr>
          <w:rFonts w:cs="Arial"/>
        </w:rPr>
        <w:t>pm</w:t>
      </w:r>
      <w:r w:rsidR="009879E3" w:rsidRPr="00CA5237">
        <w:rPr>
          <w:rFonts w:cs="Arial"/>
        </w:rPr>
        <w:t>)</w:t>
      </w:r>
      <w:r w:rsidR="003F4C5C" w:rsidRPr="00CA5237">
        <w:rPr>
          <w:rFonts w:cs="Arial"/>
        </w:rPr>
        <w:t xml:space="preserve"> M</w:t>
      </w:r>
      <w:r w:rsidR="009879E3" w:rsidRPr="00CA5237">
        <w:rPr>
          <w:rFonts w:cs="Arial"/>
        </w:rPr>
        <w:t>onday</w:t>
      </w:r>
      <w:r w:rsidR="003F4C5C" w:rsidRPr="00CA5237">
        <w:rPr>
          <w:rFonts w:cs="Arial"/>
        </w:rPr>
        <w:t>-F</w:t>
      </w:r>
      <w:r w:rsidR="009879E3" w:rsidRPr="00CA5237">
        <w:rPr>
          <w:rFonts w:cs="Arial"/>
        </w:rPr>
        <w:t>riday</w:t>
      </w:r>
      <w:r w:rsidR="003F4C5C" w:rsidRPr="00CA5237">
        <w:rPr>
          <w:rFonts w:cs="Arial"/>
        </w:rPr>
        <w:t>, anytime on bank holidays and weekends</w:t>
      </w:r>
      <w:r w:rsidR="009879E3" w:rsidRPr="00CA5237">
        <w:rPr>
          <w:rFonts w:cs="Arial"/>
        </w:rPr>
        <w:t xml:space="preserve"> </w:t>
      </w:r>
      <w:r w:rsidRPr="00CA5237">
        <w:rPr>
          <w:rFonts w:cs="Arial"/>
        </w:rPr>
        <w:t>for older persons Freedom Pass holders and ENCTS pass holders.</w:t>
      </w:r>
    </w:p>
    <w:p w14:paraId="53835B60" w14:textId="2AB6CB65" w:rsidR="00DA43D8" w:rsidRPr="00CA5237" w:rsidRDefault="00DA43D8" w:rsidP="00DA43D8">
      <w:pPr>
        <w:pStyle w:val="ListParagraph"/>
        <w:numPr>
          <w:ilvl w:val="0"/>
          <w:numId w:val="17"/>
        </w:numPr>
        <w:ind w:hanging="436"/>
        <w:rPr>
          <w:rFonts w:cs="Arial"/>
        </w:rPr>
      </w:pPr>
      <w:r w:rsidRPr="00CA5237">
        <w:rPr>
          <w:rFonts w:cs="Arial"/>
        </w:rPr>
        <w:t xml:space="preserve">Reimbursement to LSP Operators will continue to be made under the Schemes </w:t>
      </w:r>
      <w:r w:rsidR="009879E3" w:rsidRPr="00CA5237">
        <w:rPr>
          <w:rFonts w:cs="Arial"/>
        </w:rPr>
        <w:t>on a quarterly basis calculated</w:t>
      </w:r>
      <w:r w:rsidRPr="00CA5237">
        <w:rPr>
          <w:rFonts w:cs="Arial"/>
        </w:rPr>
        <w:t xml:space="preserve"> on the </w:t>
      </w:r>
      <w:r w:rsidR="009879E3" w:rsidRPr="00CA5237">
        <w:rPr>
          <w:rFonts w:cs="Arial"/>
        </w:rPr>
        <w:t>actual number of journeys taken between October to December 2019</w:t>
      </w:r>
      <w:r w:rsidRPr="00CA5237">
        <w:rPr>
          <w:rFonts w:cs="Arial"/>
        </w:rPr>
        <w:t>, rather than the actual number of journeys taken</w:t>
      </w:r>
      <w:r w:rsidR="009879E3" w:rsidRPr="00CA5237">
        <w:rPr>
          <w:rFonts w:cs="Arial"/>
        </w:rPr>
        <w:t xml:space="preserve"> in the current quarter</w:t>
      </w:r>
      <w:r w:rsidR="006B4658" w:rsidRPr="00CA5237">
        <w:rPr>
          <w:rFonts w:cs="Arial"/>
        </w:rPr>
        <w:t xml:space="preserve"> </w:t>
      </w:r>
      <w:r w:rsidR="004A081D" w:rsidRPr="00CA5237">
        <w:rPr>
          <w:rFonts w:cs="Arial"/>
        </w:rPr>
        <w:t>and adjusted for the level of service being offered in any given payment period by each operator</w:t>
      </w:r>
      <w:r w:rsidRPr="00CA5237">
        <w:rPr>
          <w:rFonts w:cs="Arial"/>
        </w:rPr>
        <w:t>.</w:t>
      </w:r>
      <w:r w:rsidR="004A081D" w:rsidRPr="00CA5237">
        <w:rPr>
          <w:rFonts w:cs="Arial"/>
        </w:rPr>
        <w:t xml:space="preserve"> For example, if an operator provided journeys worth £10,000 in </w:t>
      </w:r>
      <w:r w:rsidR="009879E3" w:rsidRPr="00CA5237">
        <w:rPr>
          <w:rFonts w:cs="Arial"/>
        </w:rPr>
        <w:t>October to December 2019</w:t>
      </w:r>
      <w:r w:rsidR="004A081D" w:rsidRPr="00CA5237">
        <w:rPr>
          <w:rFonts w:cs="Arial"/>
        </w:rPr>
        <w:t xml:space="preserve">, but </w:t>
      </w:r>
      <w:proofErr w:type="gramStart"/>
      <w:r w:rsidR="004A081D" w:rsidRPr="00CA5237">
        <w:rPr>
          <w:rFonts w:cs="Arial"/>
        </w:rPr>
        <w:t>in a given</w:t>
      </w:r>
      <w:proofErr w:type="gramEnd"/>
      <w:r w:rsidR="004A081D" w:rsidRPr="00CA5237">
        <w:rPr>
          <w:rFonts w:cs="Arial"/>
        </w:rPr>
        <w:t xml:space="preserve"> payment period was only providing 50% of </w:t>
      </w:r>
      <w:r w:rsidR="009879E3" w:rsidRPr="00CA5237">
        <w:rPr>
          <w:rFonts w:cs="Arial"/>
        </w:rPr>
        <w:t>this level of</w:t>
      </w:r>
      <w:r w:rsidR="004A081D" w:rsidRPr="00CA5237">
        <w:rPr>
          <w:rFonts w:cs="Arial"/>
        </w:rPr>
        <w:t xml:space="preserve"> service, a payment of £5,000 (50% of £10,000) would be made.</w:t>
      </w:r>
      <w:r w:rsidRPr="00CA5237">
        <w:rPr>
          <w:rFonts w:cs="Arial"/>
        </w:rPr>
        <w:t xml:space="preserve"> </w:t>
      </w:r>
    </w:p>
    <w:p w14:paraId="71554DE2" w14:textId="77777777" w:rsidR="00DA43D8" w:rsidRPr="00CA5237" w:rsidRDefault="00DA43D8" w:rsidP="00DA43D8">
      <w:pPr>
        <w:rPr>
          <w:rFonts w:ascii="Arial" w:hAnsi="Arial" w:cs="Arial"/>
          <w:sz w:val="22"/>
          <w:szCs w:val="22"/>
        </w:rPr>
      </w:pPr>
    </w:p>
    <w:p w14:paraId="7099D966" w14:textId="77777777" w:rsidR="00DA43D8" w:rsidRPr="00CA5237" w:rsidRDefault="00DA43D8" w:rsidP="00DA43D8">
      <w:pPr>
        <w:rPr>
          <w:rFonts w:ascii="Arial" w:hAnsi="Arial" w:cs="Arial"/>
          <w:sz w:val="22"/>
          <w:szCs w:val="22"/>
        </w:rPr>
      </w:pPr>
      <w:r w:rsidRPr="00CA5237">
        <w:rPr>
          <w:rFonts w:ascii="Arial" w:hAnsi="Arial" w:cs="Arial"/>
          <w:sz w:val="22"/>
          <w:szCs w:val="22"/>
        </w:rPr>
        <w:t>The variations to the Schemes to provide for reimbursement per (c) above are conditional upon:</w:t>
      </w:r>
    </w:p>
    <w:p w14:paraId="59361976" w14:textId="77777777" w:rsidR="00DA43D8" w:rsidRPr="00CA5237" w:rsidRDefault="00DA43D8" w:rsidP="00DA43D8">
      <w:pPr>
        <w:rPr>
          <w:rFonts w:ascii="Arial" w:hAnsi="Arial" w:cs="Arial"/>
          <w:sz w:val="22"/>
          <w:szCs w:val="22"/>
        </w:rPr>
      </w:pPr>
    </w:p>
    <w:p w14:paraId="0B7BA401" w14:textId="77777777" w:rsidR="00DA43D8" w:rsidRPr="00CA5237" w:rsidRDefault="00DA43D8" w:rsidP="00DA43D8">
      <w:pPr>
        <w:pStyle w:val="Heading6"/>
        <w:numPr>
          <w:ilvl w:val="0"/>
          <w:numId w:val="0"/>
        </w:numPr>
        <w:rPr>
          <w:rFonts w:ascii="Arial" w:hAnsi="Arial" w:cs="Arial"/>
          <w:sz w:val="22"/>
          <w:szCs w:val="22"/>
        </w:rPr>
      </w:pPr>
      <w:r w:rsidRPr="00CA5237">
        <w:rPr>
          <w:rFonts w:ascii="Arial" w:hAnsi="Arial" w:cs="Arial"/>
          <w:sz w:val="22"/>
          <w:szCs w:val="22"/>
        </w:rPr>
        <w:t>(</w:t>
      </w:r>
      <w:proofErr w:type="spellStart"/>
      <w:r w:rsidRPr="00CA5237">
        <w:rPr>
          <w:rFonts w:ascii="Arial" w:hAnsi="Arial" w:cs="Arial"/>
          <w:sz w:val="22"/>
          <w:szCs w:val="22"/>
        </w:rPr>
        <w:t>i</w:t>
      </w:r>
      <w:proofErr w:type="spellEnd"/>
      <w:r w:rsidRPr="00CA5237">
        <w:rPr>
          <w:rFonts w:ascii="Arial" w:hAnsi="Arial" w:cs="Arial"/>
          <w:sz w:val="22"/>
          <w:szCs w:val="22"/>
        </w:rPr>
        <w:t>) any journeys made within the additional hours of operation as provided at (a) above being included within the special payment arrangements at (c) above and no additional payments being made in respect of these journeys; and</w:t>
      </w:r>
    </w:p>
    <w:p w14:paraId="214F6F91" w14:textId="4DC5935F" w:rsidR="00DA43D8" w:rsidRPr="00CA5237" w:rsidRDefault="00DA43D8" w:rsidP="00DA43D8">
      <w:pPr>
        <w:pStyle w:val="Heading6"/>
        <w:numPr>
          <w:ilvl w:val="0"/>
          <w:numId w:val="0"/>
        </w:numPr>
        <w:rPr>
          <w:rFonts w:ascii="Arial" w:hAnsi="Arial" w:cs="Arial"/>
          <w:sz w:val="22"/>
          <w:szCs w:val="22"/>
        </w:rPr>
      </w:pPr>
      <w:r w:rsidRPr="00CA5237">
        <w:rPr>
          <w:rFonts w:ascii="Arial" w:hAnsi="Arial" w:cs="Arial"/>
          <w:sz w:val="22"/>
          <w:szCs w:val="22"/>
        </w:rPr>
        <w:t xml:space="preserve">(ii) the variations being time limited per </w:t>
      </w:r>
      <w:r w:rsidR="004A081D" w:rsidRPr="00CA5237">
        <w:rPr>
          <w:rFonts w:ascii="Arial" w:hAnsi="Arial" w:cs="Arial"/>
          <w:sz w:val="22"/>
          <w:szCs w:val="22"/>
        </w:rPr>
        <w:t>C</w:t>
      </w:r>
      <w:r w:rsidRPr="00CA5237">
        <w:rPr>
          <w:rFonts w:ascii="Arial" w:hAnsi="Arial" w:cs="Arial"/>
          <w:sz w:val="22"/>
          <w:szCs w:val="22"/>
        </w:rPr>
        <w:t xml:space="preserve">. below.  </w:t>
      </w:r>
    </w:p>
    <w:p w14:paraId="7F77BFCD" w14:textId="77777777" w:rsidR="00DA43D8" w:rsidRPr="00CA5237" w:rsidRDefault="00DA43D8" w:rsidP="00DA43D8">
      <w:pPr>
        <w:rPr>
          <w:rFonts w:ascii="Arial" w:hAnsi="Arial" w:cs="Arial"/>
          <w:sz w:val="22"/>
          <w:szCs w:val="22"/>
        </w:rPr>
      </w:pPr>
    </w:p>
    <w:p w14:paraId="74AB9B96" w14:textId="77777777" w:rsidR="00D27E1E" w:rsidRPr="00CA5237" w:rsidRDefault="00D27E1E" w:rsidP="00D27E1E">
      <w:pPr>
        <w:rPr>
          <w:rFonts w:ascii="Arial" w:hAnsi="Arial" w:cs="Arial"/>
          <w:b/>
          <w:bCs/>
          <w:sz w:val="22"/>
          <w:szCs w:val="22"/>
        </w:rPr>
      </w:pPr>
    </w:p>
    <w:p w14:paraId="29FF7E1C" w14:textId="77777777" w:rsidR="00D27E1E" w:rsidRPr="00CA5237" w:rsidRDefault="00D27E1E" w:rsidP="00D27E1E">
      <w:pPr>
        <w:rPr>
          <w:rFonts w:ascii="Arial" w:hAnsi="Arial" w:cs="Arial"/>
          <w:b/>
          <w:bCs/>
          <w:sz w:val="22"/>
          <w:szCs w:val="22"/>
        </w:rPr>
      </w:pPr>
    </w:p>
    <w:p w14:paraId="00E21794" w14:textId="0F3441FA" w:rsidR="00D27E1E" w:rsidRPr="00CA5237" w:rsidRDefault="00D27E1E" w:rsidP="00D27E1E">
      <w:pPr>
        <w:rPr>
          <w:rFonts w:ascii="Arial" w:hAnsi="Arial" w:cs="Arial"/>
          <w:bCs/>
          <w:sz w:val="22"/>
          <w:szCs w:val="22"/>
        </w:rPr>
      </w:pPr>
      <w:r w:rsidRPr="00CA5237">
        <w:rPr>
          <w:rFonts w:ascii="Arial" w:hAnsi="Arial" w:cs="Arial"/>
          <w:b/>
          <w:bCs/>
          <w:sz w:val="22"/>
          <w:szCs w:val="22"/>
        </w:rPr>
        <w:t>London Concessionary Bus Scheme 2020-21 Addendum 1 – Response to Covid-19.</w:t>
      </w:r>
    </w:p>
    <w:p w14:paraId="7CAF2B3B" w14:textId="77777777" w:rsidR="00D27E1E" w:rsidRPr="00CA5237" w:rsidRDefault="00D27E1E" w:rsidP="00D27E1E">
      <w:pPr>
        <w:rPr>
          <w:rFonts w:ascii="Arial" w:hAnsi="Arial" w:cs="Arial"/>
          <w:sz w:val="22"/>
          <w:szCs w:val="22"/>
        </w:rPr>
      </w:pPr>
    </w:p>
    <w:p w14:paraId="671A658D" w14:textId="77777777" w:rsidR="00D27E1E" w:rsidRPr="00CA5237" w:rsidRDefault="00D27E1E" w:rsidP="00D27E1E">
      <w:pPr>
        <w:rPr>
          <w:rFonts w:ascii="Arial" w:hAnsi="Arial" w:cs="Arial"/>
          <w:sz w:val="22"/>
          <w:szCs w:val="22"/>
        </w:rPr>
      </w:pPr>
      <w:proofErr w:type="gramStart"/>
      <w:r w:rsidRPr="00CA5237">
        <w:rPr>
          <w:rFonts w:ascii="Arial" w:hAnsi="Arial" w:cs="Arial"/>
          <w:sz w:val="22"/>
          <w:szCs w:val="22"/>
        </w:rPr>
        <w:t>In light of</w:t>
      </w:r>
      <w:proofErr w:type="gramEnd"/>
      <w:r w:rsidRPr="00CA5237">
        <w:rPr>
          <w:rFonts w:ascii="Arial" w:hAnsi="Arial" w:cs="Arial"/>
          <w:sz w:val="22"/>
          <w:szCs w:val="22"/>
        </w:rPr>
        <w:t xml:space="preserve"> social distancing measures introduced by HM Government and in line with Department for Transport guidance, London Councils Transport and Environment Committee has approved extraordinary and temporary contractual provisions in respect of the London Concessionary Bus Schemes 2019/20 and 2020/21 (“the schemes”) which operate as part of the London Concessionary Fares Scheme (the “Freedom Pass”). The provisions will allow for:</w:t>
      </w:r>
    </w:p>
    <w:p w14:paraId="7AB6C5FC" w14:textId="77777777" w:rsidR="00D27E1E" w:rsidRPr="00CA5237" w:rsidRDefault="00D27E1E" w:rsidP="00D27E1E">
      <w:pPr>
        <w:rPr>
          <w:rFonts w:ascii="Arial" w:hAnsi="Arial" w:cs="Arial"/>
          <w:sz w:val="22"/>
          <w:szCs w:val="22"/>
        </w:rPr>
      </w:pPr>
    </w:p>
    <w:p w14:paraId="50D646BD" w14:textId="77777777" w:rsidR="00D27E1E" w:rsidRPr="00CA5237" w:rsidRDefault="00D27E1E" w:rsidP="00D27E1E">
      <w:pPr>
        <w:pStyle w:val="ListParagraph"/>
        <w:numPr>
          <w:ilvl w:val="0"/>
          <w:numId w:val="15"/>
        </w:numPr>
        <w:rPr>
          <w:rFonts w:cs="Arial"/>
        </w:rPr>
      </w:pPr>
      <w:r w:rsidRPr="00CA5237">
        <w:rPr>
          <w:rFonts w:cs="Arial"/>
        </w:rPr>
        <w:t xml:space="preserve">An extension to the hours of operation of the schemes (currently 9.30am to 11pm) to allow travel 24 hours per </w:t>
      </w:r>
      <w:proofErr w:type="gramStart"/>
      <w:r w:rsidRPr="00CA5237">
        <w:rPr>
          <w:rFonts w:cs="Arial"/>
        </w:rPr>
        <w:t>day;</w:t>
      </w:r>
      <w:proofErr w:type="gramEnd"/>
    </w:p>
    <w:p w14:paraId="4764939B" w14:textId="77777777" w:rsidR="00D27E1E" w:rsidRPr="00CA5237" w:rsidRDefault="00D27E1E" w:rsidP="00D27E1E">
      <w:pPr>
        <w:pStyle w:val="ListParagraph"/>
        <w:rPr>
          <w:rFonts w:cs="Arial"/>
        </w:rPr>
      </w:pPr>
    </w:p>
    <w:p w14:paraId="4E144D6F" w14:textId="5731139A" w:rsidR="00D27E1E" w:rsidRPr="002665BC" w:rsidRDefault="00D27E1E" w:rsidP="005D342A">
      <w:pPr>
        <w:pStyle w:val="ListParagraph"/>
        <w:numPr>
          <w:ilvl w:val="0"/>
          <w:numId w:val="15"/>
        </w:numPr>
        <w:rPr>
          <w:rFonts w:cs="Arial"/>
        </w:rPr>
      </w:pPr>
      <w:r w:rsidRPr="002665BC">
        <w:rPr>
          <w:rFonts w:cs="Arial"/>
        </w:rPr>
        <w:lastRenderedPageBreak/>
        <w:t xml:space="preserve">Monthly payments to be made to non-TfL bus operators based on the average monthly number of journeys taken in </w:t>
      </w:r>
      <w:r w:rsidR="002665BC">
        <w:rPr>
          <w:rFonts w:cs="Arial"/>
        </w:rPr>
        <w:t>October</w:t>
      </w:r>
      <w:r w:rsidRPr="002665BC">
        <w:rPr>
          <w:rFonts w:cs="Arial"/>
        </w:rPr>
        <w:t xml:space="preserve"> 2019, </w:t>
      </w:r>
      <w:r w:rsidR="002665BC">
        <w:rPr>
          <w:rFonts w:cs="Arial"/>
        </w:rPr>
        <w:t xml:space="preserve">November </w:t>
      </w:r>
      <w:proofErr w:type="gramStart"/>
      <w:r w:rsidR="002665BC">
        <w:rPr>
          <w:rFonts w:cs="Arial"/>
        </w:rPr>
        <w:t>19</w:t>
      </w:r>
      <w:proofErr w:type="gramEnd"/>
      <w:r w:rsidR="002665BC">
        <w:rPr>
          <w:rFonts w:cs="Arial"/>
        </w:rPr>
        <w:t xml:space="preserve"> </w:t>
      </w:r>
      <w:r w:rsidRPr="002665BC">
        <w:rPr>
          <w:rFonts w:cs="Arial"/>
        </w:rPr>
        <w:t xml:space="preserve">and </w:t>
      </w:r>
      <w:r w:rsidR="002665BC">
        <w:rPr>
          <w:rFonts w:cs="Arial"/>
        </w:rPr>
        <w:t>December 19</w:t>
      </w:r>
      <w:r w:rsidRPr="002665BC">
        <w:rPr>
          <w:rFonts w:cs="Arial"/>
        </w:rPr>
        <w:t xml:space="preserve">, rather than the actual number of journeys taken </w:t>
      </w:r>
    </w:p>
    <w:p w14:paraId="7BEB6D84" w14:textId="77777777" w:rsidR="00D27E1E" w:rsidRPr="00CA5237" w:rsidRDefault="00D27E1E" w:rsidP="00D27E1E">
      <w:pPr>
        <w:rPr>
          <w:rFonts w:ascii="Arial" w:hAnsi="Arial" w:cs="Arial"/>
          <w:sz w:val="22"/>
          <w:szCs w:val="22"/>
        </w:rPr>
      </w:pPr>
      <w:r w:rsidRPr="00CA5237">
        <w:rPr>
          <w:rFonts w:ascii="Arial" w:hAnsi="Arial" w:cs="Arial"/>
          <w:sz w:val="22"/>
          <w:szCs w:val="22"/>
        </w:rPr>
        <w:t>These contractual provisions will remain in place for the duration of HM Government’s social distancing measures and will remain under review (first review in mid-May 2020, or earlier if government guidance changes) and withdrawn or extended as appropriate.</w:t>
      </w:r>
    </w:p>
    <w:p w14:paraId="11D56B20" w14:textId="77777777" w:rsidR="00D27E1E" w:rsidRPr="00CA5237" w:rsidRDefault="00D27E1E" w:rsidP="00D27E1E">
      <w:pPr>
        <w:rPr>
          <w:rFonts w:ascii="Arial" w:hAnsi="Arial" w:cs="Arial"/>
          <w:sz w:val="22"/>
          <w:szCs w:val="22"/>
        </w:rPr>
      </w:pPr>
    </w:p>
    <w:p w14:paraId="437B5C01" w14:textId="77777777" w:rsidR="00D27E1E" w:rsidRPr="00CA5237" w:rsidRDefault="00D27E1E" w:rsidP="00D27E1E">
      <w:pPr>
        <w:rPr>
          <w:rFonts w:ascii="Arial" w:hAnsi="Arial" w:cs="Arial"/>
          <w:sz w:val="22"/>
          <w:szCs w:val="22"/>
        </w:rPr>
      </w:pPr>
      <w:r w:rsidRPr="00CA5237">
        <w:rPr>
          <w:rFonts w:ascii="Arial" w:hAnsi="Arial" w:cs="Arial"/>
          <w:sz w:val="22"/>
          <w:szCs w:val="22"/>
        </w:rPr>
        <w:t>A condition of the change to the Scheme will be that any journeys made within the additional hours of operation are covered by the special payment arrangements and that no addition payments will be made in respect of these journeys. This variation to the London Bus Concessionary Scheme is time limited and does not create a precedent for future schemes.</w:t>
      </w:r>
    </w:p>
    <w:p w14:paraId="6E8560BC" w14:textId="77777777" w:rsidR="00D27E1E" w:rsidRPr="00CA5237" w:rsidRDefault="00D27E1E" w:rsidP="00D27E1E">
      <w:pPr>
        <w:rPr>
          <w:rFonts w:ascii="Arial" w:hAnsi="Arial" w:cs="Arial"/>
          <w:sz w:val="22"/>
          <w:szCs w:val="22"/>
        </w:rPr>
      </w:pPr>
    </w:p>
    <w:p w14:paraId="6A455105" w14:textId="553ADD3F" w:rsidR="009879E3" w:rsidRPr="00CA5237" w:rsidRDefault="009879E3">
      <w:pPr>
        <w:rPr>
          <w:rFonts w:ascii="Arial" w:hAnsi="Arial" w:cs="Arial"/>
          <w:b/>
          <w:bCs/>
          <w:sz w:val="22"/>
          <w:szCs w:val="22"/>
          <w:u w:val="single"/>
        </w:rPr>
      </w:pPr>
    </w:p>
    <w:p w14:paraId="3006092B" w14:textId="2F22EF5B" w:rsidR="00DA43D8" w:rsidRPr="00CA5237" w:rsidRDefault="00DA43D8" w:rsidP="00DA43D8">
      <w:pPr>
        <w:pStyle w:val="ListParagraph"/>
        <w:numPr>
          <w:ilvl w:val="0"/>
          <w:numId w:val="16"/>
        </w:numPr>
        <w:ind w:left="567" w:hanging="567"/>
        <w:rPr>
          <w:rFonts w:cs="Arial"/>
          <w:b/>
          <w:bCs/>
          <w:u w:val="single"/>
        </w:rPr>
      </w:pPr>
      <w:r w:rsidRPr="00CA5237">
        <w:rPr>
          <w:rFonts w:cs="Arial"/>
          <w:b/>
          <w:bCs/>
          <w:u w:val="single"/>
        </w:rPr>
        <w:t>Duration:</w:t>
      </w:r>
    </w:p>
    <w:p w14:paraId="729A8D76" w14:textId="4D2780CF" w:rsidR="00DA43D8" w:rsidRPr="00CA5237" w:rsidRDefault="00DA43D8" w:rsidP="00DA43D8">
      <w:pPr>
        <w:rPr>
          <w:rFonts w:ascii="Arial" w:hAnsi="Arial" w:cs="Arial"/>
          <w:sz w:val="22"/>
          <w:szCs w:val="22"/>
        </w:rPr>
      </w:pPr>
      <w:r w:rsidRPr="00CA5237">
        <w:rPr>
          <w:rFonts w:ascii="Arial" w:hAnsi="Arial" w:cs="Arial"/>
          <w:sz w:val="22"/>
          <w:szCs w:val="22"/>
        </w:rPr>
        <w:t>These provisions will remain in place for the duration of HM Government’s social distancing measures</w:t>
      </w:r>
      <w:r w:rsidR="005E2DA9" w:rsidRPr="00CA5237">
        <w:rPr>
          <w:rFonts w:ascii="Arial" w:hAnsi="Arial" w:cs="Arial"/>
          <w:sz w:val="22"/>
          <w:szCs w:val="22"/>
        </w:rPr>
        <w:t xml:space="preserve"> which are due to end on 21 June 2021</w:t>
      </w:r>
      <w:r w:rsidRPr="00CA5237">
        <w:rPr>
          <w:rFonts w:ascii="Arial" w:hAnsi="Arial" w:cs="Arial"/>
          <w:sz w:val="22"/>
          <w:szCs w:val="22"/>
        </w:rPr>
        <w:t xml:space="preserve"> </w:t>
      </w:r>
      <w:r w:rsidR="005E2DA9" w:rsidRPr="00CA5237">
        <w:rPr>
          <w:rFonts w:ascii="Arial" w:hAnsi="Arial" w:cs="Arial"/>
          <w:sz w:val="22"/>
          <w:szCs w:val="22"/>
        </w:rPr>
        <w:t xml:space="preserve">(or earlier, or later, if government guidance changes) </w:t>
      </w:r>
      <w:r w:rsidRPr="00CA5237">
        <w:rPr>
          <w:rFonts w:ascii="Arial" w:hAnsi="Arial" w:cs="Arial"/>
          <w:sz w:val="22"/>
          <w:szCs w:val="22"/>
        </w:rPr>
        <w:t>and will remain under review and may otherwise be withdrawn or extended as appropriate by agreement.</w:t>
      </w:r>
    </w:p>
    <w:p w14:paraId="2E31D5B7" w14:textId="77777777" w:rsidR="00DA43D8" w:rsidRPr="00CA5237" w:rsidRDefault="00DA43D8" w:rsidP="00DA43D8">
      <w:pPr>
        <w:rPr>
          <w:rFonts w:ascii="Arial" w:hAnsi="Arial" w:cs="Arial"/>
          <w:sz w:val="22"/>
          <w:szCs w:val="22"/>
        </w:rPr>
      </w:pPr>
    </w:p>
    <w:p w14:paraId="48E08C0C" w14:textId="77777777" w:rsidR="00DA43D8" w:rsidRPr="00CA5237" w:rsidRDefault="00DA43D8" w:rsidP="00DA43D8">
      <w:pPr>
        <w:pStyle w:val="ListParagraph"/>
        <w:numPr>
          <w:ilvl w:val="0"/>
          <w:numId w:val="16"/>
        </w:numPr>
        <w:ind w:left="567" w:hanging="567"/>
        <w:rPr>
          <w:rFonts w:cs="Arial"/>
          <w:b/>
          <w:bCs/>
          <w:u w:val="single"/>
        </w:rPr>
      </w:pPr>
      <w:r w:rsidRPr="00CA5237">
        <w:rPr>
          <w:rFonts w:cs="Arial"/>
          <w:b/>
          <w:bCs/>
          <w:u w:val="single"/>
        </w:rPr>
        <w:t>Agreement</w:t>
      </w:r>
    </w:p>
    <w:p w14:paraId="69697589" w14:textId="77777777" w:rsidR="00DA43D8" w:rsidRPr="00CA5237" w:rsidRDefault="00DA43D8" w:rsidP="00DA43D8">
      <w:pPr>
        <w:rPr>
          <w:rFonts w:ascii="Arial" w:hAnsi="Arial" w:cs="Arial"/>
          <w:sz w:val="22"/>
          <w:szCs w:val="22"/>
        </w:rPr>
      </w:pPr>
      <w:r w:rsidRPr="00CA5237">
        <w:rPr>
          <w:rFonts w:ascii="Arial" w:hAnsi="Arial" w:cs="Arial"/>
          <w:sz w:val="22"/>
          <w:szCs w:val="22"/>
        </w:rPr>
        <w:t xml:space="preserve">These variations will only take effect with the agreement of the LSP Operators. However, failure to agree will result in a return to the general conditions of the scheme </w:t>
      </w:r>
      <w:proofErr w:type="gramStart"/>
      <w:r w:rsidRPr="00CA5237">
        <w:rPr>
          <w:rFonts w:ascii="Arial" w:hAnsi="Arial" w:cs="Arial"/>
          <w:sz w:val="22"/>
          <w:szCs w:val="22"/>
        </w:rPr>
        <w:t>i.e.</w:t>
      </w:r>
      <w:proofErr w:type="gramEnd"/>
      <w:r w:rsidRPr="00CA5237">
        <w:rPr>
          <w:rFonts w:ascii="Arial" w:hAnsi="Arial" w:cs="Arial"/>
          <w:sz w:val="22"/>
          <w:szCs w:val="22"/>
        </w:rPr>
        <w:t xml:space="preserve"> the prevailing conditions prior to the extraordinary conditions set out in Addendum 1 (above). Agreement can be </w:t>
      </w:r>
      <w:proofErr w:type="gramStart"/>
      <w:r w:rsidRPr="00CA5237">
        <w:rPr>
          <w:rFonts w:ascii="Arial" w:hAnsi="Arial" w:cs="Arial"/>
          <w:sz w:val="22"/>
          <w:szCs w:val="22"/>
        </w:rPr>
        <w:t>effected</w:t>
      </w:r>
      <w:proofErr w:type="gramEnd"/>
      <w:r w:rsidRPr="00CA5237">
        <w:rPr>
          <w:rFonts w:ascii="Arial" w:hAnsi="Arial" w:cs="Arial"/>
          <w:sz w:val="22"/>
          <w:szCs w:val="22"/>
        </w:rPr>
        <w:t xml:space="preserve"> by an authorised representative of an existing LSP Operator sending a confirmatory email to London Councils to Stephen Boon, chief contracts officer, </w:t>
      </w:r>
      <w:hyperlink r:id="rId8" w:history="1">
        <w:r w:rsidRPr="00CA5237">
          <w:rPr>
            <w:rStyle w:val="Hyperlink"/>
            <w:rFonts w:ascii="Arial" w:hAnsi="Arial" w:cs="Arial"/>
            <w:sz w:val="22"/>
            <w:szCs w:val="22"/>
          </w:rPr>
          <w:t>stephen.boon@londoncouncils.gov.uk</w:t>
        </w:r>
      </w:hyperlink>
      <w:r w:rsidRPr="00CA5237">
        <w:rPr>
          <w:rFonts w:ascii="Arial" w:hAnsi="Arial" w:cs="Arial"/>
          <w:sz w:val="22"/>
          <w:szCs w:val="22"/>
        </w:rPr>
        <w:t xml:space="preserve"> . </w:t>
      </w:r>
    </w:p>
    <w:sectPr w:rsidR="00DA43D8" w:rsidRPr="00CA5237">
      <w:headerReference w:type="even" r:id="rId9"/>
      <w:headerReference w:type="default" r:id="rId10"/>
      <w:footerReference w:type="even" r:id="rId11"/>
      <w:footerReference w:type="default" r:id="rId12"/>
      <w:headerReference w:type="first" r:id="rId13"/>
      <w:footerReference w:type="first" r:id="rId1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DC1783" w14:textId="77777777" w:rsidR="00421170" w:rsidRDefault="00421170" w:rsidP="002F4508">
      <w:r>
        <w:separator/>
      </w:r>
    </w:p>
  </w:endnote>
  <w:endnote w:type="continuationSeparator" w:id="0">
    <w:p w14:paraId="718B32F2" w14:textId="77777777" w:rsidR="00421170" w:rsidRDefault="00421170" w:rsidP="002F4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fficina Sans ITC TT">
    <w:altName w:val="Calibri"/>
    <w:charset w:val="00"/>
    <w:family w:val="auto"/>
    <w:pitch w:val="variable"/>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05915EC7-EF3D-4AA3-AB3C-79C7089C491E}"/>
  </w:font>
  <w:font w:name="Cambria">
    <w:panose1 w:val="02040503050406030204"/>
    <w:charset w:val="00"/>
    <w:family w:val="roman"/>
    <w:pitch w:val="variable"/>
    <w:sig w:usb0="E00006FF" w:usb1="420024FF" w:usb2="02000000" w:usb3="00000000" w:csb0="0000019F" w:csb1="00000000"/>
    <w:embedRegular r:id="rId2" w:fontKey="{4D277BD4-DC9A-4D57-87C7-FE88398F4F91}"/>
  </w:font>
  <w:font w:name="Calibri">
    <w:panose1 w:val="020F0502020204030204"/>
    <w:charset w:val="00"/>
    <w:family w:val="swiss"/>
    <w:pitch w:val="variable"/>
    <w:sig w:usb0="E4002EFF" w:usb1="C000247B" w:usb2="00000009" w:usb3="00000000" w:csb0="000001FF" w:csb1="00000000"/>
    <w:embedRegular r:id="rId3" w:fontKey="{BE64A175-061D-4D56-B9B9-102A20B03B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CD9FB" w14:textId="77777777" w:rsidR="007A7FBC" w:rsidRDefault="007A7F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735BB" w14:textId="77777777" w:rsidR="007A7FBC" w:rsidRDefault="007A7F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FAEF7" w14:textId="77777777" w:rsidR="007A7FBC" w:rsidRDefault="007A7F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BA78C9" w14:textId="77777777" w:rsidR="00421170" w:rsidRDefault="00421170" w:rsidP="002F4508">
      <w:r>
        <w:separator/>
      </w:r>
    </w:p>
  </w:footnote>
  <w:footnote w:type="continuationSeparator" w:id="0">
    <w:p w14:paraId="0397E7C4" w14:textId="77777777" w:rsidR="00421170" w:rsidRDefault="00421170" w:rsidP="002F45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57113" w14:textId="77777777" w:rsidR="007A7FBC" w:rsidRDefault="007A7F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33558" w14:textId="27528277" w:rsidR="007A7FBC" w:rsidRDefault="007A7FB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A52AB" w14:textId="77777777" w:rsidR="007A7FBC" w:rsidRDefault="007A7F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abstractNum w:abstractNumId="0" w15:restartNumberingAfterBreak="0">
    <w:nsid w:val="FFFFFFFB"/>
    <w:multiLevelType w:val="multilevel"/>
    <w:tmpl w:val="4FB2F364"/>
    <w:lvl w:ilvl="0">
      <w:start w:val="1"/>
      <w:numFmt w:val="decimal"/>
      <w:pStyle w:val="Heading1"/>
      <w:lvlText w:val="%1."/>
      <w:legacy w:legacy="1" w:legacySpace="0" w:legacyIndent="720"/>
      <w:lvlJc w:val="left"/>
      <w:pPr>
        <w:ind w:left="375" w:hanging="720"/>
      </w:pPr>
    </w:lvl>
    <w:lvl w:ilvl="1">
      <w:start w:val="1"/>
      <w:numFmt w:val="lowerLetter"/>
      <w:lvlText w:val="(%2)"/>
      <w:lvlJc w:val="left"/>
      <w:pPr>
        <w:tabs>
          <w:tab w:val="num" w:pos="735"/>
        </w:tabs>
        <w:ind w:left="735" w:hanging="360"/>
      </w:pPr>
      <w:rPr>
        <w:rFonts w:hint="default"/>
      </w:rPr>
    </w:lvl>
    <w:lvl w:ilvl="2">
      <w:start w:val="1"/>
      <w:numFmt w:val="decimal"/>
      <w:pStyle w:val="Heading3"/>
      <w:lvlText w:val="%1.%2.%3"/>
      <w:legacy w:legacy="1" w:legacySpace="0" w:legacyIndent="720"/>
      <w:lvlJc w:val="left"/>
      <w:pPr>
        <w:ind w:left="1815" w:hanging="720"/>
      </w:pPr>
    </w:lvl>
    <w:lvl w:ilvl="3">
      <w:start w:val="1"/>
      <w:numFmt w:val="decimal"/>
      <w:pStyle w:val="Heading4"/>
      <w:lvlText w:val="%1.%2.%3.%4"/>
      <w:legacy w:legacy="1" w:legacySpace="0" w:legacyIndent="720"/>
      <w:lvlJc w:val="left"/>
      <w:pPr>
        <w:ind w:left="2535" w:hanging="720"/>
      </w:pPr>
    </w:lvl>
    <w:lvl w:ilvl="4">
      <w:start w:val="1"/>
      <w:numFmt w:val="lowerLetter"/>
      <w:pStyle w:val="Heading5"/>
      <w:lvlText w:val="(%5)"/>
      <w:legacy w:legacy="1" w:legacySpace="0" w:legacyIndent="720"/>
      <w:lvlJc w:val="left"/>
      <w:pPr>
        <w:ind w:left="3255" w:hanging="720"/>
      </w:pPr>
    </w:lvl>
    <w:lvl w:ilvl="5">
      <w:start w:val="1"/>
      <w:numFmt w:val="lowerRoman"/>
      <w:pStyle w:val="Heading6"/>
      <w:lvlText w:val="(%6)"/>
      <w:legacy w:legacy="1" w:legacySpace="0" w:legacyIndent="720"/>
      <w:lvlJc w:val="left"/>
      <w:pPr>
        <w:ind w:left="3975" w:hanging="720"/>
      </w:pPr>
    </w:lvl>
    <w:lvl w:ilvl="6">
      <w:start w:val="1"/>
      <w:numFmt w:val="decimal"/>
      <w:pStyle w:val="Heading7"/>
      <w:lvlText w:val="(%7)"/>
      <w:legacy w:legacy="1" w:legacySpace="0" w:legacyIndent="720"/>
      <w:lvlJc w:val="left"/>
      <w:pPr>
        <w:ind w:left="4695" w:hanging="720"/>
      </w:pPr>
    </w:lvl>
    <w:lvl w:ilvl="7">
      <w:start w:val="1"/>
      <w:numFmt w:val="none"/>
      <w:pStyle w:val="Heading8"/>
      <w:suff w:val="nothing"/>
      <w:lvlText w:val=""/>
      <w:lvlJc w:val="left"/>
      <w:pPr>
        <w:ind w:left="5415" w:hanging="720"/>
      </w:pPr>
    </w:lvl>
    <w:lvl w:ilvl="8">
      <w:start w:val="1"/>
      <w:numFmt w:val="none"/>
      <w:pStyle w:val="Heading9"/>
      <w:suff w:val="nothing"/>
      <w:lvlText w:val=""/>
      <w:lvlJc w:val="left"/>
      <w:pPr>
        <w:ind w:left="6135" w:hanging="720"/>
      </w:pPr>
    </w:lvl>
  </w:abstractNum>
  <w:abstractNum w:abstractNumId="1" w15:restartNumberingAfterBreak="0">
    <w:nsid w:val="0A3E1144"/>
    <w:multiLevelType w:val="hybridMultilevel"/>
    <w:tmpl w:val="444C80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B12B51"/>
    <w:multiLevelType w:val="multilevel"/>
    <w:tmpl w:val="E7DC93DA"/>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3B710D3"/>
    <w:multiLevelType w:val="hybridMultilevel"/>
    <w:tmpl w:val="5510DDD8"/>
    <w:lvl w:ilvl="0" w:tplc="08090001">
      <w:start w:val="1"/>
      <w:numFmt w:val="lowerLetter"/>
      <w:lvlText w:val="%1)"/>
      <w:lvlJc w:val="left"/>
      <w:pPr>
        <w:tabs>
          <w:tab w:val="num" w:pos="1620"/>
        </w:tabs>
        <w:ind w:left="1620" w:hanging="360"/>
      </w:pPr>
    </w:lvl>
    <w:lvl w:ilvl="1" w:tplc="08090003" w:tentative="1">
      <w:start w:val="1"/>
      <w:numFmt w:val="lowerLetter"/>
      <w:lvlText w:val="%2."/>
      <w:lvlJc w:val="left"/>
      <w:pPr>
        <w:tabs>
          <w:tab w:val="num" w:pos="2340"/>
        </w:tabs>
        <w:ind w:left="2340" w:hanging="360"/>
      </w:pPr>
    </w:lvl>
    <w:lvl w:ilvl="2" w:tplc="08090005" w:tentative="1">
      <w:start w:val="1"/>
      <w:numFmt w:val="lowerRoman"/>
      <w:lvlText w:val="%3."/>
      <w:lvlJc w:val="right"/>
      <w:pPr>
        <w:tabs>
          <w:tab w:val="num" w:pos="3060"/>
        </w:tabs>
        <w:ind w:left="3060" w:hanging="180"/>
      </w:pPr>
    </w:lvl>
    <w:lvl w:ilvl="3" w:tplc="08090001" w:tentative="1">
      <w:start w:val="1"/>
      <w:numFmt w:val="decimal"/>
      <w:lvlText w:val="%4."/>
      <w:lvlJc w:val="left"/>
      <w:pPr>
        <w:tabs>
          <w:tab w:val="num" w:pos="3780"/>
        </w:tabs>
        <w:ind w:left="3780" w:hanging="360"/>
      </w:pPr>
    </w:lvl>
    <w:lvl w:ilvl="4" w:tplc="08090003" w:tentative="1">
      <w:start w:val="1"/>
      <w:numFmt w:val="lowerLetter"/>
      <w:lvlText w:val="%5."/>
      <w:lvlJc w:val="left"/>
      <w:pPr>
        <w:tabs>
          <w:tab w:val="num" w:pos="4500"/>
        </w:tabs>
        <w:ind w:left="4500" w:hanging="360"/>
      </w:pPr>
    </w:lvl>
    <w:lvl w:ilvl="5" w:tplc="08090005" w:tentative="1">
      <w:start w:val="1"/>
      <w:numFmt w:val="lowerRoman"/>
      <w:lvlText w:val="%6."/>
      <w:lvlJc w:val="right"/>
      <w:pPr>
        <w:tabs>
          <w:tab w:val="num" w:pos="5220"/>
        </w:tabs>
        <w:ind w:left="5220" w:hanging="180"/>
      </w:pPr>
    </w:lvl>
    <w:lvl w:ilvl="6" w:tplc="08090001" w:tentative="1">
      <w:start w:val="1"/>
      <w:numFmt w:val="decimal"/>
      <w:lvlText w:val="%7."/>
      <w:lvlJc w:val="left"/>
      <w:pPr>
        <w:tabs>
          <w:tab w:val="num" w:pos="5940"/>
        </w:tabs>
        <w:ind w:left="5940" w:hanging="360"/>
      </w:pPr>
    </w:lvl>
    <w:lvl w:ilvl="7" w:tplc="08090003" w:tentative="1">
      <w:start w:val="1"/>
      <w:numFmt w:val="lowerLetter"/>
      <w:lvlText w:val="%8."/>
      <w:lvlJc w:val="left"/>
      <w:pPr>
        <w:tabs>
          <w:tab w:val="num" w:pos="6660"/>
        </w:tabs>
        <w:ind w:left="6660" w:hanging="360"/>
      </w:pPr>
    </w:lvl>
    <w:lvl w:ilvl="8" w:tplc="08090005" w:tentative="1">
      <w:start w:val="1"/>
      <w:numFmt w:val="lowerRoman"/>
      <w:lvlText w:val="%9."/>
      <w:lvlJc w:val="right"/>
      <w:pPr>
        <w:tabs>
          <w:tab w:val="num" w:pos="7380"/>
        </w:tabs>
        <w:ind w:left="7380" w:hanging="180"/>
      </w:pPr>
    </w:lvl>
  </w:abstractNum>
  <w:abstractNum w:abstractNumId="4" w15:restartNumberingAfterBreak="0">
    <w:nsid w:val="153D6EB3"/>
    <w:multiLevelType w:val="multilevel"/>
    <w:tmpl w:val="36E20140"/>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54677B"/>
    <w:multiLevelType w:val="hybridMultilevel"/>
    <w:tmpl w:val="8FC879C0"/>
    <w:lvl w:ilvl="0" w:tplc="114615D6">
      <w:start w:val="1"/>
      <w:numFmt w:val="lowerLetter"/>
      <w:lvlText w:val="(%1)"/>
      <w:lvlJc w:val="left"/>
      <w:pPr>
        <w:tabs>
          <w:tab w:val="num" w:pos="1440"/>
        </w:tabs>
        <w:ind w:left="1440" w:hanging="360"/>
      </w:pPr>
      <w:rPr>
        <w:rFonts w:hint="default"/>
      </w:rPr>
    </w:lvl>
    <w:lvl w:ilvl="1" w:tplc="4CE668E0">
      <w:start w:val="2"/>
      <w:numFmt w:val="lowerRoman"/>
      <w:lvlText w:val="%2)"/>
      <w:lvlJc w:val="left"/>
      <w:pPr>
        <w:tabs>
          <w:tab w:val="num" w:pos="2520"/>
        </w:tabs>
        <w:ind w:left="2520" w:hanging="720"/>
      </w:pPr>
      <w:rPr>
        <w:rFonts w:hint="default"/>
      </w:rPr>
    </w:lvl>
    <w:lvl w:ilvl="2" w:tplc="0809001B">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6" w15:restartNumberingAfterBreak="0">
    <w:nsid w:val="3C5B2994"/>
    <w:multiLevelType w:val="hybridMultilevel"/>
    <w:tmpl w:val="96B293D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438A46AE"/>
    <w:multiLevelType w:val="hybridMultilevel"/>
    <w:tmpl w:val="7528F426"/>
    <w:lvl w:ilvl="0" w:tplc="08090001">
      <w:start w:val="1"/>
      <w:numFmt w:val="bullet"/>
      <w:lvlText w:val=""/>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8" w15:restartNumberingAfterBreak="0">
    <w:nsid w:val="44EF51B7"/>
    <w:multiLevelType w:val="hybridMultilevel"/>
    <w:tmpl w:val="234EE692"/>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9" w15:restartNumberingAfterBreak="0">
    <w:nsid w:val="518F3236"/>
    <w:multiLevelType w:val="hybridMultilevel"/>
    <w:tmpl w:val="9B6CF2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8C42E1B"/>
    <w:multiLevelType w:val="hybridMultilevel"/>
    <w:tmpl w:val="3EACC3F8"/>
    <w:lvl w:ilvl="0" w:tplc="0F50E31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D85B10"/>
    <w:multiLevelType w:val="hybridMultilevel"/>
    <w:tmpl w:val="99A6E976"/>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73972CB3"/>
    <w:multiLevelType w:val="multilevel"/>
    <w:tmpl w:val="2FD66E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796D12B9"/>
    <w:multiLevelType w:val="multilevel"/>
    <w:tmpl w:val="485C556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7A143707"/>
    <w:multiLevelType w:val="hybridMultilevel"/>
    <w:tmpl w:val="7F881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C383EB8"/>
    <w:multiLevelType w:val="hybridMultilevel"/>
    <w:tmpl w:val="95B02BC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D126907"/>
    <w:multiLevelType w:val="hybridMultilevel"/>
    <w:tmpl w:val="3C4A647E"/>
    <w:lvl w:ilvl="0" w:tplc="461E55B6">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5"/>
  </w:num>
  <w:num w:numId="4">
    <w:abstractNumId w:val="11"/>
  </w:num>
  <w:num w:numId="5">
    <w:abstractNumId w:val="0"/>
  </w:num>
  <w:num w:numId="6">
    <w:abstractNumId w:val="8"/>
  </w:num>
  <w:num w:numId="7">
    <w:abstractNumId w:val="6"/>
  </w:num>
  <w:num w:numId="8">
    <w:abstractNumId w:val="2"/>
  </w:num>
  <w:num w:numId="9">
    <w:abstractNumId w:val="12"/>
  </w:num>
  <w:num w:numId="10">
    <w:abstractNumId w:val="14"/>
  </w:num>
  <w:num w:numId="11">
    <w:abstractNumId w:val="1"/>
  </w:num>
  <w:num w:numId="12">
    <w:abstractNumId w:val="4"/>
  </w:num>
  <w:num w:numId="13">
    <w:abstractNumId w:val="7"/>
  </w:num>
  <w:num w:numId="14">
    <w:abstractNumId w:val="9"/>
  </w:num>
  <w:num w:numId="15">
    <w:abstractNumId w:val="10"/>
  </w:num>
  <w:num w:numId="16">
    <w:abstractNumId w:val="15"/>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2AFA"/>
    <w:rsid w:val="00002F39"/>
    <w:rsid w:val="0000675D"/>
    <w:rsid w:val="00014526"/>
    <w:rsid w:val="00015344"/>
    <w:rsid w:val="0001536E"/>
    <w:rsid w:val="00016C9F"/>
    <w:rsid w:val="00020F70"/>
    <w:rsid w:val="0002298E"/>
    <w:rsid w:val="00031C28"/>
    <w:rsid w:val="0005493E"/>
    <w:rsid w:val="00056BE2"/>
    <w:rsid w:val="00061989"/>
    <w:rsid w:val="00061B01"/>
    <w:rsid w:val="0006713B"/>
    <w:rsid w:val="0006723A"/>
    <w:rsid w:val="000706F8"/>
    <w:rsid w:val="00071317"/>
    <w:rsid w:val="00073BC3"/>
    <w:rsid w:val="000759D6"/>
    <w:rsid w:val="00084431"/>
    <w:rsid w:val="00085D15"/>
    <w:rsid w:val="00095D9B"/>
    <w:rsid w:val="000A1843"/>
    <w:rsid w:val="000A476E"/>
    <w:rsid w:val="000A7115"/>
    <w:rsid w:val="000B110E"/>
    <w:rsid w:val="000B5295"/>
    <w:rsid w:val="000C2E26"/>
    <w:rsid w:val="000D05FF"/>
    <w:rsid w:val="000D2765"/>
    <w:rsid w:val="000E2ABF"/>
    <w:rsid w:val="000E6107"/>
    <w:rsid w:val="000F039A"/>
    <w:rsid w:val="000F055D"/>
    <w:rsid w:val="000F0C55"/>
    <w:rsid w:val="000F4B85"/>
    <w:rsid w:val="00101886"/>
    <w:rsid w:val="00102419"/>
    <w:rsid w:val="00107A3C"/>
    <w:rsid w:val="0011281D"/>
    <w:rsid w:val="00115CFA"/>
    <w:rsid w:val="00120438"/>
    <w:rsid w:val="00122770"/>
    <w:rsid w:val="00136B6D"/>
    <w:rsid w:val="001407A3"/>
    <w:rsid w:val="00143442"/>
    <w:rsid w:val="0014356F"/>
    <w:rsid w:val="00143A91"/>
    <w:rsid w:val="00153A0E"/>
    <w:rsid w:val="00160F57"/>
    <w:rsid w:val="0016243D"/>
    <w:rsid w:val="00162CC7"/>
    <w:rsid w:val="00175685"/>
    <w:rsid w:val="001845A5"/>
    <w:rsid w:val="001855A9"/>
    <w:rsid w:val="00186056"/>
    <w:rsid w:val="00187FC4"/>
    <w:rsid w:val="001A029B"/>
    <w:rsid w:val="001A1F96"/>
    <w:rsid w:val="001A3269"/>
    <w:rsid w:val="001A6C97"/>
    <w:rsid w:val="001A715E"/>
    <w:rsid w:val="001B09A1"/>
    <w:rsid w:val="001B4045"/>
    <w:rsid w:val="001B6637"/>
    <w:rsid w:val="001B736F"/>
    <w:rsid w:val="001C3206"/>
    <w:rsid w:val="001C35BB"/>
    <w:rsid w:val="001C7FFE"/>
    <w:rsid w:val="001D0B9F"/>
    <w:rsid w:val="001D25B4"/>
    <w:rsid w:val="001D3DF2"/>
    <w:rsid w:val="001D6F45"/>
    <w:rsid w:val="001E1392"/>
    <w:rsid w:val="001E51A2"/>
    <w:rsid w:val="001F0B03"/>
    <w:rsid w:val="001F4BDF"/>
    <w:rsid w:val="001F6D82"/>
    <w:rsid w:val="001F7A23"/>
    <w:rsid w:val="0021281E"/>
    <w:rsid w:val="00212FB6"/>
    <w:rsid w:val="00213E9B"/>
    <w:rsid w:val="002150D8"/>
    <w:rsid w:val="002162F4"/>
    <w:rsid w:val="002207B5"/>
    <w:rsid w:val="00224584"/>
    <w:rsid w:val="0022469E"/>
    <w:rsid w:val="00227326"/>
    <w:rsid w:val="00227ADF"/>
    <w:rsid w:val="00233773"/>
    <w:rsid w:val="0023449C"/>
    <w:rsid w:val="00236E61"/>
    <w:rsid w:val="00236F0D"/>
    <w:rsid w:val="00240437"/>
    <w:rsid w:val="002437B3"/>
    <w:rsid w:val="00245834"/>
    <w:rsid w:val="0025197F"/>
    <w:rsid w:val="00251A38"/>
    <w:rsid w:val="00252BEF"/>
    <w:rsid w:val="00255143"/>
    <w:rsid w:val="002577DC"/>
    <w:rsid w:val="00262011"/>
    <w:rsid w:val="00263353"/>
    <w:rsid w:val="002638B2"/>
    <w:rsid w:val="002665BC"/>
    <w:rsid w:val="002670F4"/>
    <w:rsid w:val="00280C67"/>
    <w:rsid w:val="00281B2B"/>
    <w:rsid w:val="0028514F"/>
    <w:rsid w:val="00287486"/>
    <w:rsid w:val="002934A1"/>
    <w:rsid w:val="002A2EC9"/>
    <w:rsid w:val="002A50D3"/>
    <w:rsid w:val="002A680C"/>
    <w:rsid w:val="002B29AF"/>
    <w:rsid w:val="002B560E"/>
    <w:rsid w:val="002D3E36"/>
    <w:rsid w:val="002E0B89"/>
    <w:rsid w:val="002E2C82"/>
    <w:rsid w:val="002E48E1"/>
    <w:rsid w:val="002E58E3"/>
    <w:rsid w:val="002F4508"/>
    <w:rsid w:val="002F620B"/>
    <w:rsid w:val="002F7F0C"/>
    <w:rsid w:val="003027F6"/>
    <w:rsid w:val="00302E87"/>
    <w:rsid w:val="0030459E"/>
    <w:rsid w:val="00305F15"/>
    <w:rsid w:val="00306063"/>
    <w:rsid w:val="00306EC7"/>
    <w:rsid w:val="00313446"/>
    <w:rsid w:val="00316B13"/>
    <w:rsid w:val="003202BC"/>
    <w:rsid w:val="003202ED"/>
    <w:rsid w:val="00320776"/>
    <w:rsid w:val="003216E9"/>
    <w:rsid w:val="003278DA"/>
    <w:rsid w:val="003313DF"/>
    <w:rsid w:val="00336DA5"/>
    <w:rsid w:val="0033708F"/>
    <w:rsid w:val="003402A6"/>
    <w:rsid w:val="00342B86"/>
    <w:rsid w:val="00345213"/>
    <w:rsid w:val="00347A1D"/>
    <w:rsid w:val="00354BE6"/>
    <w:rsid w:val="00355115"/>
    <w:rsid w:val="00361B86"/>
    <w:rsid w:val="00370DB6"/>
    <w:rsid w:val="00375DFD"/>
    <w:rsid w:val="00380617"/>
    <w:rsid w:val="00382783"/>
    <w:rsid w:val="0038330E"/>
    <w:rsid w:val="00384E83"/>
    <w:rsid w:val="00390C0C"/>
    <w:rsid w:val="00391998"/>
    <w:rsid w:val="0039499D"/>
    <w:rsid w:val="00396D33"/>
    <w:rsid w:val="00397AC4"/>
    <w:rsid w:val="003A03B8"/>
    <w:rsid w:val="003A2AFA"/>
    <w:rsid w:val="003B2080"/>
    <w:rsid w:val="003B3B19"/>
    <w:rsid w:val="003B42C7"/>
    <w:rsid w:val="003B4BBB"/>
    <w:rsid w:val="003B77F1"/>
    <w:rsid w:val="003B7E78"/>
    <w:rsid w:val="003C37AD"/>
    <w:rsid w:val="003C5C03"/>
    <w:rsid w:val="003D499B"/>
    <w:rsid w:val="003D4A2D"/>
    <w:rsid w:val="003D5D26"/>
    <w:rsid w:val="003D6440"/>
    <w:rsid w:val="003E0569"/>
    <w:rsid w:val="003E5092"/>
    <w:rsid w:val="003E6C08"/>
    <w:rsid w:val="003E7E59"/>
    <w:rsid w:val="003F41D0"/>
    <w:rsid w:val="003F4C5C"/>
    <w:rsid w:val="00414777"/>
    <w:rsid w:val="00415833"/>
    <w:rsid w:val="00417AFD"/>
    <w:rsid w:val="00421170"/>
    <w:rsid w:val="00423050"/>
    <w:rsid w:val="004249E1"/>
    <w:rsid w:val="00426EEB"/>
    <w:rsid w:val="00434CF4"/>
    <w:rsid w:val="00441268"/>
    <w:rsid w:val="00441804"/>
    <w:rsid w:val="0045270F"/>
    <w:rsid w:val="00452950"/>
    <w:rsid w:val="00453A76"/>
    <w:rsid w:val="00453E51"/>
    <w:rsid w:val="00454C7C"/>
    <w:rsid w:val="00454FD0"/>
    <w:rsid w:val="00456EF6"/>
    <w:rsid w:val="00461DA4"/>
    <w:rsid w:val="00462C4F"/>
    <w:rsid w:val="00467579"/>
    <w:rsid w:val="0048270B"/>
    <w:rsid w:val="004862CB"/>
    <w:rsid w:val="00487472"/>
    <w:rsid w:val="00487A16"/>
    <w:rsid w:val="00487C9C"/>
    <w:rsid w:val="00491E5D"/>
    <w:rsid w:val="00494A00"/>
    <w:rsid w:val="004955D1"/>
    <w:rsid w:val="00497618"/>
    <w:rsid w:val="004A081D"/>
    <w:rsid w:val="004B60F5"/>
    <w:rsid w:val="004D1D8C"/>
    <w:rsid w:val="004D32AB"/>
    <w:rsid w:val="004D351F"/>
    <w:rsid w:val="004E7F1F"/>
    <w:rsid w:val="004F148E"/>
    <w:rsid w:val="004F1B78"/>
    <w:rsid w:val="0050470F"/>
    <w:rsid w:val="005066AF"/>
    <w:rsid w:val="00513088"/>
    <w:rsid w:val="005263F2"/>
    <w:rsid w:val="00531313"/>
    <w:rsid w:val="00540E46"/>
    <w:rsid w:val="00560798"/>
    <w:rsid w:val="00565B96"/>
    <w:rsid w:val="00573767"/>
    <w:rsid w:val="00577198"/>
    <w:rsid w:val="00580627"/>
    <w:rsid w:val="00581871"/>
    <w:rsid w:val="00583B8E"/>
    <w:rsid w:val="005851F9"/>
    <w:rsid w:val="005863EE"/>
    <w:rsid w:val="00591B78"/>
    <w:rsid w:val="005935EA"/>
    <w:rsid w:val="00594331"/>
    <w:rsid w:val="005956B9"/>
    <w:rsid w:val="00597338"/>
    <w:rsid w:val="005A6399"/>
    <w:rsid w:val="005B1FDB"/>
    <w:rsid w:val="005B25E9"/>
    <w:rsid w:val="005C284E"/>
    <w:rsid w:val="005C412D"/>
    <w:rsid w:val="005C4184"/>
    <w:rsid w:val="005C4338"/>
    <w:rsid w:val="005C45DF"/>
    <w:rsid w:val="005C7DA2"/>
    <w:rsid w:val="005D06C3"/>
    <w:rsid w:val="005D0E6E"/>
    <w:rsid w:val="005D1EEB"/>
    <w:rsid w:val="005D6C1F"/>
    <w:rsid w:val="005D7502"/>
    <w:rsid w:val="005E14B9"/>
    <w:rsid w:val="005E2DA9"/>
    <w:rsid w:val="00600A40"/>
    <w:rsid w:val="0060217C"/>
    <w:rsid w:val="00606E9C"/>
    <w:rsid w:val="0061216F"/>
    <w:rsid w:val="00612418"/>
    <w:rsid w:val="00613B46"/>
    <w:rsid w:val="00620ECB"/>
    <w:rsid w:val="006239EF"/>
    <w:rsid w:val="00624D3C"/>
    <w:rsid w:val="006258AC"/>
    <w:rsid w:val="006332D6"/>
    <w:rsid w:val="0065203C"/>
    <w:rsid w:val="006529C1"/>
    <w:rsid w:val="0066128F"/>
    <w:rsid w:val="00664C22"/>
    <w:rsid w:val="006774D9"/>
    <w:rsid w:val="00682ECB"/>
    <w:rsid w:val="006835B9"/>
    <w:rsid w:val="00687F55"/>
    <w:rsid w:val="006928BD"/>
    <w:rsid w:val="006A4858"/>
    <w:rsid w:val="006A5576"/>
    <w:rsid w:val="006B4658"/>
    <w:rsid w:val="006B55B3"/>
    <w:rsid w:val="006C5FD1"/>
    <w:rsid w:val="006C6DA4"/>
    <w:rsid w:val="006D2D96"/>
    <w:rsid w:val="006D3C00"/>
    <w:rsid w:val="006D535B"/>
    <w:rsid w:val="006D6774"/>
    <w:rsid w:val="006D6B8B"/>
    <w:rsid w:val="006E1684"/>
    <w:rsid w:val="006E3AE5"/>
    <w:rsid w:val="006E7788"/>
    <w:rsid w:val="006F034C"/>
    <w:rsid w:val="006F1F74"/>
    <w:rsid w:val="006F2520"/>
    <w:rsid w:val="006F3333"/>
    <w:rsid w:val="006F4999"/>
    <w:rsid w:val="006F4CB2"/>
    <w:rsid w:val="006F6176"/>
    <w:rsid w:val="006F62D7"/>
    <w:rsid w:val="006F72AE"/>
    <w:rsid w:val="0070480C"/>
    <w:rsid w:val="00704ABD"/>
    <w:rsid w:val="00705D26"/>
    <w:rsid w:val="00712D75"/>
    <w:rsid w:val="00712D9C"/>
    <w:rsid w:val="00714799"/>
    <w:rsid w:val="00716F42"/>
    <w:rsid w:val="00717CE0"/>
    <w:rsid w:val="00720E35"/>
    <w:rsid w:val="00721503"/>
    <w:rsid w:val="007215EF"/>
    <w:rsid w:val="0072280F"/>
    <w:rsid w:val="0072727A"/>
    <w:rsid w:val="00732271"/>
    <w:rsid w:val="007354DE"/>
    <w:rsid w:val="00736DF6"/>
    <w:rsid w:val="00740AB0"/>
    <w:rsid w:val="00740BFF"/>
    <w:rsid w:val="007439BF"/>
    <w:rsid w:val="007466AC"/>
    <w:rsid w:val="00747FBD"/>
    <w:rsid w:val="007515A3"/>
    <w:rsid w:val="00754159"/>
    <w:rsid w:val="007619AF"/>
    <w:rsid w:val="00761BCD"/>
    <w:rsid w:val="007649CC"/>
    <w:rsid w:val="00767C03"/>
    <w:rsid w:val="00777C48"/>
    <w:rsid w:val="00782D28"/>
    <w:rsid w:val="007842FA"/>
    <w:rsid w:val="0078773D"/>
    <w:rsid w:val="007912EC"/>
    <w:rsid w:val="00796B14"/>
    <w:rsid w:val="007A461E"/>
    <w:rsid w:val="007A7025"/>
    <w:rsid w:val="007A7D01"/>
    <w:rsid w:val="007A7FBC"/>
    <w:rsid w:val="007B214F"/>
    <w:rsid w:val="007B4CE5"/>
    <w:rsid w:val="007B5073"/>
    <w:rsid w:val="007C3180"/>
    <w:rsid w:val="007C55A8"/>
    <w:rsid w:val="007C7D4D"/>
    <w:rsid w:val="007D0362"/>
    <w:rsid w:val="007D0676"/>
    <w:rsid w:val="007D42F8"/>
    <w:rsid w:val="007E095C"/>
    <w:rsid w:val="007E713F"/>
    <w:rsid w:val="007F0D31"/>
    <w:rsid w:val="007F1BFB"/>
    <w:rsid w:val="007F4BDA"/>
    <w:rsid w:val="007F7937"/>
    <w:rsid w:val="00800C4D"/>
    <w:rsid w:val="008050A9"/>
    <w:rsid w:val="00806BFB"/>
    <w:rsid w:val="00810357"/>
    <w:rsid w:val="0081155D"/>
    <w:rsid w:val="0082024F"/>
    <w:rsid w:val="008230AB"/>
    <w:rsid w:val="00826FFD"/>
    <w:rsid w:val="00827E87"/>
    <w:rsid w:val="0083056B"/>
    <w:rsid w:val="00834293"/>
    <w:rsid w:val="00837224"/>
    <w:rsid w:val="00837490"/>
    <w:rsid w:val="00837689"/>
    <w:rsid w:val="00842AFD"/>
    <w:rsid w:val="008463F1"/>
    <w:rsid w:val="00846775"/>
    <w:rsid w:val="0084742D"/>
    <w:rsid w:val="00847EE0"/>
    <w:rsid w:val="008531C7"/>
    <w:rsid w:val="008644F9"/>
    <w:rsid w:val="00866D98"/>
    <w:rsid w:val="00867305"/>
    <w:rsid w:val="0087032A"/>
    <w:rsid w:val="00870A6A"/>
    <w:rsid w:val="0087766A"/>
    <w:rsid w:val="0088036A"/>
    <w:rsid w:val="0088043B"/>
    <w:rsid w:val="0088672C"/>
    <w:rsid w:val="00897006"/>
    <w:rsid w:val="008A44A4"/>
    <w:rsid w:val="008A4EC9"/>
    <w:rsid w:val="008A662F"/>
    <w:rsid w:val="008B4847"/>
    <w:rsid w:val="008B515F"/>
    <w:rsid w:val="008C2797"/>
    <w:rsid w:val="008C2BFA"/>
    <w:rsid w:val="008C62EE"/>
    <w:rsid w:val="008C6F3E"/>
    <w:rsid w:val="008D22B5"/>
    <w:rsid w:val="008D33A1"/>
    <w:rsid w:val="008E3158"/>
    <w:rsid w:val="008E65FF"/>
    <w:rsid w:val="008E7A6E"/>
    <w:rsid w:val="008F0C56"/>
    <w:rsid w:val="008F1054"/>
    <w:rsid w:val="008F3698"/>
    <w:rsid w:val="008F7583"/>
    <w:rsid w:val="008F785F"/>
    <w:rsid w:val="00905632"/>
    <w:rsid w:val="0091051C"/>
    <w:rsid w:val="009140A3"/>
    <w:rsid w:val="00923E08"/>
    <w:rsid w:val="00926F25"/>
    <w:rsid w:val="00930454"/>
    <w:rsid w:val="0094303E"/>
    <w:rsid w:val="00947D0F"/>
    <w:rsid w:val="0095242D"/>
    <w:rsid w:val="009535BD"/>
    <w:rsid w:val="009566BD"/>
    <w:rsid w:val="00963520"/>
    <w:rsid w:val="00976944"/>
    <w:rsid w:val="00980689"/>
    <w:rsid w:val="00984D82"/>
    <w:rsid w:val="009879E3"/>
    <w:rsid w:val="00993943"/>
    <w:rsid w:val="009A56C3"/>
    <w:rsid w:val="009A5C6A"/>
    <w:rsid w:val="009B0939"/>
    <w:rsid w:val="009B0BB5"/>
    <w:rsid w:val="009B629D"/>
    <w:rsid w:val="009C41AB"/>
    <w:rsid w:val="009D01C9"/>
    <w:rsid w:val="009D451B"/>
    <w:rsid w:val="009D6AEA"/>
    <w:rsid w:val="009F7CEF"/>
    <w:rsid w:val="009F7EB7"/>
    <w:rsid w:val="00A00942"/>
    <w:rsid w:val="00A00A6B"/>
    <w:rsid w:val="00A00CF9"/>
    <w:rsid w:val="00A018B4"/>
    <w:rsid w:val="00A02CCA"/>
    <w:rsid w:val="00A116B8"/>
    <w:rsid w:val="00A1271B"/>
    <w:rsid w:val="00A14694"/>
    <w:rsid w:val="00A1510F"/>
    <w:rsid w:val="00A22675"/>
    <w:rsid w:val="00A22DD4"/>
    <w:rsid w:val="00A24A32"/>
    <w:rsid w:val="00A24BD4"/>
    <w:rsid w:val="00A259FE"/>
    <w:rsid w:val="00A26105"/>
    <w:rsid w:val="00A27CD3"/>
    <w:rsid w:val="00A34293"/>
    <w:rsid w:val="00A348B2"/>
    <w:rsid w:val="00A42B36"/>
    <w:rsid w:val="00A66FD1"/>
    <w:rsid w:val="00A722BB"/>
    <w:rsid w:val="00A73D3D"/>
    <w:rsid w:val="00A86966"/>
    <w:rsid w:val="00A92209"/>
    <w:rsid w:val="00A95871"/>
    <w:rsid w:val="00A95F67"/>
    <w:rsid w:val="00AA4E82"/>
    <w:rsid w:val="00AA611C"/>
    <w:rsid w:val="00AA6201"/>
    <w:rsid w:val="00AA685F"/>
    <w:rsid w:val="00AB1ECC"/>
    <w:rsid w:val="00AB2E0A"/>
    <w:rsid w:val="00AB5255"/>
    <w:rsid w:val="00AB6136"/>
    <w:rsid w:val="00AB7675"/>
    <w:rsid w:val="00AC2C10"/>
    <w:rsid w:val="00AC2D0B"/>
    <w:rsid w:val="00AC4A00"/>
    <w:rsid w:val="00AD3AEC"/>
    <w:rsid w:val="00AE5925"/>
    <w:rsid w:val="00AE5A0F"/>
    <w:rsid w:val="00AE6E42"/>
    <w:rsid w:val="00AE72A4"/>
    <w:rsid w:val="00AF05DF"/>
    <w:rsid w:val="00AF5264"/>
    <w:rsid w:val="00AF5596"/>
    <w:rsid w:val="00AF633A"/>
    <w:rsid w:val="00AF787D"/>
    <w:rsid w:val="00B02183"/>
    <w:rsid w:val="00B048F4"/>
    <w:rsid w:val="00B05F43"/>
    <w:rsid w:val="00B06607"/>
    <w:rsid w:val="00B07A08"/>
    <w:rsid w:val="00B10831"/>
    <w:rsid w:val="00B2097F"/>
    <w:rsid w:val="00B3335C"/>
    <w:rsid w:val="00B34053"/>
    <w:rsid w:val="00B43F0A"/>
    <w:rsid w:val="00B533C7"/>
    <w:rsid w:val="00B67AE8"/>
    <w:rsid w:val="00B75B42"/>
    <w:rsid w:val="00B761B2"/>
    <w:rsid w:val="00B86E76"/>
    <w:rsid w:val="00B930D1"/>
    <w:rsid w:val="00B944F9"/>
    <w:rsid w:val="00BA5425"/>
    <w:rsid w:val="00BB0377"/>
    <w:rsid w:val="00BB4F2D"/>
    <w:rsid w:val="00BC1106"/>
    <w:rsid w:val="00BC12BB"/>
    <w:rsid w:val="00BC1414"/>
    <w:rsid w:val="00BC429E"/>
    <w:rsid w:val="00BC4A9B"/>
    <w:rsid w:val="00BC5A00"/>
    <w:rsid w:val="00BC60F9"/>
    <w:rsid w:val="00BD3543"/>
    <w:rsid w:val="00BD51ED"/>
    <w:rsid w:val="00BD710E"/>
    <w:rsid w:val="00BF42BF"/>
    <w:rsid w:val="00BF6468"/>
    <w:rsid w:val="00BF652C"/>
    <w:rsid w:val="00BF7B31"/>
    <w:rsid w:val="00C02D13"/>
    <w:rsid w:val="00C11C0C"/>
    <w:rsid w:val="00C1207A"/>
    <w:rsid w:val="00C23C6B"/>
    <w:rsid w:val="00C313AE"/>
    <w:rsid w:val="00C31AE2"/>
    <w:rsid w:val="00C334E2"/>
    <w:rsid w:val="00C35075"/>
    <w:rsid w:val="00C360F9"/>
    <w:rsid w:val="00C36216"/>
    <w:rsid w:val="00C40C17"/>
    <w:rsid w:val="00C411C7"/>
    <w:rsid w:val="00C41EBD"/>
    <w:rsid w:val="00C4783F"/>
    <w:rsid w:val="00C575AF"/>
    <w:rsid w:val="00C60D02"/>
    <w:rsid w:val="00C6116F"/>
    <w:rsid w:val="00C75526"/>
    <w:rsid w:val="00C8198E"/>
    <w:rsid w:val="00C86F7E"/>
    <w:rsid w:val="00C9351E"/>
    <w:rsid w:val="00CA4015"/>
    <w:rsid w:val="00CA5237"/>
    <w:rsid w:val="00CA5785"/>
    <w:rsid w:val="00CA7E84"/>
    <w:rsid w:val="00CB405F"/>
    <w:rsid w:val="00CC4321"/>
    <w:rsid w:val="00CC4495"/>
    <w:rsid w:val="00CD6355"/>
    <w:rsid w:val="00CD6F3E"/>
    <w:rsid w:val="00CE1278"/>
    <w:rsid w:val="00CE1D12"/>
    <w:rsid w:val="00CE4907"/>
    <w:rsid w:val="00CE7B8C"/>
    <w:rsid w:val="00CF1B07"/>
    <w:rsid w:val="00CF1DDD"/>
    <w:rsid w:val="00CF73FA"/>
    <w:rsid w:val="00D04B6B"/>
    <w:rsid w:val="00D05557"/>
    <w:rsid w:val="00D05B70"/>
    <w:rsid w:val="00D115EE"/>
    <w:rsid w:val="00D12D8C"/>
    <w:rsid w:val="00D24025"/>
    <w:rsid w:val="00D245E5"/>
    <w:rsid w:val="00D27E1E"/>
    <w:rsid w:val="00D3038F"/>
    <w:rsid w:val="00D341B6"/>
    <w:rsid w:val="00D37806"/>
    <w:rsid w:val="00D40A89"/>
    <w:rsid w:val="00D42AE2"/>
    <w:rsid w:val="00D43F83"/>
    <w:rsid w:val="00D457D7"/>
    <w:rsid w:val="00D466E8"/>
    <w:rsid w:val="00D51D2A"/>
    <w:rsid w:val="00D51D37"/>
    <w:rsid w:val="00D52818"/>
    <w:rsid w:val="00D52866"/>
    <w:rsid w:val="00D53E9B"/>
    <w:rsid w:val="00D62891"/>
    <w:rsid w:val="00D7411F"/>
    <w:rsid w:val="00D767F8"/>
    <w:rsid w:val="00D77557"/>
    <w:rsid w:val="00D7755F"/>
    <w:rsid w:val="00D9366F"/>
    <w:rsid w:val="00D94C82"/>
    <w:rsid w:val="00DA0C3A"/>
    <w:rsid w:val="00DA2056"/>
    <w:rsid w:val="00DA43D8"/>
    <w:rsid w:val="00DA50E8"/>
    <w:rsid w:val="00DB3A19"/>
    <w:rsid w:val="00DB4C39"/>
    <w:rsid w:val="00DC10C1"/>
    <w:rsid w:val="00DC5AFE"/>
    <w:rsid w:val="00DC7113"/>
    <w:rsid w:val="00DD0620"/>
    <w:rsid w:val="00DD6593"/>
    <w:rsid w:val="00DD692F"/>
    <w:rsid w:val="00DE041B"/>
    <w:rsid w:val="00DE06D5"/>
    <w:rsid w:val="00DE3871"/>
    <w:rsid w:val="00DE4D4B"/>
    <w:rsid w:val="00DE5055"/>
    <w:rsid w:val="00DE5B3A"/>
    <w:rsid w:val="00DE63A1"/>
    <w:rsid w:val="00DF24AB"/>
    <w:rsid w:val="00DF7646"/>
    <w:rsid w:val="00E014B1"/>
    <w:rsid w:val="00E023F8"/>
    <w:rsid w:val="00E03624"/>
    <w:rsid w:val="00E07287"/>
    <w:rsid w:val="00E148E8"/>
    <w:rsid w:val="00E16C02"/>
    <w:rsid w:val="00E16F8B"/>
    <w:rsid w:val="00E1792B"/>
    <w:rsid w:val="00E224ED"/>
    <w:rsid w:val="00E2258E"/>
    <w:rsid w:val="00E234D4"/>
    <w:rsid w:val="00E23BCA"/>
    <w:rsid w:val="00E301F4"/>
    <w:rsid w:val="00E33D83"/>
    <w:rsid w:val="00E35CF1"/>
    <w:rsid w:val="00E47998"/>
    <w:rsid w:val="00E47F7E"/>
    <w:rsid w:val="00E50680"/>
    <w:rsid w:val="00E53CC4"/>
    <w:rsid w:val="00E57522"/>
    <w:rsid w:val="00E62B01"/>
    <w:rsid w:val="00E6738C"/>
    <w:rsid w:val="00E75EAB"/>
    <w:rsid w:val="00EA0F61"/>
    <w:rsid w:val="00EA3F3D"/>
    <w:rsid w:val="00EA4973"/>
    <w:rsid w:val="00EA6A54"/>
    <w:rsid w:val="00EB2C24"/>
    <w:rsid w:val="00EB46D2"/>
    <w:rsid w:val="00EC1131"/>
    <w:rsid w:val="00EC2B77"/>
    <w:rsid w:val="00EC58AC"/>
    <w:rsid w:val="00ED584C"/>
    <w:rsid w:val="00ED5C8F"/>
    <w:rsid w:val="00EF2BFE"/>
    <w:rsid w:val="00EF2C4C"/>
    <w:rsid w:val="00EF67DF"/>
    <w:rsid w:val="00F02386"/>
    <w:rsid w:val="00F0241D"/>
    <w:rsid w:val="00F031BC"/>
    <w:rsid w:val="00F0530E"/>
    <w:rsid w:val="00F219B5"/>
    <w:rsid w:val="00F21DC3"/>
    <w:rsid w:val="00F263F6"/>
    <w:rsid w:val="00F27848"/>
    <w:rsid w:val="00F366BA"/>
    <w:rsid w:val="00F414C7"/>
    <w:rsid w:val="00F467FA"/>
    <w:rsid w:val="00F55342"/>
    <w:rsid w:val="00F554C7"/>
    <w:rsid w:val="00F63392"/>
    <w:rsid w:val="00F64BEB"/>
    <w:rsid w:val="00F675D9"/>
    <w:rsid w:val="00F67A8A"/>
    <w:rsid w:val="00F71EA6"/>
    <w:rsid w:val="00F7465F"/>
    <w:rsid w:val="00F80656"/>
    <w:rsid w:val="00F8232A"/>
    <w:rsid w:val="00F90D61"/>
    <w:rsid w:val="00F9278F"/>
    <w:rsid w:val="00FA4088"/>
    <w:rsid w:val="00FB2DC1"/>
    <w:rsid w:val="00FB35EC"/>
    <w:rsid w:val="00FB6EDF"/>
    <w:rsid w:val="00FC1F03"/>
    <w:rsid w:val="00FC2479"/>
    <w:rsid w:val="00FC3C7D"/>
    <w:rsid w:val="00FC732B"/>
    <w:rsid w:val="00FD5263"/>
    <w:rsid w:val="00FE16B9"/>
    <w:rsid w:val="00FE5B61"/>
    <w:rsid w:val="00FF1A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34BDCF68"/>
  <w15:docId w15:val="{07EF7538-325A-4274-8D4A-751E24EFB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2AFA"/>
    <w:rPr>
      <w:rFonts w:ascii="Officina Sans ITC TT" w:hAnsi="Officina Sans ITC TT"/>
      <w:sz w:val="24"/>
      <w:lang w:eastAsia="en-US"/>
    </w:rPr>
  </w:style>
  <w:style w:type="paragraph" w:styleId="Heading1">
    <w:name w:val="heading 1"/>
    <w:basedOn w:val="Normal"/>
    <w:next w:val="Normal"/>
    <w:link w:val="Heading1Char"/>
    <w:qFormat/>
    <w:rsid w:val="003A2AFA"/>
    <w:pPr>
      <w:keepNext/>
      <w:numPr>
        <w:numId w:val="5"/>
      </w:numPr>
      <w:spacing w:before="240" w:after="60"/>
      <w:ind w:left="0" w:firstLine="0"/>
      <w:outlineLvl w:val="0"/>
    </w:pPr>
    <w:rPr>
      <w:rFonts w:ascii="Courier" w:hAnsi="Courier"/>
      <w:b/>
      <w:kern w:val="28"/>
      <w:sz w:val="28"/>
    </w:rPr>
  </w:style>
  <w:style w:type="paragraph" w:styleId="Heading2">
    <w:name w:val="heading 2"/>
    <w:basedOn w:val="Normal"/>
    <w:next w:val="Normal"/>
    <w:link w:val="Heading2Char"/>
    <w:qFormat/>
    <w:rsid w:val="003A2AFA"/>
    <w:pPr>
      <w:keepNext/>
      <w:jc w:val="center"/>
      <w:outlineLvl w:val="1"/>
    </w:pPr>
    <w:rPr>
      <w:rFonts w:ascii="Courier" w:hAnsi="Courier"/>
      <w:b/>
    </w:rPr>
  </w:style>
  <w:style w:type="paragraph" w:styleId="Heading3">
    <w:name w:val="heading 3"/>
    <w:basedOn w:val="Normal"/>
    <w:next w:val="Normal"/>
    <w:link w:val="Heading3Char"/>
    <w:qFormat/>
    <w:rsid w:val="003A2AFA"/>
    <w:pPr>
      <w:keepNext/>
      <w:numPr>
        <w:ilvl w:val="2"/>
        <w:numId w:val="5"/>
      </w:numPr>
      <w:spacing w:after="240"/>
      <w:ind w:left="0" w:firstLine="0"/>
      <w:jc w:val="center"/>
      <w:outlineLvl w:val="2"/>
    </w:pPr>
    <w:rPr>
      <w:rFonts w:ascii="Courier" w:hAnsi="Courier"/>
      <w:b/>
      <w:sz w:val="48"/>
      <w:u w:val="single"/>
    </w:rPr>
  </w:style>
  <w:style w:type="paragraph" w:styleId="Heading4">
    <w:name w:val="heading 4"/>
    <w:basedOn w:val="Normal"/>
    <w:next w:val="Normal"/>
    <w:link w:val="Heading4Char"/>
    <w:qFormat/>
    <w:rsid w:val="003A2AFA"/>
    <w:pPr>
      <w:keepNext/>
      <w:numPr>
        <w:ilvl w:val="3"/>
        <w:numId w:val="5"/>
      </w:numPr>
      <w:spacing w:line="360" w:lineRule="auto"/>
      <w:ind w:left="0" w:firstLine="0"/>
      <w:outlineLvl w:val="3"/>
    </w:pPr>
    <w:rPr>
      <w:rFonts w:ascii="Courier" w:hAnsi="Courier"/>
      <w:b/>
      <w:u w:val="single"/>
    </w:rPr>
  </w:style>
  <w:style w:type="paragraph" w:styleId="Heading5">
    <w:name w:val="heading 5"/>
    <w:basedOn w:val="Normal"/>
    <w:next w:val="Normal"/>
    <w:link w:val="Heading5Char"/>
    <w:qFormat/>
    <w:rsid w:val="003A2AFA"/>
    <w:pPr>
      <w:keepNext/>
      <w:numPr>
        <w:ilvl w:val="4"/>
        <w:numId w:val="5"/>
      </w:numPr>
      <w:spacing w:line="360" w:lineRule="auto"/>
      <w:ind w:left="0" w:firstLine="0"/>
      <w:outlineLvl w:val="4"/>
    </w:pPr>
    <w:rPr>
      <w:rFonts w:ascii="Courier" w:hAnsi="Courier"/>
      <w:sz w:val="28"/>
    </w:rPr>
  </w:style>
  <w:style w:type="paragraph" w:styleId="Heading6">
    <w:name w:val="heading 6"/>
    <w:basedOn w:val="Normal"/>
    <w:next w:val="Normal"/>
    <w:link w:val="Heading6Char"/>
    <w:qFormat/>
    <w:rsid w:val="003A2AFA"/>
    <w:pPr>
      <w:keepNext/>
      <w:numPr>
        <w:ilvl w:val="5"/>
        <w:numId w:val="5"/>
      </w:numPr>
      <w:spacing w:after="40"/>
      <w:ind w:left="0" w:firstLine="0"/>
      <w:outlineLvl w:val="5"/>
    </w:pPr>
    <w:rPr>
      <w:rFonts w:ascii="Courier" w:hAnsi="Courier"/>
      <w:sz w:val="56"/>
    </w:rPr>
  </w:style>
  <w:style w:type="paragraph" w:styleId="Heading7">
    <w:name w:val="heading 7"/>
    <w:basedOn w:val="Normal"/>
    <w:next w:val="Normal"/>
    <w:link w:val="Heading7Char"/>
    <w:qFormat/>
    <w:rsid w:val="003A2AFA"/>
    <w:pPr>
      <w:keepNext/>
      <w:numPr>
        <w:ilvl w:val="6"/>
        <w:numId w:val="5"/>
      </w:numPr>
      <w:ind w:left="0" w:firstLine="0"/>
      <w:jc w:val="both"/>
      <w:outlineLvl w:val="6"/>
    </w:pPr>
    <w:rPr>
      <w:rFonts w:ascii="Courier" w:hAnsi="Courier"/>
      <w:sz w:val="28"/>
    </w:rPr>
  </w:style>
  <w:style w:type="paragraph" w:styleId="Heading8">
    <w:name w:val="heading 8"/>
    <w:basedOn w:val="Normal"/>
    <w:next w:val="Normal"/>
    <w:link w:val="Heading8Char"/>
    <w:qFormat/>
    <w:rsid w:val="003A2AFA"/>
    <w:pPr>
      <w:keepNext/>
      <w:numPr>
        <w:ilvl w:val="7"/>
        <w:numId w:val="5"/>
      </w:numPr>
      <w:autoSpaceDE w:val="0"/>
      <w:autoSpaceDN w:val="0"/>
      <w:adjustRightInd w:val="0"/>
      <w:ind w:left="360" w:firstLine="0"/>
      <w:outlineLvl w:val="7"/>
    </w:pPr>
    <w:rPr>
      <w:rFonts w:cs="Arial"/>
      <w:u w:val="single"/>
      <w:lang w:val="en-US"/>
    </w:rPr>
  </w:style>
  <w:style w:type="paragraph" w:styleId="Heading9">
    <w:name w:val="heading 9"/>
    <w:basedOn w:val="Normal"/>
    <w:next w:val="Normal"/>
    <w:link w:val="Heading9Char"/>
    <w:qFormat/>
    <w:rsid w:val="003A2AFA"/>
    <w:pPr>
      <w:keepNext/>
      <w:numPr>
        <w:ilvl w:val="8"/>
        <w:numId w:val="5"/>
      </w:numPr>
      <w:tabs>
        <w:tab w:val="num" w:pos="709"/>
      </w:tabs>
      <w:spacing w:after="240" w:line="360" w:lineRule="auto"/>
      <w:ind w:left="360" w:hanging="36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A2AFA"/>
    <w:rPr>
      <w:rFonts w:ascii="Courier" w:hAnsi="Courier"/>
      <w:b/>
      <w:kern w:val="28"/>
      <w:sz w:val="28"/>
      <w:lang w:eastAsia="en-US"/>
    </w:rPr>
  </w:style>
  <w:style w:type="character" w:customStyle="1" w:styleId="Heading2Char">
    <w:name w:val="Heading 2 Char"/>
    <w:basedOn w:val="DefaultParagraphFont"/>
    <w:link w:val="Heading2"/>
    <w:rsid w:val="003A2AFA"/>
    <w:rPr>
      <w:rFonts w:ascii="Courier" w:hAnsi="Courier"/>
      <w:b/>
      <w:sz w:val="24"/>
      <w:lang w:eastAsia="en-US"/>
    </w:rPr>
  </w:style>
  <w:style w:type="character" w:customStyle="1" w:styleId="Heading3Char">
    <w:name w:val="Heading 3 Char"/>
    <w:basedOn w:val="DefaultParagraphFont"/>
    <w:link w:val="Heading3"/>
    <w:rsid w:val="003A2AFA"/>
    <w:rPr>
      <w:rFonts w:ascii="Courier" w:hAnsi="Courier"/>
      <w:b/>
      <w:sz w:val="48"/>
      <w:u w:val="single"/>
      <w:lang w:eastAsia="en-US"/>
    </w:rPr>
  </w:style>
  <w:style w:type="character" w:customStyle="1" w:styleId="Heading4Char">
    <w:name w:val="Heading 4 Char"/>
    <w:basedOn w:val="DefaultParagraphFont"/>
    <w:link w:val="Heading4"/>
    <w:rsid w:val="003A2AFA"/>
    <w:rPr>
      <w:rFonts w:ascii="Courier" w:hAnsi="Courier"/>
      <w:b/>
      <w:sz w:val="24"/>
      <w:u w:val="single"/>
      <w:lang w:eastAsia="en-US"/>
    </w:rPr>
  </w:style>
  <w:style w:type="character" w:customStyle="1" w:styleId="Heading5Char">
    <w:name w:val="Heading 5 Char"/>
    <w:basedOn w:val="DefaultParagraphFont"/>
    <w:link w:val="Heading5"/>
    <w:rsid w:val="003A2AFA"/>
    <w:rPr>
      <w:rFonts w:ascii="Courier" w:hAnsi="Courier"/>
      <w:sz w:val="28"/>
      <w:lang w:eastAsia="en-US"/>
    </w:rPr>
  </w:style>
  <w:style w:type="character" w:customStyle="1" w:styleId="Heading6Char">
    <w:name w:val="Heading 6 Char"/>
    <w:basedOn w:val="DefaultParagraphFont"/>
    <w:link w:val="Heading6"/>
    <w:rsid w:val="003A2AFA"/>
    <w:rPr>
      <w:rFonts w:ascii="Courier" w:hAnsi="Courier"/>
      <w:sz w:val="56"/>
      <w:lang w:eastAsia="en-US"/>
    </w:rPr>
  </w:style>
  <w:style w:type="character" w:customStyle="1" w:styleId="Heading7Char">
    <w:name w:val="Heading 7 Char"/>
    <w:basedOn w:val="DefaultParagraphFont"/>
    <w:link w:val="Heading7"/>
    <w:rsid w:val="003A2AFA"/>
    <w:rPr>
      <w:rFonts w:ascii="Courier" w:hAnsi="Courier"/>
      <w:sz w:val="28"/>
      <w:lang w:eastAsia="en-US"/>
    </w:rPr>
  </w:style>
  <w:style w:type="character" w:customStyle="1" w:styleId="Heading8Char">
    <w:name w:val="Heading 8 Char"/>
    <w:basedOn w:val="DefaultParagraphFont"/>
    <w:link w:val="Heading8"/>
    <w:rsid w:val="003A2AFA"/>
    <w:rPr>
      <w:rFonts w:ascii="Officina Sans ITC TT" w:hAnsi="Officina Sans ITC TT" w:cs="Arial"/>
      <w:sz w:val="24"/>
      <w:u w:val="single"/>
      <w:lang w:val="en-US" w:eastAsia="en-US"/>
    </w:rPr>
  </w:style>
  <w:style w:type="character" w:customStyle="1" w:styleId="Heading9Char">
    <w:name w:val="Heading 9 Char"/>
    <w:basedOn w:val="DefaultParagraphFont"/>
    <w:link w:val="Heading9"/>
    <w:rsid w:val="003A2AFA"/>
    <w:rPr>
      <w:rFonts w:ascii="Officina Sans ITC TT" w:hAnsi="Officina Sans ITC TT"/>
      <w:b/>
      <w:sz w:val="24"/>
      <w:lang w:eastAsia="en-US"/>
    </w:rPr>
  </w:style>
  <w:style w:type="paragraph" w:customStyle="1" w:styleId="Default">
    <w:name w:val="Default"/>
    <w:rsid w:val="003A2AFA"/>
    <w:pPr>
      <w:widowControl w:val="0"/>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3A2AFA"/>
    <w:pPr>
      <w:ind w:left="720"/>
    </w:pPr>
    <w:rPr>
      <w:rFonts w:ascii="Arial" w:hAnsi="Arial"/>
      <w:sz w:val="22"/>
      <w:szCs w:val="22"/>
    </w:rPr>
  </w:style>
  <w:style w:type="character" w:customStyle="1" w:styleId="st">
    <w:name w:val="st"/>
    <w:rsid w:val="003A2AFA"/>
  </w:style>
  <w:style w:type="paragraph" w:styleId="BalloonText">
    <w:name w:val="Balloon Text"/>
    <w:basedOn w:val="Normal"/>
    <w:link w:val="BalloonTextChar"/>
    <w:rsid w:val="00867305"/>
    <w:rPr>
      <w:rFonts w:ascii="Tahoma" w:hAnsi="Tahoma" w:cs="Tahoma"/>
      <w:sz w:val="16"/>
      <w:szCs w:val="16"/>
    </w:rPr>
  </w:style>
  <w:style w:type="character" w:customStyle="1" w:styleId="BalloonTextChar">
    <w:name w:val="Balloon Text Char"/>
    <w:basedOn w:val="DefaultParagraphFont"/>
    <w:link w:val="BalloonText"/>
    <w:rsid w:val="00867305"/>
    <w:rPr>
      <w:rFonts w:ascii="Tahoma" w:hAnsi="Tahoma" w:cs="Tahoma"/>
      <w:sz w:val="16"/>
      <w:szCs w:val="16"/>
      <w:lang w:eastAsia="en-US"/>
    </w:rPr>
  </w:style>
  <w:style w:type="paragraph" w:styleId="Header">
    <w:name w:val="header"/>
    <w:basedOn w:val="Normal"/>
    <w:link w:val="HeaderChar"/>
    <w:rsid w:val="002F4508"/>
    <w:pPr>
      <w:tabs>
        <w:tab w:val="center" w:pos="4513"/>
        <w:tab w:val="right" w:pos="9026"/>
      </w:tabs>
    </w:pPr>
  </w:style>
  <w:style w:type="character" w:customStyle="1" w:styleId="HeaderChar">
    <w:name w:val="Header Char"/>
    <w:basedOn w:val="DefaultParagraphFont"/>
    <w:link w:val="Header"/>
    <w:rsid w:val="002F4508"/>
    <w:rPr>
      <w:rFonts w:ascii="Officina Sans ITC TT" w:hAnsi="Officina Sans ITC TT"/>
      <w:sz w:val="24"/>
      <w:lang w:eastAsia="en-US"/>
    </w:rPr>
  </w:style>
  <w:style w:type="paragraph" w:styleId="Footer">
    <w:name w:val="footer"/>
    <w:basedOn w:val="Normal"/>
    <w:link w:val="FooterChar"/>
    <w:rsid w:val="002F4508"/>
    <w:pPr>
      <w:tabs>
        <w:tab w:val="center" w:pos="4513"/>
        <w:tab w:val="right" w:pos="9026"/>
      </w:tabs>
    </w:pPr>
  </w:style>
  <w:style w:type="character" w:customStyle="1" w:styleId="FooterChar">
    <w:name w:val="Footer Char"/>
    <w:basedOn w:val="DefaultParagraphFont"/>
    <w:link w:val="Footer"/>
    <w:rsid w:val="002F4508"/>
    <w:rPr>
      <w:rFonts w:ascii="Officina Sans ITC TT" w:hAnsi="Officina Sans ITC TT"/>
      <w:sz w:val="24"/>
      <w:lang w:eastAsia="en-US"/>
    </w:rPr>
  </w:style>
  <w:style w:type="character" w:styleId="Hyperlink">
    <w:name w:val="Hyperlink"/>
    <w:basedOn w:val="DefaultParagraphFont"/>
    <w:rsid w:val="005C4184"/>
    <w:rPr>
      <w:color w:val="0000FF" w:themeColor="hyperlink"/>
      <w:u w:val="single"/>
    </w:rPr>
  </w:style>
  <w:style w:type="character" w:styleId="CommentReference">
    <w:name w:val="annotation reference"/>
    <w:basedOn w:val="DefaultParagraphFont"/>
    <w:semiHidden/>
    <w:unhideWhenUsed/>
    <w:rsid w:val="00D42AE2"/>
    <w:rPr>
      <w:sz w:val="16"/>
      <w:szCs w:val="16"/>
    </w:rPr>
  </w:style>
  <w:style w:type="paragraph" w:styleId="CommentText">
    <w:name w:val="annotation text"/>
    <w:basedOn w:val="Normal"/>
    <w:link w:val="CommentTextChar"/>
    <w:semiHidden/>
    <w:unhideWhenUsed/>
    <w:rsid w:val="00D42AE2"/>
    <w:rPr>
      <w:sz w:val="20"/>
    </w:rPr>
  </w:style>
  <w:style w:type="character" w:customStyle="1" w:styleId="CommentTextChar">
    <w:name w:val="Comment Text Char"/>
    <w:basedOn w:val="DefaultParagraphFont"/>
    <w:link w:val="CommentText"/>
    <w:semiHidden/>
    <w:rsid w:val="00D42AE2"/>
    <w:rPr>
      <w:rFonts w:ascii="Officina Sans ITC TT" w:hAnsi="Officina Sans ITC TT"/>
      <w:lang w:eastAsia="en-US"/>
    </w:rPr>
  </w:style>
  <w:style w:type="paragraph" w:styleId="CommentSubject">
    <w:name w:val="annotation subject"/>
    <w:basedOn w:val="CommentText"/>
    <w:next w:val="CommentText"/>
    <w:link w:val="CommentSubjectChar"/>
    <w:semiHidden/>
    <w:unhideWhenUsed/>
    <w:rsid w:val="00D42AE2"/>
    <w:rPr>
      <w:b/>
      <w:bCs/>
    </w:rPr>
  </w:style>
  <w:style w:type="character" w:customStyle="1" w:styleId="CommentSubjectChar">
    <w:name w:val="Comment Subject Char"/>
    <w:basedOn w:val="CommentTextChar"/>
    <w:link w:val="CommentSubject"/>
    <w:semiHidden/>
    <w:rsid w:val="00D42AE2"/>
    <w:rPr>
      <w:rFonts w:ascii="Officina Sans ITC TT" w:hAnsi="Officina Sans ITC TT"/>
      <w:b/>
      <w:bCs/>
      <w:lang w:eastAsia="en-US"/>
    </w:rPr>
  </w:style>
  <w:style w:type="paragraph" w:styleId="Revision">
    <w:name w:val="Revision"/>
    <w:hidden/>
    <w:uiPriority w:val="99"/>
    <w:semiHidden/>
    <w:rsid w:val="00061B01"/>
    <w:rPr>
      <w:rFonts w:ascii="Officina Sans ITC TT" w:hAnsi="Officina Sans ITC TT"/>
      <w:sz w:val="24"/>
      <w:lang w:eastAsia="en-US"/>
    </w:rPr>
  </w:style>
  <w:style w:type="character" w:customStyle="1" w:styleId="normaltextrun">
    <w:name w:val="normaltextrun"/>
    <w:basedOn w:val="DefaultParagraphFont"/>
    <w:rsid w:val="005943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540666">
      <w:bodyDiv w:val="1"/>
      <w:marLeft w:val="0"/>
      <w:marRight w:val="0"/>
      <w:marTop w:val="0"/>
      <w:marBottom w:val="0"/>
      <w:divBdr>
        <w:top w:val="none" w:sz="0" w:space="0" w:color="auto"/>
        <w:left w:val="none" w:sz="0" w:space="0" w:color="auto"/>
        <w:bottom w:val="none" w:sz="0" w:space="0" w:color="auto"/>
        <w:right w:val="none" w:sz="0" w:space="0" w:color="auto"/>
      </w:divBdr>
      <w:divsChild>
        <w:div w:id="2001732024">
          <w:marLeft w:val="0"/>
          <w:marRight w:val="0"/>
          <w:marTop w:val="0"/>
          <w:marBottom w:val="0"/>
          <w:divBdr>
            <w:top w:val="none" w:sz="0" w:space="0" w:color="auto"/>
            <w:left w:val="none" w:sz="0" w:space="0" w:color="auto"/>
            <w:bottom w:val="none" w:sz="0" w:space="0" w:color="auto"/>
            <w:right w:val="none" w:sz="0" w:space="0" w:color="auto"/>
          </w:divBdr>
          <w:divsChild>
            <w:div w:id="852913726">
              <w:marLeft w:val="0"/>
              <w:marRight w:val="0"/>
              <w:marTop w:val="0"/>
              <w:marBottom w:val="0"/>
              <w:divBdr>
                <w:top w:val="none" w:sz="0" w:space="0" w:color="auto"/>
                <w:left w:val="none" w:sz="0" w:space="0" w:color="auto"/>
                <w:bottom w:val="none" w:sz="0" w:space="0" w:color="auto"/>
                <w:right w:val="none" w:sz="0" w:space="0" w:color="auto"/>
              </w:divBdr>
              <w:divsChild>
                <w:div w:id="1950118618">
                  <w:marLeft w:val="0"/>
                  <w:marRight w:val="0"/>
                  <w:marTop w:val="0"/>
                  <w:marBottom w:val="0"/>
                  <w:divBdr>
                    <w:top w:val="none" w:sz="0" w:space="0" w:color="auto"/>
                    <w:left w:val="none" w:sz="0" w:space="0" w:color="auto"/>
                    <w:bottom w:val="none" w:sz="0" w:space="0" w:color="auto"/>
                    <w:right w:val="none" w:sz="0" w:space="0" w:color="auto"/>
                  </w:divBdr>
                  <w:divsChild>
                    <w:div w:id="444925008">
                      <w:marLeft w:val="0"/>
                      <w:marRight w:val="0"/>
                      <w:marTop w:val="300"/>
                      <w:marBottom w:val="300"/>
                      <w:divBdr>
                        <w:top w:val="none" w:sz="0" w:space="0" w:color="auto"/>
                        <w:left w:val="none" w:sz="0" w:space="0" w:color="auto"/>
                        <w:bottom w:val="none" w:sz="0" w:space="0" w:color="auto"/>
                        <w:right w:val="none" w:sz="0" w:space="0" w:color="auto"/>
                      </w:divBdr>
                      <w:divsChild>
                        <w:div w:id="1335064445">
                          <w:marLeft w:val="-225"/>
                          <w:marRight w:val="-225"/>
                          <w:marTop w:val="0"/>
                          <w:marBottom w:val="0"/>
                          <w:divBdr>
                            <w:top w:val="none" w:sz="0" w:space="0" w:color="auto"/>
                            <w:left w:val="none" w:sz="0" w:space="0" w:color="auto"/>
                            <w:bottom w:val="none" w:sz="0" w:space="0" w:color="auto"/>
                            <w:right w:val="none" w:sz="0" w:space="0" w:color="auto"/>
                          </w:divBdr>
                          <w:divsChild>
                            <w:div w:id="804740558">
                              <w:marLeft w:val="0"/>
                              <w:marRight w:val="0"/>
                              <w:marTop w:val="0"/>
                              <w:marBottom w:val="0"/>
                              <w:divBdr>
                                <w:top w:val="none" w:sz="0" w:space="0" w:color="auto"/>
                                <w:left w:val="none" w:sz="0" w:space="0" w:color="auto"/>
                                <w:bottom w:val="none" w:sz="0" w:space="0" w:color="auto"/>
                                <w:right w:val="none" w:sz="0" w:space="0" w:color="auto"/>
                              </w:divBdr>
                              <w:divsChild>
                                <w:div w:id="38954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7510429">
      <w:bodyDiv w:val="1"/>
      <w:marLeft w:val="0"/>
      <w:marRight w:val="0"/>
      <w:marTop w:val="0"/>
      <w:marBottom w:val="0"/>
      <w:divBdr>
        <w:top w:val="none" w:sz="0" w:space="0" w:color="auto"/>
        <w:left w:val="none" w:sz="0" w:space="0" w:color="auto"/>
        <w:bottom w:val="none" w:sz="0" w:space="0" w:color="auto"/>
        <w:right w:val="none" w:sz="0" w:space="0" w:color="auto"/>
      </w:divBdr>
    </w:div>
    <w:div w:id="449132764">
      <w:bodyDiv w:val="1"/>
      <w:marLeft w:val="0"/>
      <w:marRight w:val="0"/>
      <w:marTop w:val="0"/>
      <w:marBottom w:val="0"/>
      <w:divBdr>
        <w:top w:val="none" w:sz="0" w:space="0" w:color="auto"/>
        <w:left w:val="none" w:sz="0" w:space="0" w:color="auto"/>
        <w:bottom w:val="none" w:sz="0" w:space="0" w:color="auto"/>
        <w:right w:val="none" w:sz="0" w:space="0" w:color="auto"/>
      </w:divBdr>
    </w:div>
    <w:div w:id="619605050">
      <w:bodyDiv w:val="1"/>
      <w:marLeft w:val="0"/>
      <w:marRight w:val="0"/>
      <w:marTop w:val="0"/>
      <w:marBottom w:val="0"/>
      <w:divBdr>
        <w:top w:val="none" w:sz="0" w:space="0" w:color="auto"/>
        <w:left w:val="none" w:sz="0" w:space="0" w:color="auto"/>
        <w:bottom w:val="none" w:sz="0" w:space="0" w:color="auto"/>
        <w:right w:val="none" w:sz="0" w:space="0" w:color="auto"/>
      </w:divBdr>
    </w:div>
    <w:div w:id="725640994">
      <w:bodyDiv w:val="1"/>
      <w:marLeft w:val="0"/>
      <w:marRight w:val="0"/>
      <w:marTop w:val="0"/>
      <w:marBottom w:val="0"/>
      <w:divBdr>
        <w:top w:val="none" w:sz="0" w:space="0" w:color="auto"/>
        <w:left w:val="none" w:sz="0" w:space="0" w:color="auto"/>
        <w:bottom w:val="none" w:sz="0" w:space="0" w:color="auto"/>
        <w:right w:val="none" w:sz="0" w:space="0" w:color="auto"/>
      </w:divBdr>
    </w:div>
    <w:div w:id="1124694811">
      <w:bodyDiv w:val="1"/>
      <w:marLeft w:val="0"/>
      <w:marRight w:val="0"/>
      <w:marTop w:val="0"/>
      <w:marBottom w:val="0"/>
      <w:divBdr>
        <w:top w:val="none" w:sz="0" w:space="0" w:color="auto"/>
        <w:left w:val="none" w:sz="0" w:space="0" w:color="auto"/>
        <w:bottom w:val="none" w:sz="0" w:space="0" w:color="auto"/>
        <w:right w:val="none" w:sz="0" w:space="0" w:color="auto"/>
      </w:divBdr>
    </w:div>
    <w:div w:id="1853761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ephen.boon@londoncouncils.gov.uk"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E34C04-D079-4BAF-AFAA-51295886B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1452</Words>
  <Characters>7804</Characters>
  <Application>Microsoft Office Word</Application>
  <DocSecurity>4</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London Councils</Company>
  <LinksUpToDate>false</LinksUpToDate>
  <CharactersWithSpaces>9238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Elaine Hughes</dc:creator>
  <cp:lastModifiedBy>Fatmira Hoxha</cp:lastModifiedBy>
  <cp:revision>2</cp:revision>
  <cp:lastPrinted>2018-02-22T10:21:00Z</cp:lastPrinted>
  <dcterms:created xsi:type="dcterms:W3CDTF">2022-04-01T17:31:00Z</dcterms:created>
  <dcterms:modified xsi:type="dcterms:W3CDTF">2022-04-01T17:31:00Z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W-DOC-ID">
    <vt:lpwstr>da12b6caf17f4d8191fdc0290da92a33</vt:lpwstr>
  </property>
  <property fmtid="{D5CDD505-2E9C-101B-9397-08002B2CF9AE}" pid="3" name="SW-FINGERPRINT">
    <vt:lpwstr/>
  </property>
</Properties>
</file>