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83"/>
        <w:gridCol w:w="3119"/>
      </w:tblGrid>
      <w:tr>
        <w:trPr>
          <w:trHeight w:val="1301" w:hRule="atLeast"/>
        </w:trPr>
        <w:tc>
          <w:tcPr>
            <w:tcW w:w="6683" w:type="dxa"/>
          </w:tcPr>
          <w:p>
            <w:pPr>
              <w:pStyle w:val="TableParagraph"/>
              <w:spacing w:line="246" w:lineRule="exact"/>
              <w:ind w:left="52"/>
              <w:rPr>
                <w:b/>
                <w:sz w:val="22"/>
              </w:rPr>
            </w:pPr>
            <w:r>
              <w:rPr>
                <w:b/>
                <w:sz w:val="22"/>
              </w:rPr>
              <w:t>London Lorry Control Scheme</w:t>
            </w:r>
          </w:p>
          <w:p>
            <w:pPr>
              <w:pStyle w:val="TableParagraph"/>
              <w:spacing w:before="37"/>
              <w:ind w:left="52"/>
              <w:rPr>
                <w:b/>
                <w:sz w:val="22"/>
              </w:rPr>
            </w:pPr>
            <w:r>
              <w:rPr>
                <w:b/>
                <w:sz w:val="22"/>
              </w:rPr>
              <w:t>Income and Expenditure Statement 2019/20</w:t>
            </w:r>
          </w:p>
          <w:p>
            <w:pPr>
              <w:pStyle w:val="TableParagraph"/>
              <w:spacing w:before="6"/>
              <w:rPr>
                <w:rFonts w:ascii="Times New Roman"/>
                <w:sz w:val="28"/>
              </w:rPr>
            </w:pPr>
          </w:p>
          <w:p>
            <w:pPr>
              <w:pStyle w:val="TableParagraph"/>
              <w:ind w:left="52"/>
              <w:rPr>
                <w:b/>
                <w:sz w:val="22"/>
              </w:rPr>
            </w:pPr>
            <w:r>
              <w:rPr>
                <w:b/>
                <w:sz w:val="22"/>
              </w:rPr>
              <w:t>Income</w:t>
            </w:r>
          </w:p>
        </w:tc>
        <w:tc>
          <w:tcPr>
            <w:tcW w:w="3119" w:type="dxa"/>
          </w:tcPr>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7"/>
              </w:rPr>
            </w:pPr>
          </w:p>
          <w:p>
            <w:pPr>
              <w:pStyle w:val="TableParagraph"/>
              <w:spacing w:before="1"/>
              <w:ind w:right="50"/>
              <w:jc w:val="right"/>
              <w:rPr>
                <w:b/>
                <w:sz w:val="22"/>
              </w:rPr>
            </w:pPr>
            <w:r>
              <w:rPr>
                <w:b/>
                <w:w w:val="100"/>
                <w:sz w:val="22"/>
              </w:rPr>
              <w:t>£</w:t>
            </w:r>
          </w:p>
        </w:tc>
      </w:tr>
      <w:tr>
        <w:trPr>
          <w:trHeight w:val="439" w:hRule="atLeast"/>
        </w:trPr>
        <w:tc>
          <w:tcPr>
            <w:tcW w:w="6683" w:type="dxa"/>
          </w:tcPr>
          <w:p>
            <w:pPr>
              <w:pStyle w:val="TableParagraph"/>
              <w:spacing w:before="140"/>
              <w:ind w:left="50"/>
              <w:rPr>
                <w:rFonts w:ascii="Calibri"/>
                <w:sz w:val="22"/>
              </w:rPr>
            </w:pPr>
            <w:r>
              <w:rPr>
                <w:rFonts w:ascii="Calibri"/>
                <w:sz w:val="22"/>
              </w:rPr>
              <w:t>Penalty Charge Notices</w:t>
            </w:r>
          </w:p>
        </w:tc>
        <w:tc>
          <w:tcPr>
            <w:tcW w:w="3119" w:type="dxa"/>
          </w:tcPr>
          <w:p>
            <w:pPr>
              <w:pStyle w:val="TableParagraph"/>
              <w:spacing w:before="140"/>
              <w:ind w:right="49"/>
              <w:jc w:val="right"/>
              <w:rPr>
                <w:rFonts w:ascii="Calibri"/>
                <w:sz w:val="22"/>
              </w:rPr>
            </w:pPr>
            <w:r>
              <w:rPr>
                <w:rFonts w:ascii="Calibri"/>
                <w:sz w:val="22"/>
              </w:rPr>
              <w:t>1,176,118</w:t>
            </w:r>
          </w:p>
        </w:tc>
      </w:tr>
      <w:tr>
        <w:trPr>
          <w:trHeight w:val="273" w:hRule="atLeast"/>
        </w:trPr>
        <w:tc>
          <w:tcPr>
            <w:tcW w:w="6683" w:type="dxa"/>
          </w:tcPr>
          <w:p>
            <w:pPr>
              <w:pStyle w:val="TableParagraph"/>
              <w:spacing w:line="253" w:lineRule="exact"/>
              <w:ind w:left="50"/>
              <w:rPr>
                <w:rFonts w:ascii="Calibri"/>
                <w:sz w:val="22"/>
              </w:rPr>
            </w:pPr>
            <w:r>
              <w:rPr>
                <w:rFonts w:ascii="Calibri"/>
                <w:sz w:val="22"/>
              </w:rPr>
              <w:t>Transfer from Reserves</w:t>
            </w:r>
          </w:p>
        </w:tc>
        <w:tc>
          <w:tcPr>
            <w:tcW w:w="3119" w:type="dxa"/>
          </w:tcPr>
          <w:p>
            <w:pPr>
              <w:pStyle w:val="TableParagraph"/>
              <w:spacing w:line="253" w:lineRule="exact"/>
              <w:ind w:right="47"/>
              <w:jc w:val="right"/>
              <w:rPr>
                <w:rFonts w:ascii="Calibri"/>
                <w:sz w:val="22"/>
              </w:rPr>
            </w:pPr>
            <w:r>
              <w:rPr>
                <w:rFonts w:ascii="Calibri"/>
                <w:sz w:val="22"/>
              </w:rPr>
              <w:t>116,000</w:t>
            </w:r>
          </w:p>
        </w:tc>
      </w:tr>
      <w:tr>
        <w:trPr>
          <w:trHeight w:val="431" w:hRule="atLeast"/>
        </w:trPr>
        <w:tc>
          <w:tcPr>
            <w:tcW w:w="6683" w:type="dxa"/>
          </w:tcPr>
          <w:p>
            <w:pPr>
              <w:pStyle w:val="TableParagraph"/>
              <w:spacing w:before="11"/>
              <w:ind w:left="52"/>
              <w:rPr>
                <w:b/>
                <w:sz w:val="22"/>
              </w:rPr>
            </w:pPr>
            <w:r>
              <w:rPr>
                <w:b/>
                <w:sz w:val="22"/>
              </w:rPr>
              <w:t>Total Income</w:t>
            </w:r>
          </w:p>
        </w:tc>
        <w:tc>
          <w:tcPr>
            <w:tcW w:w="3119" w:type="dxa"/>
          </w:tcPr>
          <w:p>
            <w:pPr>
              <w:pStyle w:val="TableParagraph"/>
              <w:spacing w:before="11"/>
              <w:ind w:right="51"/>
              <w:jc w:val="right"/>
              <w:rPr>
                <w:b/>
                <w:sz w:val="22"/>
              </w:rPr>
            </w:pPr>
            <w:r>
              <w:rPr>
                <w:b/>
                <w:sz w:val="22"/>
              </w:rPr>
              <w:t>1,292,118</w:t>
            </w:r>
          </w:p>
        </w:tc>
      </w:tr>
      <w:tr>
        <w:trPr>
          <w:trHeight w:val="452" w:hRule="atLeast"/>
        </w:trPr>
        <w:tc>
          <w:tcPr>
            <w:tcW w:w="6683" w:type="dxa"/>
          </w:tcPr>
          <w:p>
            <w:pPr>
              <w:pStyle w:val="TableParagraph"/>
              <w:spacing w:before="160"/>
              <w:ind w:left="52"/>
              <w:rPr>
                <w:b/>
                <w:sz w:val="22"/>
              </w:rPr>
            </w:pPr>
            <w:r>
              <w:rPr>
                <w:b/>
                <w:sz w:val="22"/>
              </w:rPr>
              <w:t>Expenditure</w:t>
            </w:r>
          </w:p>
        </w:tc>
        <w:tc>
          <w:tcPr>
            <w:tcW w:w="3119" w:type="dxa"/>
          </w:tcPr>
          <w:p>
            <w:pPr>
              <w:pStyle w:val="TableParagraph"/>
              <w:rPr>
                <w:rFonts w:ascii="Times New Roman"/>
                <w:sz w:val="22"/>
              </w:rPr>
            </w:pPr>
          </w:p>
        </w:tc>
      </w:tr>
      <w:tr>
        <w:trPr>
          <w:trHeight w:val="294" w:hRule="atLeast"/>
        </w:trPr>
        <w:tc>
          <w:tcPr>
            <w:tcW w:w="6683" w:type="dxa"/>
          </w:tcPr>
          <w:p>
            <w:pPr>
              <w:pStyle w:val="TableParagraph"/>
              <w:spacing w:line="264" w:lineRule="exact"/>
              <w:ind w:left="50"/>
              <w:rPr>
                <w:rFonts w:ascii="Calibri"/>
                <w:sz w:val="22"/>
              </w:rPr>
            </w:pPr>
            <w:r>
              <w:rPr>
                <w:rFonts w:ascii="Calibri"/>
                <w:sz w:val="22"/>
              </w:rPr>
              <w:t>Employee Costs</w:t>
            </w:r>
          </w:p>
        </w:tc>
        <w:tc>
          <w:tcPr>
            <w:tcW w:w="3119" w:type="dxa"/>
          </w:tcPr>
          <w:p>
            <w:pPr>
              <w:pStyle w:val="TableParagraph"/>
              <w:spacing w:line="264" w:lineRule="exact"/>
              <w:ind w:right="47"/>
              <w:jc w:val="right"/>
              <w:rPr>
                <w:rFonts w:ascii="Calibri"/>
                <w:sz w:val="22"/>
              </w:rPr>
            </w:pPr>
            <w:r>
              <w:rPr>
                <w:rFonts w:ascii="Calibri"/>
                <w:sz w:val="22"/>
              </w:rPr>
              <w:t>245,093</w:t>
            </w:r>
          </w:p>
        </w:tc>
      </w:tr>
      <w:tr>
        <w:trPr>
          <w:trHeight w:val="290" w:hRule="atLeast"/>
        </w:trPr>
        <w:tc>
          <w:tcPr>
            <w:tcW w:w="6683" w:type="dxa"/>
          </w:tcPr>
          <w:p>
            <w:pPr>
              <w:pStyle w:val="TableParagraph"/>
              <w:spacing w:line="259" w:lineRule="exact"/>
              <w:ind w:left="50"/>
              <w:rPr>
                <w:rFonts w:ascii="Calibri"/>
                <w:sz w:val="22"/>
              </w:rPr>
            </w:pPr>
            <w:r>
              <w:rPr>
                <w:rFonts w:ascii="Calibri"/>
                <w:sz w:val="22"/>
              </w:rPr>
              <w:t>Premises Costs</w:t>
            </w:r>
          </w:p>
        </w:tc>
        <w:tc>
          <w:tcPr>
            <w:tcW w:w="3119" w:type="dxa"/>
          </w:tcPr>
          <w:p>
            <w:pPr>
              <w:pStyle w:val="TableParagraph"/>
              <w:spacing w:line="259" w:lineRule="exact"/>
              <w:ind w:right="49"/>
              <w:jc w:val="right"/>
              <w:rPr>
                <w:rFonts w:ascii="Calibri"/>
                <w:sz w:val="22"/>
              </w:rPr>
            </w:pPr>
            <w:r>
              <w:rPr>
                <w:rFonts w:ascii="Calibri"/>
                <w:sz w:val="22"/>
              </w:rPr>
              <w:t>63,436</w:t>
            </w:r>
          </w:p>
        </w:tc>
      </w:tr>
      <w:tr>
        <w:trPr>
          <w:trHeight w:val="290" w:hRule="atLeast"/>
        </w:trPr>
        <w:tc>
          <w:tcPr>
            <w:tcW w:w="6683" w:type="dxa"/>
          </w:tcPr>
          <w:p>
            <w:pPr>
              <w:pStyle w:val="TableParagraph"/>
              <w:spacing w:line="259" w:lineRule="exact"/>
              <w:ind w:left="50"/>
              <w:rPr>
                <w:rFonts w:ascii="Calibri"/>
                <w:sz w:val="22"/>
              </w:rPr>
            </w:pPr>
            <w:r>
              <w:rPr>
                <w:rFonts w:ascii="Calibri"/>
                <w:sz w:val="22"/>
              </w:rPr>
              <w:t>Service Contractors</w:t>
            </w:r>
          </w:p>
        </w:tc>
        <w:tc>
          <w:tcPr>
            <w:tcW w:w="3119" w:type="dxa"/>
          </w:tcPr>
          <w:p>
            <w:pPr>
              <w:pStyle w:val="TableParagraph"/>
              <w:spacing w:line="259" w:lineRule="exact"/>
              <w:ind w:right="47"/>
              <w:jc w:val="right"/>
              <w:rPr>
                <w:rFonts w:ascii="Calibri"/>
                <w:sz w:val="22"/>
              </w:rPr>
            </w:pPr>
            <w:r>
              <w:rPr>
                <w:rFonts w:ascii="Calibri"/>
                <w:sz w:val="22"/>
              </w:rPr>
              <w:t>274,719</w:t>
            </w:r>
          </w:p>
        </w:tc>
      </w:tr>
      <w:tr>
        <w:trPr>
          <w:trHeight w:val="290" w:hRule="atLeast"/>
        </w:trPr>
        <w:tc>
          <w:tcPr>
            <w:tcW w:w="6683" w:type="dxa"/>
          </w:tcPr>
          <w:p>
            <w:pPr>
              <w:pStyle w:val="TableParagraph"/>
              <w:spacing w:line="259" w:lineRule="exact"/>
              <w:ind w:left="50"/>
              <w:rPr>
                <w:rFonts w:ascii="Calibri"/>
                <w:sz w:val="22"/>
              </w:rPr>
            </w:pPr>
            <w:r>
              <w:rPr>
                <w:rFonts w:ascii="Calibri"/>
                <w:sz w:val="22"/>
              </w:rPr>
              <w:t>Central Recharges</w:t>
            </w:r>
          </w:p>
        </w:tc>
        <w:tc>
          <w:tcPr>
            <w:tcW w:w="3119" w:type="dxa"/>
          </w:tcPr>
          <w:p>
            <w:pPr>
              <w:pStyle w:val="TableParagraph"/>
              <w:spacing w:line="259" w:lineRule="exact"/>
              <w:ind w:right="49"/>
              <w:jc w:val="right"/>
              <w:rPr>
                <w:rFonts w:ascii="Calibri"/>
                <w:sz w:val="22"/>
              </w:rPr>
            </w:pPr>
            <w:r>
              <w:rPr>
                <w:rFonts w:ascii="Calibri"/>
                <w:sz w:val="22"/>
              </w:rPr>
              <w:t>55,078</w:t>
            </w:r>
          </w:p>
        </w:tc>
      </w:tr>
      <w:tr>
        <w:trPr>
          <w:trHeight w:val="273" w:hRule="atLeast"/>
        </w:trPr>
        <w:tc>
          <w:tcPr>
            <w:tcW w:w="6683" w:type="dxa"/>
          </w:tcPr>
          <w:p>
            <w:pPr>
              <w:pStyle w:val="TableParagraph"/>
              <w:spacing w:line="253" w:lineRule="exact"/>
              <w:ind w:left="50"/>
              <w:rPr>
                <w:rFonts w:ascii="Calibri"/>
                <w:sz w:val="22"/>
              </w:rPr>
            </w:pPr>
            <w:r>
              <w:rPr>
                <w:rFonts w:ascii="Calibri"/>
                <w:sz w:val="22"/>
              </w:rPr>
              <w:t>Other Running Costs</w:t>
            </w:r>
          </w:p>
        </w:tc>
        <w:tc>
          <w:tcPr>
            <w:tcW w:w="3119" w:type="dxa"/>
          </w:tcPr>
          <w:p>
            <w:pPr>
              <w:pStyle w:val="TableParagraph"/>
              <w:spacing w:line="253" w:lineRule="exact"/>
              <w:ind w:right="47"/>
              <w:jc w:val="right"/>
              <w:rPr>
                <w:rFonts w:ascii="Calibri"/>
                <w:sz w:val="22"/>
              </w:rPr>
            </w:pPr>
            <w:r>
              <w:rPr>
                <w:rFonts w:ascii="Calibri"/>
                <w:sz w:val="22"/>
              </w:rPr>
              <w:t>125,868</w:t>
            </w:r>
          </w:p>
        </w:tc>
      </w:tr>
      <w:tr>
        <w:trPr>
          <w:trHeight w:val="431" w:hRule="atLeast"/>
        </w:trPr>
        <w:tc>
          <w:tcPr>
            <w:tcW w:w="6683" w:type="dxa"/>
          </w:tcPr>
          <w:p>
            <w:pPr>
              <w:pStyle w:val="TableParagraph"/>
              <w:spacing w:before="11"/>
              <w:ind w:left="52"/>
              <w:rPr>
                <w:b/>
                <w:sz w:val="22"/>
              </w:rPr>
            </w:pPr>
            <w:r>
              <w:rPr>
                <w:b/>
                <w:sz w:val="22"/>
              </w:rPr>
              <w:t>Total Expenditure</w:t>
            </w:r>
          </w:p>
        </w:tc>
        <w:tc>
          <w:tcPr>
            <w:tcW w:w="3119" w:type="dxa"/>
          </w:tcPr>
          <w:p>
            <w:pPr>
              <w:pStyle w:val="TableParagraph"/>
              <w:spacing w:before="11"/>
              <w:ind w:right="52"/>
              <w:jc w:val="right"/>
              <w:rPr>
                <w:b/>
                <w:sz w:val="22"/>
              </w:rPr>
            </w:pPr>
            <w:r>
              <w:rPr>
                <w:b/>
                <w:sz w:val="22"/>
              </w:rPr>
              <w:t>764,194</w:t>
            </w:r>
          </w:p>
        </w:tc>
      </w:tr>
      <w:tr>
        <w:trPr>
          <w:trHeight w:val="580" w:hRule="atLeast"/>
        </w:trPr>
        <w:tc>
          <w:tcPr>
            <w:tcW w:w="6683" w:type="dxa"/>
          </w:tcPr>
          <w:p>
            <w:pPr>
              <w:pStyle w:val="TableParagraph"/>
              <w:spacing w:before="160"/>
              <w:ind w:left="52"/>
              <w:rPr>
                <w:b/>
                <w:sz w:val="22"/>
              </w:rPr>
            </w:pPr>
            <w:r>
              <w:rPr>
                <w:b/>
                <w:sz w:val="22"/>
              </w:rPr>
              <w:t>Surplus for the year</w:t>
            </w:r>
          </w:p>
        </w:tc>
        <w:tc>
          <w:tcPr>
            <w:tcW w:w="3119" w:type="dxa"/>
          </w:tcPr>
          <w:p>
            <w:pPr>
              <w:pStyle w:val="TableParagraph"/>
              <w:spacing w:before="160"/>
              <w:ind w:right="52"/>
              <w:jc w:val="right"/>
              <w:rPr>
                <w:b/>
                <w:sz w:val="22"/>
              </w:rPr>
            </w:pPr>
            <w:r>
              <w:rPr>
                <w:b/>
                <w:sz w:val="22"/>
              </w:rPr>
              <w:t>527,924</w:t>
            </w:r>
          </w:p>
        </w:tc>
      </w:tr>
      <w:tr>
        <w:trPr>
          <w:trHeight w:val="413" w:hRule="atLeast"/>
        </w:trPr>
        <w:tc>
          <w:tcPr>
            <w:tcW w:w="6683" w:type="dxa"/>
          </w:tcPr>
          <w:p>
            <w:pPr>
              <w:pStyle w:val="TableParagraph"/>
              <w:spacing w:line="233" w:lineRule="exact" w:before="160"/>
              <w:ind w:left="52"/>
              <w:rPr>
                <w:b/>
                <w:sz w:val="22"/>
              </w:rPr>
            </w:pPr>
            <w:r>
              <w:rPr>
                <w:b/>
                <w:sz w:val="22"/>
              </w:rPr>
              <w:t>Application of Funds</w:t>
            </w:r>
          </w:p>
        </w:tc>
        <w:tc>
          <w:tcPr>
            <w:tcW w:w="3119" w:type="dxa"/>
          </w:tcPr>
          <w:p>
            <w:pPr>
              <w:pStyle w:val="TableParagraph"/>
              <w:rPr>
                <w:rFonts w:ascii="Times New Roman"/>
                <w:sz w:val="22"/>
              </w:rPr>
            </w:pPr>
          </w:p>
        </w:tc>
      </w:tr>
    </w:tbl>
    <w:p>
      <w:pPr>
        <w:pStyle w:val="BodyText"/>
        <w:rPr>
          <w:rFonts w:ascii="Times New Roman"/>
          <w:sz w:val="23"/>
        </w:rPr>
      </w:pPr>
    </w:p>
    <w:p>
      <w:pPr>
        <w:pStyle w:val="BodyText"/>
        <w:spacing w:line="259" w:lineRule="auto" w:before="56"/>
        <w:ind w:left="167"/>
      </w:pPr>
      <w:r>
        <w:rPr/>
        <w:t>The surplus for the year ended 31 March 2020 has been carried forward in the General Reserves of London Councils Transport and Environment Committee (TEC) which contribute to the cost of delivering the Committee's transport related services and projects.</w:t>
      </w:r>
    </w:p>
    <w:sectPr>
      <w:type w:val="continuous"/>
      <w:pgSz w:w="12240" w:h="15840"/>
      <w:pgMar w:top="1100" w:bottom="280" w:left="9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DavidSanni</dc:creator>
  <dc:title>LLCS I&amp;E statement 2019-20.xlsx</dc:title>
  <dcterms:created xsi:type="dcterms:W3CDTF">2021-01-22T10:46:56Z</dcterms:created>
  <dcterms:modified xsi:type="dcterms:W3CDTF">2021-01-22T10:46:56Z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LastSaved">
    <vt:filetime>2021-01-22T00:00:00Z</vt:filetime>
  </property>
</Properties>
</file>