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RPr="00572BAC" w14:paraId="74BEF533" w14:textId="77777777" w:rsidTr="00AC4090">
        <w:trPr>
          <w:cantSplit/>
          <w:trHeight w:val="624"/>
        </w:trPr>
        <w:bookmarkStart w:id="0" w:name="_GoBack" w:displacedByCustomXml="next"/>
        <w:bookmarkEnd w:id="0" w:displacedByCustomXml="next"/>
        <w:sdt>
          <w:sdtPr>
            <w:id w:val="-360744209"/>
            <w:placeholder>
              <w:docPart w:val="D725DE22322A48E9A3D1AECE9FA4BEA3"/>
            </w:placeholder>
            <w:date w:fullDate="2020-10-01T00:00:00Z">
              <w:dateFormat w:val="dddd dd MMMM yyyy"/>
              <w:lid w:val="en-GB"/>
              <w:storeMappedDataAs w:val="dateTime"/>
              <w:calendar w:val="gregorian"/>
            </w:date>
          </w:sdtPr>
          <w:sdtEndPr/>
          <w:sdtContent>
            <w:tc>
              <w:tcPr>
                <w:tcW w:w="10148" w:type="dxa"/>
                <w:shd w:val="clear" w:color="auto" w:fill="522380" w:themeFill="accent1"/>
                <w:vAlign w:val="bottom"/>
              </w:tcPr>
              <w:p w14:paraId="620F01A5" w14:textId="0F5BD5FB" w:rsidR="00AC4090" w:rsidRPr="00572BAC" w:rsidRDefault="00A169CC" w:rsidP="000C70CE">
                <w:pPr>
                  <w:pStyle w:val="DocDate"/>
                  <w:jc w:val="both"/>
                </w:pPr>
                <w:r>
                  <w:t>Thursday 01 October 2020</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RPr="00572BAC" w14:paraId="61758B57" w14:textId="77777777" w:rsidTr="000C70CE">
        <w:trPr>
          <w:cantSplit/>
          <w:trHeight w:hRule="exact" w:val="709"/>
        </w:trPr>
        <w:tc>
          <w:tcPr>
            <w:tcW w:w="397" w:type="dxa"/>
            <w:tcBorders>
              <w:bottom w:val="single" w:sz="48" w:space="0" w:color="522380" w:themeColor="accent1"/>
            </w:tcBorders>
            <w:tcMar>
              <w:bottom w:w="425" w:type="dxa"/>
            </w:tcMar>
          </w:tcPr>
          <w:p w14:paraId="5CD192B2" w14:textId="77777777" w:rsidR="00EB21F3" w:rsidRPr="00572BAC" w:rsidRDefault="00FD093E" w:rsidP="000C70CE">
            <w:pPr>
              <w:pStyle w:val="Draft"/>
              <w:jc w:val="both"/>
            </w:pPr>
            <w:r w:rsidRPr="00572BAC">
              <w:rPr>
                <w:noProof/>
                <w:lang w:eastAsia="en-GB"/>
              </w:rPr>
              <mc:AlternateContent>
                <mc:Choice Requires="wps">
                  <w:drawing>
                    <wp:inline distT="0" distB="0" distL="0" distR="0" wp14:anchorId="7A25E7D6" wp14:editId="1B3BFD79">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C1D4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" fillcolor="#ec098d [3206]" stroked="f" strokeweight="1.5pt">
                      <o:lock v:ext="edit" aspectratio="t"/>
                      <w10:anchorlock/>
                    </v:shape>
                  </w:pict>
                </mc:Fallback>
              </mc:AlternateContent>
            </w:r>
          </w:p>
        </w:tc>
        <w:tc>
          <w:tcPr>
            <w:tcW w:w="9780" w:type="dxa"/>
            <w:tcBorders>
              <w:bottom w:val="single" w:sz="48" w:space="0" w:color="522380" w:themeColor="accent1"/>
            </w:tcBorders>
            <w:tcMar>
              <w:bottom w:w="425" w:type="dxa"/>
            </w:tcMar>
          </w:tcPr>
          <w:p w14:paraId="6EF5A987" w14:textId="5C406267" w:rsidR="00EB21F3" w:rsidRPr="00572BAC" w:rsidRDefault="00B67824" w:rsidP="000C70CE">
            <w:pPr>
              <w:pStyle w:val="DocType"/>
              <w:framePr w:hSpace="0" w:wrap="auto" w:vAnchor="margin" w:yAlign="inline"/>
              <w:suppressOverlap w:val="0"/>
              <w:jc w:val="both"/>
              <w:rPr>
                <w:sz w:val="54"/>
                <w:szCs w:val="54"/>
              </w:rPr>
            </w:pPr>
            <w:r w:rsidRPr="00572BAC">
              <w:rPr>
                <w:sz w:val="32"/>
                <w:szCs w:val="32"/>
              </w:rPr>
              <w:t xml:space="preserve">MHCLG </w:t>
            </w:r>
            <w:r w:rsidR="007561DF" w:rsidRPr="00572BAC">
              <w:rPr>
                <w:sz w:val="32"/>
                <w:szCs w:val="32"/>
              </w:rPr>
              <w:t xml:space="preserve">consultation </w:t>
            </w:r>
            <w:r w:rsidR="00D940B3">
              <w:rPr>
                <w:sz w:val="32"/>
                <w:szCs w:val="32"/>
              </w:rPr>
              <w:t xml:space="preserve">on </w:t>
            </w:r>
            <w:r w:rsidR="0073793B">
              <w:rPr>
                <w:sz w:val="32"/>
                <w:szCs w:val="32"/>
              </w:rPr>
              <w:t>Changes to the Current Planning System</w:t>
            </w:r>
            <w:r w:rsidR="004A6AEF" w:rsidRPr="00572BAC">
              <w:rPr>
                <w:sz w:val="32"/>
                <w:szCs w:val="32"/>
              </w:rPr>
              <w:t xml:space="preserve"> </w:t>
            </w:r>
          </w:p>
        </w:tc>
      </w:tr>
      <w:tr w:rsidR="00EB21F3" w:rsidRPr="00572BAC" w14:paraId="126C2C69" w14:textId="77777777"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756F66A3" w14:textId="77777777" w:rsidR="00EB21F3" w:rsidRPr="00572BAC" w:rsidRDefault="00B84B8B" w:rsidP="000C70CE">
            <w:pPr>
              <w:pStyle w:val="GraphicLeft"/>
              <w:jc w:val="both"/>
            </w:pPr>
            <w:r w:rsidRPr="00572BAC">
              <w:rPr>
                <w:noProof/>
                <w:lang w:eastAsia="en-GB"/>
              </w:rPr>
              <mc:AlternateContent>
                <mc:Choice Requires="wps">
                  <w:drawing>
                    <wp:inline distT="0" distB="0" distL="0" distR="0" wp14:anchorId="6777C0D4" wp14:editId="782D75DB">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981F6B"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" fillcolor="#522380 [3204]"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4DC179D8" w14:textId="77777777" w:rsidR="00514B1B" w:rsidRPr="00572BAC" w:rsidRDefault="007F0241" w:rsidP="000C70CE">
            <w:pPr>
              <w:pStyle w:val="DocTitle"/>
              <w:jc w:val="both"/>
            </w:pPr>
            <w:r w:rsidRPr="00572BAC">
              <w:t xml:space="preserve">London Councils Consultation Response </w:t>
            </w:r>
          </w:p>
        </w:tc>
      </w:tr>
    </w:tbl>
    <w:tbl>
      <w:tblPr>
        <w:tblStyle w:val="LondonCouncils"/>
        <w:tblW w:w="10206" w:type="dxa"/>
        <w:tblInd w:w="0" w:type="dxa"/>
        <w:tblLayout w:type="fixed"/>
        <w:tblLook w:val="0600" w:firstRow="0" w:lastRow="0" w:firstColumn="0" w:lastColumn="0" w:noHBand="1" w:noVBand="1"/>
      </w:tblPr>
      <w:tblGrid>
        <w:gridCol w:w="482"/>
        <w:gridCol w:w="9384"/>
        <w:gridCol w:w="340"/>
      </w:tblGrid>
      <w:tr w:rsidR="00B34F65" w:rsidRPr="00572BAC" w14:paraId="1AB5FCC5" w14:textId="77777777" w:rsidTr="000C70CE">
        <w:trPr>
          <w:trHeight w:hRule="exact" w:val="113"/>
        </w:trPr>
        <w:tc>
          <w:tcPr>
            <w:tcW w:w="482" w:type="dxa"/>
          </w:tcPr>
          <w:p w14:paraId="5AF082EC" w14:textId="77777777" w:rsidR="00B34F65" w:rsidRPr="00572BAC" w:rsidRDefault="00B34F65" w:rsidP="000C70CE">
            <w:pPr>
              <w:pStyle w:val="Spacer"/>
              <w:jc w:val="both"/>
              <w:rPr>
                <w:sz w:val="22"/>
                <w:szCs w:val="22"/>
              </w:rPr>
            </w:pPr>
          </w:p>
        </w:tc>
        <w:tc>
          <w:tcPr>
            <w:tcW w:w="9384" w:type="dxa"/>
          </w:tcPr>
          <w:p w14:paraId="57DB7C36" w14:textId="77777777" w:rsidR="00B34F65" w:rsidRPr="00572BAC" w:rsidRDefault="00B34F65" w:rsidP="000C70CE">
            <w:pPr>
              <w:pStyle w:val="Spacer"/>
              <w:jc w:val="both"/>
              <w:rPr>
                <w:sz w:val="22"/>
                <w:szCs w:val="22"/>
              </w:rPr>
            </w:pPr>
          </w:p>
        </w:tc>
        <w:tc>
          <w:tcPr>
            <w:tcW w:w="340" w:type="dxa"/>
          </w:tcPr>
          <w:p w14:paraId="1A3913B6" w14:textId="77777777" w:rsidR="00B34F65" w:rsidRPr="00572BAC" w:rsidRDefault="00B34F65" w:rsidP="000C70CE">
            <w:pPr>
              <w:pStyle w:val="Spacer"/>
              <w:jc w:val="both"/>
              <w:rPr>
                <w:sz w:val="22"/>
                <w:szCs w:val="22"/>
              </w:rPr>
            </w:pPr>
          </w:p>
        </w:tc>
      </w:tr>
      <w:tr w:rsidR="00B24C15" w:rsidRPr="00572BAC" w14:paraId="776A2588" w14:textId="77777777" w:rsidTr="000C70CE">
        <w:trPr>
          <w:trHeight w:val="283"/>
        </w:trPr>
        <w:tc>
          <w:tcPr>
            <w:tcW w:w="482" w:type="dxa"/>
          </w:tcPr>
          <w:p w14:paraId="52AEC843" w14:textId="77777777" w:rsidR="00B24C15" w:rsidRPr="00572BAC" w:rsidRDefault="00B24C15" w:rsidP="000C70CE">
            <w:pPr>
              <w:pStyle w:val="TableTextLeft"/>
              <w:jc w:val="both"/>
              <w:rPr>
                <w:rFonts w:ascii="Arial" w:hAnsi="Arial"/>
                <w:sz w:val="22"/>
                <w:szCs w:val="22"/>
              </w:rPr>
            </w:pPr>
          </w:p>
        </w:tc>
        <w:tc>
          <w:tcPr>
            <w:tcW w:w="9384" w:type="dxa"/>
          </w:tcPr>
          <w:p w14:paraId="1645A31C" w14:textId="77777777" w:rsidR="00B24C15" w:rsidRPr="00572BAC" w:rsidRDefault="00B24C15" w:rsidP="000C70CE">
            <w:pPr>
              <w:pStyle w:val="HighlightText"/>
              <w:jc w:val="both"/>
              <w:rPr>
                <w:rFonts w:ascii="Arial" w:hAnsi="Arial"/>
                <w:sz w:val="22"/>
                <w:szCs w:val="22"/>
              </w:rPr>
            </w:pPr>
          </w:p>
        </w:tc>
        <w:tc>
          <w:tcPr>
            <w:tcW w:w="340" w:type="dxa"/>
          </w:tcPr>
          <w:p w14:paraId="088F2AD0" w14:textId="77777777" w:rsidR="00B24C15" w:rsidRPr="00572BAC" w:rsidRDefault="00B24C15" w:rsidP="000C70CE">
            <w:pPr>
              <w:pStyle w:val="TableTextLeft"/>
              <w:jc w:val="both"/>
              <w:rPr>
                <w:rFonts w:ascii="Arial" w:hAnsi="Arial"/>
                <w:sz w:val="22"/>
                <w:szCs w:val="22"/>
              </w:rPr>
            </w:pPr>
          </w:p>
        </w:tc>
      </w:tr>
      <w:tr w:rsidR="00B24C15" w:rsidRPr="00572BAC" w14:paraId="51C39BC8" w14:textId="77777777" w:rsidTr="000C70CE">
        <w:trPr>
          <w:trHeight w:hRule="exact" w:val="170"/>
        </w:trPr>
        <w:tc>
          <w:tcPr>
            <w:tcW w:w="482" w:type="dxa"/>
          </w:tcPr>
          <w:p w14:paraId="3E2EC68C" w14:textId="77777777" w:rsidR="00B24C15" w:rsidRPr="00572BAC" w:rsidRDefault="00B24C15" w:rsidP="000C70CE">
            <w:pPr>
              <w:pStyle w:val="Spacer"/>
              <w:jc w:val="both"/>
              <w:rPr>
                <w:sz w:val="22"/>
                <w:szCs w:val="22"/>
              </w:rPr>
            </w:pPr>
          </w:p>
        </w:tc>
        <w:tc>
          <w:tcPr>
            <w:tcW w:w="9384" w:type="dxa"/>
          </w:tcPr>
          <w:p w14:paraId="2383B151" w14:textId="77777777" w:rsidR="00B24C15" w:rsidRPr="00572BAC" w:rsidRDefault="00B24C15" w:rsidP="000C70CE">
            <w:pPr>
              <w:pStyle w:val="Spacer"/>
              <w:jc w:val="both"/>
              <w:rPr>
                <w:sz w:val="22"/>
                <w:szCs w:val="22"/>
              </w:rPr>
            </w:pPr>
          </w:p>
        </w:tc>
        <w:tc>
          <w:tcPr>
            <w:tcW w:w="340" w:type="dxa"/>
          </w:tcPr>
          <w:p w14:paraId="0E363CB5" w14:textId="77777777" w:rsidR="00B24C15" w:rsidRPr="00572BAC" w:rsidRDefault="00B24C15" w:rsidP="000C70CE">
            <w:pPr>
              <w:pStyle w:val="Spacer"/>
              <w:jc w:val="both"/>
              <w:rPr>
                <w:sz w:val="22"/>
                <w:szCs w:val="22"/>
              </w:rPr>
            </w:pPr>
          </w:p>
        </w:tc>
      </w:tr>
    </w:tbl>
    <w:p w14:paraId="583C320E" w14:textId="77777777" w:rsidR="009134A2" w:rsidRPr="00572BAC" w:rsidRDefault="009134A2" w:rsidP="000C70CE">
      <w:pPr>
        <w:pStyle w:val="Heading1"/>
        <w:jc w:val="both"/>
      </w:pPr>
      <w:bookmarkStart w:id="1" w:name="_Hlk19866755"/>
      <w:r w:rsidRPr="00572BAC">
        <w:t>Introduction</w:t>
      </w:r>
    </w:p>
    <w:bookmarkEnd w:id="1"/>
    <w:p w14:paraId="7C96F87F" w14:textId="46C8152D" w:rsidR="00F96DB0" w:rsidRDefault="00E42B61" w:rsidP="000C70CE">
      <w:pPr>
        <w:jc w:val="both"/>
      </w:pPr>
      <w:r w:rsidRPr="00572BAC">
        <w:t>London Councils represents London’s 32 borough councils and the City of London</w:t>
      </w:r>
      <w:r w:rsidR="00CA778C" w:rsidRPr="00572BAC">
        <w:t xml:space="preserve"> Corporation</w:t>
      </w:r>
      <w:r w:rsidRPr="00572BAC">
        <w:t xml:space="preserve">. It is a cross party organisation that works on behalf of all its member authorities regardless of political persuasion.  We </w:t>
      </w:r>
      <w:r w:rsidR="009134A2" w:rsidRPr="00572BAC">
        <w:t xml:space="preserve">welcome the opportunity to </w:t>
      </w:r>
      <w:r w:rsidR="00F40765" w:rsidRPr="00572BAC">
        <w:t xml:space="preserve">respond to </w:t>
      </w:r>
      <w:r w:rsidR="00633F06" w:rsidRPr="00572BAC">
        <w:t xml:space="preserve">MHCLG’s </w:t>
      </w:r>
      <w:r w:rsidR="00811C36" w:rsidRPr="00572BAC">
        <w:t xml:space="preserve">consultation </w:t>
      </w:r>
      <w:r w:rsidR="001C314B">
        <w:t xml:space="preserve">on </w:t>
      </w:r>
      <w:r w:rsidR="0073793B">
        <w:t>‘Changes to the C</w:t>
      </w:r>
      <w:r w:rsidR="002F44DD">
        <w:t xml:space="preserve">urrent Planning </w:t>
      </w:r>
      <w:r w:rsidR="000018EB">
        <w:t>System</w:t>
      </w:r>
      <w:r w:rsidR="005E11D1">
        <w:t xml:space="preserve">’. </w:t>
      </w:r>
    </w:p>
    <w:p w14:paraId="04E12EB3" w14:textId="428AFEE7" w:rsidR="00F96DB0" w:rsidRDefault="00F96DB0" w:rsidP="000C70CE">
      <w:pPr>
        <w:jc w:val="both"/>
      </w:pPr>
    </w:p>
    <w:p w14:paraId="71D62BFE" w14:textId="3BBCEA4C" w:rsidR="00F748DA" w:rsidRDefault="00F748DA" w:rsidP="00F748DA">
      <w:pPr>
        <w:jc w:val="both"/>
      </w:pPr>
      <w:r>
        <w:t>The proposed changes to the standard method for assessing housing need risk creating unrealistic housing targets for London substantially above those in the London Plan.  The proposals for ‘First Homes’ raise affordability concerns for this tenure in London and devoting the first 25% of the affordable housing component on sites to ‘First Homes’ would displace other affordable tenures better suited to tackling the housing crisis in London.  The temporary increase in site thresholds for affordable housing being proposed to support SME builders is not justified with evidence and would curtail or severely reduce affordable housing delivery in London</w:t>
      </w:r>
      <w:r w:rsidR="00BB0526">
        <w:t xml:space="preserve">. This </w:t>
      </w:r>
      <w:r>
        <w:t>is of major concern</w:t>
      </w:r>
      <w:r w:rsidR="009A7531">
        <w:t xml:space="preserve"> given </w:t>
      </w:r>
      <w:r w:rsidR="00136B16">
        <w:t xml:space="preserve">the </w:t>
      </w:r>
      <w:r w:rsidR="006D2F5F">
        <w:t xml:space="preserve">acute </w:t>
      </w:r>
      <w:r w:rsidR="001B72A7">
        <w:t xml:space="preserve">need for permanent affordable homes </w:t>
      </w:r>
      <w:r w:rsidR="006D2F5F">
        <w:t xml:space="preserve">to rehouse </w:t>
      </w:r>
      <w:r w:rsidR="00604D0E">
        <w:t xml:space="preserve">the 58,000 </w:t>
      </w:r>
      <w:r w:rsidR="005A2A0C">
        <w:t xml:space="preserve">homeless households </w:t>
      </w:r>
      <w:r w:rsidR="00D64F9C">
        <w:t xml:space="preserve">placed </w:t>
      </w:r>
      <w:r w:rsidR="005A2A0C">
        <w:t xml:space="preserve">in temporary accommodation </w:t>
      </w:r>
      <w:r w:rsidR="00D64F9C">
        <w:t xml:space="preserve">by London boroughs, </w:t>
      </w:r>
      <w:r w:rsidR="00B844D7">
        <w:t xml:space="preserve">which represents </w:t>
      </w:r>
      <w:r w:rsidR="00136B16">
        <w:t xml:space="preserve">two-thirds of </w:t>
      </w:r>
      <w:r w:rsidR="00B844D7">
        <w:t xml:space="preserve">all such households </w:t>
      </w:r>
      <w:r w:rsidR="00136B16">
        <w:t>in England.</w:t>
      </w:r>
      <w:r>
        <w:t xml:space="preserve">  For these reasons, we call on the government to fundamentally rethink these proposals, particularly as they affect the capital, in consultation with London government.      </w:t>
      </w:r>
    </w:p>
    <w:p w14:paraId="119D58D7" w14:textId="3B1DD0A6" w:rsidR="00F7109D" w:rsidRPr="0062783F" w:rsidRDefault="00425A06" w:rsidP="00AA454A">
      <w:pPr>
        <w:pStyle w:val="Heading1"/>
        <w:jc w:val="both"/>
        <w:rPr>
          <w:color w:val="auto"/>
        </w:rPr>
      </w:pPr>
      <w:r>
        <w:t xml:space="preserve">Key </w:t>
      </w:r>
      <w:r w:rsidR="0062783F">
        <w:t>Messages</w:t>
      </w:r>
    </w:p>
    <w:p w14:paraId="4F70736A" w14:textId="074C1641" w:rsidR="00F7109D" w:rsidRPr="00AC48F2" w:rsidRDefault="00263EF8" w:rsidP="007F22D2">
      <w:pPr>
        <w:pStyle w:val="ListParagraph"/>
        <w:numPr>
          <w:ilvl w:val="0"/>
          <w:numId w:val="7"/>
        </w:numPr>
        <w:jc w:val="both"/>
        <w:rPr>
          <w:b/>
          <w:bCs/>
          <w:color w:val="auto"/>
          <w:u w:val="single"/>
        </w:rPr>
      </w:pPr>
      <w:r w:rsidRPr="00AC48F2">
        <w:rPr>
          <w:b/>
          <w:bCs/>
          <w:color w:val="auto"/>
          <w:u w:val="single"/>
        </w:rPr>
        <w:t xml:space="preserve">The proposed changes to the </w:t>
      </w:r>
      <w:r w:rsidR="00C655EF" w:rsidRPr="00AC48F2">
        <w:rPr>
          <w:b/>
          <w:bCs/>
          <w:color w:val="auto"/>
          <w:u w:val="single"/>
        </w:rPr>
        <w:t xml:space="preserve">standard method for assessing housing need </w:t>
      </w:r>
      <w:r w:rsidR="00B03DF2" w:rsidRPr="00AC48F2">
        <w:rPr>
          <w:b/>
          <w:bCs/>
          <w:color w:val="auto"/>
          <w:u w:val="single"/>
        </w:rPr>
        <w:t xml:space="preserve">risk </w:t>
      </w:r>
      <w:r w:rsidR="004540C4" w:rsidRPr="00AC48F2">
        <w:rPr>
          <w:b/>
          <w:bCs/>
          <w:color w:val="auto"/>
          <w:u w:val="single"/>
        </w:rPr>
        <w:t xml:space="preserve">generating </w:t>
      </w:r>
      <w:r w:rsidR="00D70E81" w:rsidRPr="00AC48F2">
        <w:rPr>
          <w:b/>
          <w:bCs/>
          <w:color w:val="auto"/>
          <w:u w:val="single"/>
        </w:rPr>
        <w:t>un</w:t>
      </w:r>
      <w:r w:rsidR="00F6362A">
        <w:rPr>
          <w:b/>
          <w:bCs/>
          <w:color w:val="auto"/>
          <w:u w:val="single"/>
        </w:rPr>
        <w:t xml:space="preserve">realistic </w:t>
      </w:r>
      <w:r w:rsidR="001D6214" w:rsidRPr="00AC48F2">
        <w:rPr>
          <w:b/>
          <w:bCs/>
          <w:color w:val="auto"/>
          <w:u w:val="single"/>
        </w:rPr>
        <w:t>housing targets for London</w:t>
      </w:r>
      <w:r w:rsidR="004034B8" w:rsidRPr="00AC48F2">
        <w:rPr>
          <w:b/>
          <w:bCs/>
          <w:color w:val="auto"/>
          <w:u w:val="single"/>
        </w:rPr>
        <w:t>.</w:t>
      </w:r>
    </w:p>
    <w:p w14:paraId="3EE2E633" w14:textId="04ECCADA" w:rsidR="00037ACB" w:rsidRPr="00AA1E18" w:rsidRDefault="00037ACB" w:rsidP="00037ACB">
      <w:pPr>
        <w:pStyle w:val="ListParagraph"/>
        <w:jc w:val="both"/>
        <w:rPr>
          <w:color w:val="auto"/>
        </w:rPr>
      </w:pPr>
      <w:r w:rsidRPr="00AA1E18">
        <w:rPr>
          <w:color w:val="auto"/>
        </w:rPr>
        <w:t>The government’s proposals for changing the assessment of housing need introduce a two</w:t>
      </w:r>
      <w:r w:rsidR="00AA1E18" w:rsidRPr="00AA1E18">
        <w:rPr>
          <w:color w:val="auto"/>
        </w:rPr>
        <w:t>-</w:t>
      </w:r>
      <w:r w:rsidRPr="00AA1E18">
        <w:rPr>
          <w:color w:val="auto"/>
        </w:rPr>
        <w:t>step process which</w:t>
      </w:r>
      <w:r w:rsidR="00AA1E18" w:rsidRPr="00AA1E18">
        <w:rPr>
          <w:color w:val="auto"/>
        </w:rPr>
        <w:t>,</w:t>
      </w:r>
      <w:r w:rsidRPr="00AA1E18">
        <w:rPr>
          <w:color w:val="auto"/>
        </w:rPr>
        <w:t xml:space="preserve"> </w:t>
      </w:r>
      <w:r w:rsidR="00AA1E18" w:rsidRPr="00AA1E18">
        <w:rPr>
          <w:color w:val="auto"/>
        </w:rPr>
        <w:t xml:space="preserve">under step 1, </w:t>
      </w:r>
      <w:r w:rsidRPr="00AA1E18">
        <w:rPr>
          <w:color w:val="auto"/>
        </w:rPr>
        <w:t xml:space="preserve">sets a baseline (based </w:t>
      </w:r>
      <w:r w:rsidR="00AA1E18" w:rsidRPr="00AA1E18">
        <w:rPr>
          <w:color w:val="auto"/>
        </w:rPr>
        <w:t xml:space="preserve">on </w:t>
      </w:r>
      <w:r w:rsidRPr="00AA1E18">
        <w:rPr>
          <w:color w:val="auto"/>
        </w:rPr>
        <w:t>the higher o</w:t>
      </w:r>
      <w:r w:rsidR="00AA1E18" w:rsidRPr="00AA1E18">
        <w:rPr>
          <w:color w:val="auto"/>
        </w:rPr>
        <w:t>f</w:t>
      </w:r>
      <w:r w:rsidRPr="00AA1E18">
        <w:rPr>
          <w:color w:val="auto"/>
        </w:rPr>
        <w:t xml:space="preserve"> population growth or </w:t>
      </w:r>
      <w:r w:rsidR="00AA1E18" w:rsidRPr="00AA1E18">
        <w:rPr>
          <w:color w:val="auto"/>
        </w:rPr>
        <w:t xml:space="preserve">0.5% of existing stock) </w:t>
      </w:r>
      <w:r w:rsidRPr="00AA1E18">
        <w:rPr>
          <w:color w:val="auto"/>
        </w:rPr>
        <w:t>and then</w:t>
      </w:r>
      <w:r w:rsidR="00AA1E18" w:rsidRPr="00AA1E18">
        <w:rPr>
          <w:color w:val="auto"/>
        </w:rPr>
        <w:t>, under step 2,</w:t>
      </w:r>
      <w:r w:rsidRPr="00AA1E18">
        <w:rPr>
          <w:color w:val="auto"/>
        </w:rPr>
        <w:t xml:space="preserve"> applies an affordability </w:t>
      </w:r>
      <w:r w:rsidR="00AA1E18" w:rsidRPr="00AA1E18">
        <w:rPr>
          <w:color w:val="auto"/>
        </w:rPr>
        <w:t>adjustment (based on relationship between house prices and incomes).</w:t>
      </w:r>
      <w:r w:rsidR="00AA1E18">
        <w:rPr>
          <w:color w:val="auto"/>
        </w:rPr>
        <w:t xml:space="preserve">  There are concerns over the technicalities of this new formula, particularly the affordability assessment.  However, the </w:t>
      </w:r>
      <w:r w:rsidR="001D0687">
        <w:rPr>
          <w:color w:val="auto"/>
        </w:rPr>
        <w:t xml:space="preserve">immediate primary </w:t>
      </w:r>
      <w:r w:rsidR="00AA1E18">
        <w:rPr>
          <w:color w:val="auto"/>
        </w:rPr>
        <w:t xml:space="preserve">concern </w:t>
      </w:r>
      <w:r w:rsidR="00CA0E34">
        <w:rPr>
          <w:color w:val="auto"/>
        </w:rPr>
        <w:t xml:space="preserve">arises from </w:t>
      </w:r>
      <w:r w:rsidR="00721ED2">
        <w:rPr>
          <w:color w:val="auto"/>
        </w:rPr>
        <w:t xml:space="preserve">Lichfield’s </w:t>
      </w:r>
      <w:r w:rsidR="00CA0E34">
        <w:rPr>
          <w:color w:val="auto"/>
        </w:rPr>
        <w:t xml:space="preserve">calculation </w:t>
      </w:r>
      <w:r w:rsidR="00B51E90">
        <w:rPr>
          <w:color w:val="auto"/>
        </w:rPr>
        <w:t>(</w:t>
      </w:r>
      <w:r w:rsidR="00D27C99">
        <w:rPr>
          <w:color w:val="auto"/>
        </w:rPr>
        <w:t>based on the new standard method</w:t>
      </w:r>
      <w:r w:rsidR="00B51E90">
        <w:rPr>
          <w:color w:val="auto"/>
        </w:rPr>
        <w:t>)</w:t>
      </w:r>
      <w:r w:rsidR="00D27C99">
        <w:rPr>
          <w:color w:val="auto"/>
        </w:rPr>
        <w:t xml:space="preserve"> </w:t>
      </w:r>
      <w:r w:rsidR="00CA0E34">
        <w:rPr>
          <w:color w:val="auto"/>
        </w:rPr>
        <w:t xml:space="preserve">of </w:t>
      </w:r>
      <w:r w:rsidR="00721ED2">
        <w:rPr>
          <w:color w:val="auto"/>
        </w:rPr>
        <w:t xml:space="preserve">the targets for different parts of England </w:t>
      </w:r>
      <w:r w:rsidR="008B2D5D">
        <w:rPr>
          <w:color w:val="auto"/>
        </w:rPr>
        <w:t xml:space="preserve">in their study </w:t>
      </w:r>
      <w:r w:rsidR="00DC7768">
        <w:rPr>
          <w:color w:val="auto"/>
        </w:rPr>
        <w:t xml:space="preserve">‘How </w:t>
      </w:r>
      <w:r w:rsidR="00BE141A">
        <w:rPr>
          <w:color w:val="auto"/>
        </w:rPr>
        <w:t>Many Homes</w:t>
      </w:r>
      <w:r w:rsidR="000553AD">
        <w:rPr>
          <w:color w:val="auto"/>
        </w:rPr>
        <w:t>?</w:t>
      </w:r>
      <w:r w:rsidR="00BE141A">
        <w:rPr>
          <w:color w:val="auto"/>
        </w:rPr>
        <w:t xml:space="preserve"> </w:t>
      </w:r>
      <w:r w:rsidR="000553AD">
        <w:rPr>
          <w:color w:val="auto"/>
        </w:rPr>
        <w:t>T</w:t>
      </w:r>
      <w:r w:rsidR="00BE141A">
        <w:rPr>
          <w:color w:val="auto"/>
        </w:rPr>
        <w:t xml:space="preserve">he New Standard Method’ </w:t>
      </w:r>
      <w:r w:rsidR="006103B9">
        <w:rPr>
          <w:color w:val="auto"/>
        </w:rPr>
        <w:t>(</w:t>
      </w:r>
      <w:r w:rsidR="00BE141A">
        <w:rPr>
          <w:color w:val="auto"/>
        </w:rPr>
        <w:t>see lin</w:t>
      </w:r>
      <w:r w:rsidR="006103B9">
        <w:rPr>
          <w:color w:val="auto"/>
        </w:rPr>
        <w:t xml:space="preserve">k: </w:t>
      </w:r>
      <w:hyperlink r:id="rId11" w:history="1">
        <w:r w:rsidR="006103B9" w:rsidRPr="0048407F">
          <w:rPr>
            <w:rStyle w:val="Hyperlink"/>
          </w:rPr>
          <w:t>https://lichfields.uk/grow-renew-protect-planning-for-the-future/how-many-homes-the-new-standard-method/</w:t>
        </w:r>
      </w:hyperlink>
      <w:r w:rsidR="006103B9">
        <w:rPr>
          <w:color w:val="auto"/>
        </w:rPr>
        <w:t xml:space="preserve"> )</w:t>
      </w:r>
      <w:r w:rsidR="00F96D06">
        <w:rPr>
          <w:color w:val="auto"/>
        </w:rPr>
        <w:t xml:space="preserve">. The Lichfield’s analysis shows that </w:t>
      </w:r>
      <w:r w:rsidR="001D0687">
        <w:rPr>
          <w:color w:val="auto"/>
        </w:rPr>
        <w:t xml:space="preserve">in areas outside London and South East </w:t>
      </w:r>
      <w:r w:rsidR="00BF3F50">
        <w:rPr>
          <w:color w:val="auto"/>
        </w:rPr>
        <w:t xml:space="preserve">the new standard method </w:t>
      </w:r>
      <w:r w:rsidR="00AC48F2">
        <w:rPr>
          <w:color w:val="auto"/>
        </w:rPr>
        <w:t>produce</w:t>
      </w:r>
      <w:r w:rsidR="00BF3F50">
        <w:rPr>
          <w:color w:val="auto"/>
        </w:rPr>
        <w:t>s</w:t>
      </w:r>
      <w:r w:rsidR="00AC48F2">
        <w:rPr>
          <w:color w:val="auto"/>
        </w:rPr>
        <w:t xml:space="preserve"> </w:t>
      </w:r>
      <w:r w:rsidR="001D0687">
        <w:rPr>
          <w:color w:val="auto"/>
        </w:rPr>
        <w:t xml:space="preserve">targets below current levels of delivery, whilst increasing targets by 61% in South East </w:t>
      </w:r>
      <w:r w:rsidR="00BF3F50">
        <w:rPr>
          <w:color w:val="auto"/>
        </w:rPr>
        <w:t xml:space="preserve">areas </w:t>
      </w:r>
      <w:r w:rsidR="0067637B">
        <w:rPr>
          <w:color w:val="auto"/>
        </w:rPr>
        <w:t>(</w:t>
      </w:r>
      <w:r w:rsidR="001D0687">
        <w:rPr>
          <w:color w:val="auto"/>
        </w:rPr>
        <w:t>outside London</w:t>
      </w:r>
      <w:r w:rsidR="0067637B">
        <w:rPr>
          <w:color w:val="auto"/>
        </w:rPr>
        <w:t>)</w:t>
      </w:r>
      <w:r w:rsidR="00683345">
        <w:rPr>
          <w:color w:val="auto"/>
        </w:rPr>
        <w:t xml:space="preserve"> and by 161% in London.  This equates to an annual target of 93,500 new homes in London, which is substantially higher than the new London Plan target of </w:t>
      </w:r>
      <w:r w:rsidR="00AA6AB2">
        <w:rPr>
          <w:color w:val="auto"/>
        </w:rPr>
        <w:t xml:space="preserve">52,000 </w:t>
      </w:r>
      <w:r w:rsidR="00683345">
        <w:rPr>
          <w:color w:val="auto"/>
        </w:rPr>
        <w:t xml:space="preserve">homes (reduced from </w:t>
      </w:r>
      <w:r w:rsidR="00AA6AB2">
        <w:rPr>
          <w:color w:val="auto"/>
        </w:rPr>
        <w:t>65,000 f</w:t>
      </w:r>
      <w:r w:rsidR="00683345">
        <w:rPr>
          <w:color w:val="auto"/>
        </w:rPr>
        <w:t xml:space="preserve">ollowing the Inspectors’ report).  </w:t>
      </w:r>
      <w:bookmarkStart w:id="2" w:name="_Hlk51774467"/>
      <w:r w:rsidR="00CA4294">
        <w:rPr>
          <w:color w:val="auto"/>
        </w:rPr>
        <w:t xml:space="preserve">With long term delivery rates </w:t>
      </w:r>
      <w:r w:rsidR="00683345">
        <w:rPr>
          <w:color w:val="auto"/>
        </w:rPr>
        <w:t xml:space="preserve">in London </w:t>
      </w:r>
      <w:r w:rsidR="00774AC7">
        <w:rPr>
          <w:color w:val="auto"/>
        </w:rPr>
        <w:t xml:space="preserve">of </w:t>
      </w:r>
      <w:r w:rsidR="00F5155E">
        <w:rPr>
          <w:color w:val="auto"/>
        </w:rPr>
        <w:t xml:space="preserve">30,000 </w:t>
      </w:r>
      <w:r w:rsidR="00F17E28">
        <w:rPr>
          <w:color w:val="auto"/>
        </w:rPr>
        <w:t xml:space="preserve">to </w:t>
      </w:r>
      <w:r w:rsidR="00F5155E">
        <w:rPr>
          <w:color w:val="auto"/>
        </w:rPr>
        <w:t xml:space="preserve">40,000 </w:t>
      </w:r>
      <w:r w:rsidR="0043569E">
        <w:rPr>
          <w:color w:val="auto"/>
        </w:rPr>
        <w:t>homes annually, the targets emerging from the proposed new standard method of housing need a</w:t>
      </w:r>
      <w:r w:rsidR="00774AC7">
        <w:rPr>
          <w:color w:val="auto"/>
        </w:rPr>
        <w:t xml:space="preserve">re </w:t>
      </w:r>
      <w:r w:rsidR="0043569E">
        <w:rPr>
          <w:color w:val="auto"/>
        </w:rPr>
        <w:t>un</w:t>
      </w:r>
      <w:r w:rsidR="007543FB">
        <w:rPr>
          <w:color w:val="auto"/>
        </w:rPr>
        <w:t>realistic</w:t>
      </w:r>
      <w:r w:rsidR="0043569E">
        <w:rPr>
          <w:color w:val="auto"/>
        </w:rPr>
        <w:t xml:space="preserve">. </w:t>
      </w:r>
      <w:bookmarkEnd w:id="2"/>
      <w:r w:rsidR="0043569E">
        <w:rPr>
          <w:color w:val="auto"/>
        </w:rPr>
        <w:t xml:space="preserve"> Whilst London Councils strongly supports increased housing delivery, particularly of affordable housing, the targets set </w:t>
      </w:r>
      <w:r w:rsidR="00174943">
        <w:rPr>
          <w:color w:val="auto"/>
        </w:rPr>
        <w:t xml:space="preserve">for boroughs </w:t>
      </w:r>
      <w:r w:rsidR="0043569E">
        <w:rPr>
          <w:color w:val="auto"/>
        </w:rPr>
        <w:t xml:space="preserve">need to be </w:t>
      </w:r>
      <w:r w:rsidR="007543FB">
        <w:rPr>
          <w:color w:val="auto"/>
        </w:rPr>
        <w:t>realistic,</w:t>
      </w:r>
      <w:r w:rsidR="0043569E">
        <w:rPr>
          <w:color w:val="auto"/>
        </w:rPr>
        <w:t xml:space="preserve"> as described in our submissions to the London </w:t>
      </w:r>
      <w:r w:rsidR="00174943">
        <w:rPr>
          <w:color w:val="auto"/>
        </w:rPr>
        <w:t xml:space="preserve">Plan </w:t>
      </w:r>
      <w:r w:rsidR="0043569E">
        <w:rPr>
          <w:color w:val="auto"/>
        </w:rPr>
        <w:t xml:space="preserve">Examination in Public.  </w:t>
      </w:r>
      <w:r w:rsidR="00171B81">
        <w:rPr>
          <w:color w:val="auto"/>
        </w:rPr>
        <w:t xml:space="preserve"> </w:t>
      </w:r>
      <w:r w:rsidR="007543FB">
        <w:rPr>
          <w:color w:val="auto"/>
        </w:rPr>
        <w:t xml:space="preserve"> </w:t>
      </w:r>
      <w:r w:rsidR="00683345">
        <w:rPr>
          <w:color w:val="auto"/>
        </w:rPr>
        <w:t xml:space="preserve">            </w:t>
      </w:r>
    </w:p>
    <w:p w14:paraId="39A5A705" w14:textId="77777777" w:rsidR="00B6083F" w:rsidRDefault="00B6083F" w:rsidP="00B6083F">
      <w:pPr>
        <w:pStyle w:val="ListParagraph"/>
        <w:jc w:val="both"/>
        <w:rPr>
          <w:color w:val="auto"/>
          <w:u w:val="single"/>
        </w:rPr>
      </w:pPr>
    </w:p>
    <w:p w14:paraId="6D5B313A" w14:textId="1B8A3DE2" w:rsidR="00B91090" w:rsidRDefault="007502E9" w:rsidP="00B91090">
      <w:pPr>
        <w:pStyle w:val="ListParagraph"/>
        <w:numPr>
          <w:ilvl w:val="0"/>
          <w:numId w:val="7"/>
        </w:numPr>
        <w:jc w:val="both"/>
        <w:rPr>
          <w:b/>
          <w:bCs/>
          <w:color w:val="auto"/>
          <w:u w:val="single"/>
        </w:rPr>
      </w:pPr>
      <w:r w:rsidRPr="00B91090">
        <w:rPr>
          <w:b/>
          <w:bCs/>
          <w:color w:val="auto"/>
          <w:u w:val="single"/>
        </w:rPr>
        <w:t xml:space="preserve">The </w:t>
      </w:r>
      <w:r w:rsidR="00FD5F69" w:rsidRPr="00B91090">
        <w:rPr>
          <w:b/>
          <w:bCs/>
          <w:color w:val="auto"/>
          <w:u w:val="single"/>
        </w:rPr>
        <w:t xml:space="preserve">government’s </w:t>
      </w:r>
      <w:r w:rsidR="002B7A5B" w:rsidRPr="00B91090">
        <w:rPr>
          <w:b/>
          <w:bCs/>
          <w:color w:val="auto"/>
          <w:u w:val="single"/>
        </w:rPr>
        <w:t xml:space="preserve">proposals for ‘First Homes’ </w:t>
      </w:r>
      <w:r w:rsidR="00B91090">
        <w:rPr>
          <w:b/>
          <w:bCs/>
          <w:color w:val="auto"/>
          <w:u w:val="single"/>
        </w:rPr>
        <w:t xml:space="preserve">raise important </w:t>
      </w:r>
      <w:r w:rsidR="00BC4228">
        <w:rPr>
          <w:b/>
          <w:bCs/>
          <w:color w:val="auto"/>
          <w:u w:val="single"/>
        </w:rPr>
        <w:t xml:space="preserve">issues </w:t>
      </w:r>
      <w:r w:rsidR="005A4F35">
        <w:rPr>
          <w:b/>
          <w:bCs/>
          <w:color w:val="auto"/>
          <w:u w:val="single"/>
        </w:rPr>
        <w:t xml:space="preserve">for </w:t>
      </w:r>
      <w:r w:rsidR="00B91090">
        <w:rPr>
          <w:b/>
          <w:bCs/>
          <w:color w:val="auto"/>
          <w:u w:val="single"/>
        </w:rPr>
        <w:t>London:</w:t>
      </w:r>
    </w:p>
    <w:p w14:paraId="0D3BD47C" w14:textId="71E7D73B" w:rsidR="00CD0F4A" w:rsidRDefault="00CD0F4A" w:rsidP="00CD0F4A">
      <w:pPr>
        <w:pStyle w:val="ListParagraph"/>
        <w:numPr>
          <w:ilvl w:val="0"/>
          <w:numId w:val="13"/>
        </w:numPr>
        <w:jc w:val="both"/>
        <w:rPr>
          <w:b/>
          <w:bCs/>
          <w:color w:val="auto"/>
          <w:u w:val="single"/>
        </w:rPr>
      </w:pPr>
      <w:r>
        <w:rPr>
          <w:b/>
          <w:bCs/>
          <w:color w:val="auto"/>
          <w:u w:val="single"/>
        </w:rPr>
        <w:t xml:space="preserve">there is evidence to show that ‘First Homes’ at 30% discount </w:t>
      </w:r>
      <w:r w:rsidR="0022698E">
        <w:rPr>
          <w:b/>
          <w:bCs/>
          <w:color w:val="auto"/>
          <w:u w:val="single"/>
        </w:rPr>
        <w:t xml:space="preserve">are </w:t>
      </w:r>
      <w:r>
        <w:rPr>
          <w:b/>
          <w:bCs/>
          <w:color w:val="auto"/>
          <w:u w:val="single"/>
        </w:rPr>
        <w:t>not affordable in London</w:t>
      </w:r>
    </w:p>
    <w:p w14:paraId="4BACCAA7" w14:textId="5996BFD6" w:rsidR="004034B8" w:rsidRDefault="0072395B" w:rsidP="00CD0F4A">
      <w:pPr>
        <w:pStyle w:val="ListParagraph"/>
        <w:numPr>
          <w:ilvl w:val="0"/>
          <w:numId w:val="13"/>
        </w:numPr>
        <w:jc w:val="both"/>
        <w:rPr>
          <w:b/>
          <w:bCs/>
          <w:color w:val="auto"/>
          <w:u w:val="single"/>
        </w:rPr>
      </w:pPr>
      <w:r w:rsidRPr="00B91090">
        <w:rPr>
          <w:b/>
          <w:bCs/>
          <w:color w:val="auto"/>
          <w:u w:val="single"/>
        </w:rPr>
        <w:t>the stip</w:t>
      </w:r>
      <w:r w:rsidR="00314E3D" w:rsidRPr="00B91090">
        <w:rPr>
          <w:b/>
          <w:bCs/>
          <w:color w:val="auto"/>
          <w:u w:val="single"/>
        </w:rPr>
        <w:t xml:space="preserve">ulation </w:t>
      </w:r>
      <w:r w:rsidR="004C194C" w:rsidRPr="00B91090">
        <w:rPr>
          <w:b/>
          <w:bCs/>
          <w:color w:val="auto"/>
          <w:u w:val="single"/>
        </w:rPr>
        <w:t>t</w:t>
      </w:r>
      <w:r w:rsidR="001F5E27" w:rsidRPr="00B91090">
        <w:rPr>
          <w:b/>
          <w:bCs/>
          <w:color w:val="auto"/>
          <w:u w:val="single"/>
        </w:rPr>
        <w:t xml:space="preserve">hat </w:t>
      </w:r>
      <w:r w:rsidR="00B022DA" w:rsidRPr="00B91090">
        <w:rPr>
          <w:b/>
          <w:bCs/>
          <w:color w:val="auto"/>
          <w:u w:val="single"/>
        </w:rPr>
        <w:t xml:space="preserve">‘First Homes’ </w:t>
      </w:r>
      <w:r w:rsidR="00063121" w:rsidRPr="00B91090">
        <w:rPr>
          <w:b/>
          <w:bCs/>
          <w:color w:val="auto"/>
          <w:u w:val="single"/>
        </w:rPr>
        <w:t>w</w:t>
      </w:r>
      <w:r w:rsidR="00686308" w:rsidRPr="00B91090">
        <w:rPr>
          <w:b/>
          <w:bCs/>
          <w:color w:val="auto"/>
          <w:u w:val="single"/>
        </w:rPr>
        <w:t xml:space="preserve">ould </w:t>
      </w:r>
      <w:r w:rsidR="00217A0D" w:rsidRPr="00B91090">
        <w:rPr>
          <w:b/>
          <w:bCs/>
          <w:color w:val="auto"/>
          <w:u w:val="single"/>
        </w:rPr>
        <w:t>t</w:t>
      </w:r>
      <w:r w:rsidR="0031582D" w:rsidRPr="00B91090">
        <w:rPr>
          <w:b/>
          <w:bCs/>
          <w:color w:val="auto"/>
          <w:u w:val="single"/>
        </w:rPr>
        <w:t xml:space="preserve">ake up </w:t>
      </w:r>
      <w:r w:rsidR="006C366F" w:rsidRPr="00B91090">
        <w:rPr>
          <w:b/>
          <w:bCs/>
          <w:color w:val="auto"/>
          <w:u w:val="single"/>
        </w:rPr>
        <w:t xml:space="preserve">the </w:t>
      </w:r>
      <w:r w:rsidR="00B16B00" w:rsidRPr="00B91090">
        <w:rPr>
          <w:b/>
          <w:bCs/>
          <w:color w:val="auto"/>
          <w:u w:val="single"/>
        </w:rPr>
        <w:t>first 25% of the affordable housing requirement</w:t>
      </w:r>
      <w:r w:rsidR="00003154" w:rsidRPr="00B91090">
        <w:rPr>
          <w:b/>
          <w:bCs/>
          <w:color w:val="auto"/>
          <w:u w:val="single"/>
        </w:rPr>
        <w:t>,</w:t>
      </w:r>
      <w:r w:rsidR="00A30EE9" w:rsidRPr="00B91090">
        <w:rPr>
          <w:b/>
          <w:bCs/>
          <w:color w:val="auto"/>
          <w:u w:val="single"/>
        </w:rPr>
        <w:t xml:space="preserve"> </w:t>
      </w:r>
      <w:r w:rsidR="00F838BA" w:rsidRPr="00B91090">
        <w:rPr>
          <w:b/>
          <w:bCs/>
          <w:color w:val="auto"/>
          <w:u w:val="single"/>
        </w:rPr>
        <w:t>displace</w:t>
      </w:r>
      <w:r w:rsidR="00E03C8B">
        <w:rPr>
          <w:b/>
          <w:bCs/>
          <w:color w:val="auto"/>
          <w:u w:val="single"/>
        </w:rPr>
        <w:t>s</w:t>
      </w:r>
      <w:r w:rsidR="00F838BA" w:rsidRPr="00B91090">
        <w:rPr>
          <w:b/>
          <w:bCs/>
          <w:color w:val="auto"/>
          <w:u w:val="single"/>
        </w:rPr>
        <w:t xml:space="preserve"> other </w:t>
      </w:r>
      <w:r w:rsidR="00825BD4" w:rsidRPr="00B91090">
        <w:rPr>
          <w:b/>
          <w:bCs/>
          <w:color w:val="auto"/>
          <w:u w:val="single"/>
        </w:rPr>
        <w:t xml:space="preserve">more </w:t>
      </w:r>
      <w:r w:rsidR="00F838BA" w:rsidRPr="00B91090">
        <w:rPr>
          <w:b/>
          <w:bCs/>
          <w:color w:val="auto"/>
          <w:u w:val="single"/>
        </w:rPr>
        <w:t xml:space="preserve">affordable tenures </w:t>
      </w:r>
      <w:r w:rsidR="00037F27">
        <w:rPr>
          <w:b/>
          <w:bCs/>
          <w:color w:val="auto"/>
          <w:u w:val="single"/>
        </w:rPr>
        <w:t xml:space="preserve">in London </w:t>
      </w:r>
      <w:r w:rsidR="005E21E4">
        <w:rPr>
          <w:b/>
          <w:bCs/>
          <w:color w:val="auto"/>
          <w:u w:val="single"/>
        </w:rPr>
        <w:t xml:space="preserve">and </w:t>
      </w:r>
      <w:r w:rsidR="00BE3F8F" w:rsidRPr="00B91090">
        <w:rPr>
          <w:b/>
          <w:bCs/>
          <w:color w:val="auto"/>
          <w:u w:val="single"/>
        </w:rPr>
        <w:t>restrict</w:t>
      </w:r>
      <w:r w:rsidR="005E21E4">
        <w:rPr>
          <w:b/>
          <w:bCs/>
          <w:color w:val="auto"/>
          <w:u w:val="single"/>
        </w:rPr>
        <w:t>s</w:t>
      </w:r>
      <w:r w:rsidR="00BE3F8F" w:rsidRPr="00B91090">
        <w:rPr>
          <w:b/>
          <w:bCs/>
          <w:color w:val="auto"/>
          <w:u w:val="single"/>
        </w:rPr>
        <w:t xml:space="preserve"> </w:t>
      </w:r>
      <w:r w:rsidR="00EC77BF" w:rsidRPr="00B91090">
        <w:rPr>
          <w:b/>
          <w:bCs/>
          <w:color w:val="auto"/>
          <w:u w:val="single"/>
        </w:rPr>
        <w:t>borough</w:t>
      </w:r>
      <w:r w:rsidR="002E4550" w:rsidRPr="00B91090">
        <w:rPr>
          <w:b/>
          <w:bCs/>
          <w:color w:val="auto"/>
          <w:u w:val="single"/>
        </w:rPr>
        <w:t>s</w:t>
      </w:r>
      <w:r w:rsidR="00FE684C">
        <w:rPr>
          <w:b/>
          <w:bCs/>
          <w:color w:val="auto"/>
          <w:u w:val="single"/>
        </w:rPr>
        <w:t xml:space="preserve"> i</w:t>
      </w:r>
      <w:r w:rsidR="00C71D65">
        <w:rPr>
          <w:b/>
          <w:bCs/>
          <w:color w:val="auto"/>
          <w:u w:val="single"/>
        </w:rPr>
        <w:t xml:space="preserve">n </w:t>
      </w:r>
      <w:r w:rsidR="00FE684C">
        <w:rPr>
          <w:b/>
          <w:bCs/>
          <w:color w:val="auto"/>
          <w:u w:val="single"/>
        </w:rPr>
        <w:t xml:space="preserve">deciding </w:t>
      </w:r>
      <w:r w:rsidR="003E5B91">
        <w:rPr>
          <w:b/>
          <w:bCs/>
          <w:color w:val="auto"/>
          <w:u w:val="single"/>
        </w:rPr>
        <w:t xml:space="preserve">the </w:t>
      </w:r>
      <w:r w:rsidR="00B24EAB" w:rsidRPr="00B91090">
        <w:rPr>
          <w:b/>
          <w:bCs/>
          <w:color w:val="auto"/>
          <w:u w:val="single"/>
        </w:rPr>
        <w:t>af</w:t>
      </w:r>
      <w:r w:rsidR="008E5F97" w:rsidRPr="00B91090">
        <w:rPr>
          <w:b/>
          <w:bCs/>
          <w:color w:val="auto"/>
          <w:u w:val="single"/>
        </w:rPr>
        <w:t>fordable</w:t>
      </w:r>
      <w:r w:rsidR="00F47F70" w:rsidRPr="00B91090">
        <w:rPr>
          <w:b/>
          <w:bCs/>
          <w:color w:val="auto"/>
          <w:u w:val="single"/>
        </w:rPr>
        <w:t xml:space="preserve"> housing </w:t>
      </w:r>
      <w:r w:rsidR="00003154" w:rsidRPr="00B91090">
        <w:rPr>
          <w:b/>
          <w:bCs/>
          <w:color w:val="auto"/>
          <w:u w:val="single"/>
        </w:rPr>
        <w:t xml:space="preserve">tenures </w:t>
      </w:r>
      <w:r w:rsidR="003249AA">
        <w:rPr>
          <w:b/>
          <w:bCs/>
          <w:color w:val="auto"/>
          <w:u w:val="single"/>
        </w:rPr>
        <w:t>w</w:t>
      </w:r>
      <w:r w:rsidR="003E5B91">
        <w:rPr>
          <w:b/>
          <w:bCs/>
          <w:color w:val="auto"/>
          <w:u w:val="single"/>
        </w:rPr>
        <w:t xml:space="preserve">hich best match </w:t>
      </w:r>
      <w:r w:rsidR="00F47F70" w:rsidRPr="00B91090">
        <w:rPr>
          <w:b/>
          <w:bCs/>
          <w:color w:val="auto"/>
          <w:u w:val="single"/>
        </w:rPr>
        <w:t>housing need in their area</w:t>
      </w:r>
      <w:r w:rsidR="00AF1015">
        <w:rPr>
          <w:b/>
          <w:bCs/>
          <w:color w:val="auto"/>
          <w:u w:val="single"/>
        </w:rPr>
        <w:t>s</w:t>
      </w:r>
      <w:r w:rsidR="00F47F70" w:rsidRPr="00B91090">
        <w:rPr>
          <w:b/>
          <w:bCs/>
          <w:color w:val="auto"/>
          <w:u w:val="single"/>
        </w:rPr>
        <w:t>.</w:t>
      </w:r>
    </w:p>
    <w:p w14:paraId="3C6F1CA7" w14:textId="6CB3BCE3" w:rsidR="00B30AEB" w:rsidRDefault="00465A57" w:rsidP="00CD0F4A">
      <w:pPr>
        <w:pStyle w:val="ListParagraph"/>
        <w:numPr>
          <w:ilvl w:val="0"/>
          <w:numId w:val="13"/>
        </w:numPr>
        <w:jc w:val="both"/>
        <w:rPr>
          <w:b/>
          <w:bCs/>
          <w:color w:val="auto"/>
          <w:u w:val="single"/>
        </w:rPr>
      </w:pPr>
      <w:r>
        <w:rPr>
          <w:b/>
          <w:bCs/>
          <w:color w:val="auto"/>
          <w:u w:val="single"/>
        </w:rPr>
        <w:t xml:space="preserve">discounts </w:t>
      </w:r>
      <w:r w:rsidR="00240EB0">
        <w:rPr>
          <w:b/>
          <w:bCs/>
          <w:color w:val="auto"/>
          <w:u w:val="single"/>
        </w:rPr>
        <w:t>and eligibility criteria for ‘First Homes</w:t>
      </w:r>
      <w:r w:rsidR="00DC7D06">
        <w:rPr>
          <w:b/>
          <w:bCs/>
          <w:color w:val="auto"/>
          <w:u w:val="single"/>
        </w:rPr>
        <w:t>’</w:t>
      </w:r>
      <w:r w:rsidR="001F6256">
        <w:rPr>
          <w:b/>
          <w:bCs/>
          <w:color w:val="auto"/>
          <w:u w:val="single"/>
        </w:rPr>
        <w:t xml:space="preserve"> are </w:t>
      </w:r>
      <w:r w:rsidR="004D091D">
        <w:rPr>
          <w:b/>
          <w:bCs/>
          <w:color w:val="auto"/>
          <w:u w:val="single"/>
        </w:rPr>
        <w:t>be</w:t>
      </w:r>
      <w:r w:rsidR="00C61479">
        <w:rPr>
          <w:b/>
          <w:bCs/>
          <w:color w:val="auto"/>
          <w:u w:val="single"/>
        </w:rPr>
        <w:t>st set locally by boroughs</w:t>
      </w:r>
      <w:r w:rsidR="007E68FD">
        <w:rPr>
          <w:b/>
          <w:bCs/>
          <w:color w:val="auto"/>
          <w:u w:val="single"/>
        </w:rPr>
        <w:t>,</w:t>
      </w:r>
      <w:r w:rsidR="00DC7D06">
        <w:rPr>
          <w:b/>
          <w:bCs/>
          <w:color w:val="auto"/>
          <w:u w:val="single"/>
        </w:rPr>
        <w:t xml:space="preserve"> </w:t>
      </w:r>
      <w:r w:rsidR="00C92A36">
        <w:rPr>
          <w:b/>
          <w:bCs/>
          <w:color w:val="auto"/>
          <w:u w:val="single"/>
        </w:rPr>
        <w:t xml:space="preserve">together with </w:t>
      </w:r>
      <w:r w:rsidR="00DC7D06">
        <w:rPr>
          <w:b/>
          <w:bCs/>
          <w:color w:val="auto"/>
          <w:u w:val="single"/>
        </w:rPr>
        <w:t xml:space="preserve">the </w:t>
      </w:r>
      <w:r w:rsidR="00120EC1">
        <w:rPr>
          <w:b/>
          <w:bCs/>
          <w:color w:val="auto"/>
          <w:u w:val="single"/>
        </w:rPr>
        <w:t xml:space="preserve">overall mix of </w:t>
      </w:r>
      <w:r w:rsidR="007F7BF9">
        <w:rPr>
          <w:b/>
          <w:bCs/>
          <w:color w:val="auto"/>
          <w:u w:val="single"/>
        </w:rPr>
        <w:t xml:space="preserve">affordable </w:t>
      </w:r>
      <w:r w:rsidR="0045235E">
        <w:rPr>
          <w:b/>
          <w:bCs/>
          <w:color w:val="auto"/>
          <w:u w:val="single"/>
        </w:rPr>
        <w:t>tenure</w:t>
      </w:r>
      <w:r w:rsidR="008953F4">
        <w:rPr>
          <w:b/>
          <w:bCs/>
          <w:color w:val="auto"/>
          <w:u w:val="single"/>
        </w:rPr>
        <w:t>s</w:t>
      </w:r>
      <w:r w:rsidR="0045235E">
        <w:rPr>
          <w:b/>
          <w:bCs/>
          <w:color w:val="auto"/>
          <w:u w:val="single"/>
        </w:rPr>
        <w:t xml:space="preserve"> </w:t>
      </w:r>
      <w:r w:rsidR="00C92A36">
        <w:rPr>
          <w:b/>
          <w:bCs/>
          <w:color w:val="auto"/>
          <w:u w:val="single"/>
        </w:rPr>
        <w:t xml:space="preserve">in their areas.  </w:t>
      </w:r>
    </w:p>
    <w:p w14:paraId="0B6E3262" w14:textId="3CF163DD" w:rsidR="00AF1015" w:rsidRDefault="00AF1015" w:rsidP="00AF1015">
      <w:pPr>
        <w:jc w:val="both"/>
        <w:rPr>
          <w:b/>
          <w:bCs/>
          <w:color w:val="auto"/>
          <w:u w:val="single"/>
        </w:rPr>
      </w:pPr>
    </w:p>
    <w:p w14:paraId="0D8D84E2" w14:textId="753D4888" w:rsidR="00585016" w:rsidRDefault="007E68FD" w:rsidP="007E68FD">
      <w:pPr>
        <w:pStyle w:val="ListParagraph"/>
        <w:jc w:val="both"/>
        <w:rPr>
          <w:color w:val="auto"/>
        </w:rPr>
      </w:pPr>
      <w:r w:rsidRPr="00AF1015">
        <w:rPr>
          <w:color w:val="auto"/>
        </w:rPr>
        <w:t>Whilst London Councils supports the ambition to expand home ownership in the capital, the gravest need in London is for sub-market rented homes. Therefore, ‘First Homes’ must be delivered in a way that does not displace the provision of other affordable tenures which are in much higher demand and should target those who otherwise would not be able to become homeowners</w:t>
      </w:r>
      <w:r w:rsidR="00DA008D">
        <w:rPr>
          <w:color w:val="auto"/>
        </w:rPr>
        <w:t xml:space="preserve">.  </w:t>
      </w:r>
    </w:p>
    <w:p w14:paraId="4B147933" w14:textId="77777777" w:rsidR="00C95214" w:rsidRDefault="00C95214" w:rsidP="007E68FD">
      <w:pPr>
        <w:pStyle w:val="ListParagraph"/>
        <w:jc w:val="both"/>
        <w:rPr>
          <w:color w:val="auto"/>
        </w:rPr>
      </w:pPr>
    </w:p>
    <w:p w14:paraId="58D531AB" w14:textId="3C1F8979" w:rsidR="00585016" w:rsidRPr="00894AB0" w:rsidRDefault="00585016" w:rsidP="00585016">
      <w:pPr>
        <w:pStyle w:val="ListParagraph"/>
        <w:jc w:val="both"/>
        <w:rPr>
          <w:color w:val="auto"/>
        </w:rPr>
      </w:pPr>
      <w:r>
        <w:rPr>
          <w:color w:val="auto"/>
        </w:rPr>
        <w:t xml:space="preserve">Regarding the affordability of ‘First Homes’ in London, there is </w:t>
      </w:r>
      <w:r w:rsidR="001F3842">
        <w:rPr>
          <w:color w:val="auto"/>
        </w:rPr>
        <w:t xml:space="preserve">strong </w:t>
      </w:r>
      <w:r>
        <w:rPr>
          <w:color w:val="auto"/>
        </w:rPr>
        <w:t xml:space="preserve">evidence which questions whether such homes would be affordable to local people.  </w:t>
      </w:r>
      <w:r w:rsidRPr="00894AB0">
        <w:rPr>
          <w:color w:val="auto"/>
        </w:rPr>
        <w:t xml:space="preserve">Research undertaken by Savills (using Land Registry, MHCLG, Nationwide and Newbury Building Society data) shows that the minimum income required for a </w:t>
      </w:r>
      <w:r>
        <w:rPr>
          <w:color w:val="auto"/>
        </w:rPr>
        <w:t>‘</w:t>
      </w:r>
      <w:r w:rsidRPr="00894AB0">
        <w:rPr>
          <w:color w:val="auto"/>
        </w:rPr>
        <w:t>F</w:t>
      </w:r>
      <w:r>
        <w:rPr>
          <w:color w:val="auto"/>
        </w:rPr>
        <w:t>irst Home’</w:t>
      </w:r>
      <w:r w:rsidRPr="00894AB0">
        <w:rPr>
          <w:color w:val="auto"/>
        </w:rPr>
        <w:t xml:space="preserve"> with a 30% discount and a 5% deposit (£10,850) would be £51,538 per year (based on the average cost of a new home being £310,000 before the discount is applied). Consider now that an average nurse’s salary (a targeted key worker) is around £25k per year.</w:t>
      </w:r>
      <w:r w:rsidRPr="00894AB0">
        <w:rPr>
          <w:color w:val="auto"/>
          <w:vertAlign w:val="superscript"/>
        </w:rPr>
        <w:footnoteReference w:id="2"/>
      </w:r>
    </w:p>
    <w:p w14:paraId="05DF4145" w14:textId="77777777" w:rsidR="00585016" w:rsidRPr="00894AB0" w:rsidRDefault="00585016" w:rsidP="00585016">
      <w:pPr>
        <w:pStyle w:val="ListParagraph"/>
        <w:jc w:val="both"/>
        <w:rPr>
          <w:i/>
          <w:iCs/>
          <w:color w:val="auto"/>
        </w:rPr>
      </w:pPr>
    </w:p>
    <w:p w14:paraId="60D7A6DE" w14:textId="77777777" w:rsidR="00585016" w:rsidRPr="00894AB0" w:rsidRDefault="00585016" w:rsidP="00585016">
      <w:pPr>
        <w:pStyle w:val="ListParagraph"/>
        <w:jc w:val="both"/>
        <w:rPr>
          <w:color w:val="auto"/>
        </w:rPr>
      </w:pPr>
      <w:r w:rsidRPr="00894AB0">
        <w:rPr>
          <w:color w:val="auto"/>
        </w:rPr>
        <w:t>Now consider that the average house price in London is £475k (53% higher than the Savills example used),</w:t>
      </w:r>
      <w:r w:rsidRPr="00894AB0">
        <w:rPr>
          <w:color w:val="auto"/>
          <w:vertAlign w:val="superscript"/>
        </w:rPr>
        <w:footnoteReference w:id="3"/>
      </w:r>
      <w:r w:rsidRPr="00894AB0">
        <w:rPr>
          <w:color w:val="auto"/>
        </w:rPr>
        <w:t xml:space="preserve"> while the average wage is £38k (26% higher than the national average); a 30% </w:t>
      </w:r>
      <w:r>
        <w:rPr>
          <w:color w:val="auto"/>
        </w:rPr>
        <w:t xml:space="preserve">‘First Homes’ </w:t>
      </w:r>
      <w:r w:rsidRPr="00894AB0">
        <w:rPr>
          <w:color w:val="auto"/>
        </w:rPr>
        <w:t xml:space="preserve">discount would make the total cost of an average home £333k. This means a 5% deposit would be £17k, and the income needed to purchase an average 30% discount </w:t>
      </w:r>
      <w:r>
        <w:rPr>
          <w:color w:val="auto"/>
        </w:rPr>
        <w:t xml:space="preserve">‘First Home’ </w:t>
      </w:r>
      <w:r w:rsidRPr="00894AB0">
        <w:rPr>
          <w:color w:val="auto"/>
        </w:rPr>
        <w:t>in London would be nearly £80k per year.</w:t>
      </w:r>
      <w:r w:rsidRPr="00894AB0">
        <w:rPr>
          <w:color w:val="auto"/>
          <w:vertAlign w:val="superscript"/>
        </w:rPr>
        <w:footnoteReference w:id="4"/>
      </w:r>
      <w:r w:rsidRPr="00894AB0">
        <w:rPr>
          <w:color w:val="auto"/>
        </w:rPr>
        <w:t xml:space="preserve"> The corollary is that </w:t>
      </w:r>
      <w:r>
        <w:rPr>
          <w:color w:val="auto"/>
        </w:rPr>
        <w:t>‘</w:t>
      </w:r>
      <w:r w:rsidRPr="00894AB0">
        <w:rPr>
          <w:color w:val="auto"/>
        </w:rPr>
        <w:t>F</w:t>
      </w:r>
      <w:r>
        <w:rPr>
          <w:color w:val="auto"/>
        </w:rPr>
        <w:t xml:space="preserve">irst Homes’ </w:t>
      </w:r>
      <w:r w:rsidRPr="00894AB0">
        <w:rPr>
          <w:color w:val="auto"/>
        </w:rPr>
        <w:t xml:space="preserve">would often remain unaffordable to those (a) on modest incomes like many key workers (b) without the ‘bank of mum and dad’.  If these averages </w:t>
      </w:r>
      <w:r>
        <w:rPr>
          <w:color w:val="auto"/>
        </w:rPr>
        <w:t xml:space="preserve">are broken </w:t>
      </w:r>
      <w:r w:rsidRPr="00894AB0">
        <w:rPr>
          <w:color w:val="auto"/>
        </w:rPr>
        <w:t xml:space="preserve">down to borough level the mismatch becomes even starker. For example, the average house price in Kensington and Chelsea is over £1.3m, in Hammersmith and Fulham it’s £712k, and Islington is £651k. Clearly for ‘local people’ to purchase their first home in these areas they would need to be comparatively wealthy, even with higher discounts. </w:t>
      </w:r>
    </w:p>
    <w:p w14:paraId="4C297255" w14:textId="77777777" w:rsidR="00585016" w:rsidRPr="008F051C" w:rsidRDefault="00585016" w:rsidP="00585016">
      <w:pPr>
        <w:pStyle w:val="ListParagraph"/>
        <w:jc w:val="both"/>
        <w:rPr>
          <w:color w:val="auto"/>
        </w:rPr>
      </w:pPr>
    </w:p>
    <w:p w14:paraId="534D7122" w14:textId="419801A2" w:rsidR="0053731D" w:rsidRDefault="005307B2" w:rsidP="0053731D">
      <w:pPr>
        <w:pStyle w:val="ListParagraph"/>
        <w:jc w:val="both"/>
        <w:rPr>
          <w:color w:val="auto"/>
        </w:rPr>
      </w:pPr>
      <w:r>
        <w:rPr>
          <w:color w:val="auto"/>
        </w:rPr>
        <w:t xml:space="preserve">The </w:t>
      </w:r>
      <w:r w:rsidR="0053731D" w:rsidRPr="00362435">
        <w:rPr>
          <w:color w:val="auto"/>
        </w:rPr>
        <w:t>government</w:t>
      </w:r>
      <w:r w:rsidR="00362435" w:rsidRPr="00362435">
        <w:rPr>
          <w:color w:val="auto"/>
        </w:rPr>
        <w:t xml:space="preserve">’s short term </w:t>
      </w:r>
      <w:r w:rsidR="0053731D" w:rsidRPr="00362435">
        <w:rPr>
          <w:color w:val="auto"/>
        </w:rPr>
        <w:t>proposals for securing ‘First Homes’ until the transition to a new system</w:t>
      </w:r>
      <w:r w:rsidR="00362435" w:rsidRPr="00362435">
        <w:rPr>
          <w:color w:val="auto"/>
        </w:rPr>
        <w:t>,</w:t>
      </w:r>
      <w:r w:rsidR="0053731D" w:rsidRPr="00362435">
        <w:rPr>
          <w:color w:val="auto"/>
        </w:rPr>
        <w:t xml:space="preserve"> </w:t>
      </w:r>
      <w:r w:rsidR="00E11971">
        <w:rPr>
          <w:color w:val="auto"/>
        </w:rPr>
        <w:t xml:space="preserve">stipulate </w:t>
      </w:r>
      <w:r w:rsidR="0053731D" w:rsidRPr="00362435">
        <w:rPr>
          <w:color w:val="auto"/>
        </w:rPr>
        <w:t>that the first 25% of the affordable housing requirement on a site w</w:t>
      </w:r>
      <w:r w:rsidR="00E11971">
        <w:rPr>
          <w:color w:val="auto"/>
        </w:rPr>
        <w:t xml:space="preserve">ould </w:t>
      </w:r>
      <w:r w:rsidR="0053731D" w:rsidRPr="00362435">
        <w:rPr>
          <w:color w:val="auto"/>
        </w:rPr>
        <w:t xml:space="preserve"> be set aside for ‘First Homes</w:t>
      </w:r>
      <w:r w:rsidR="00362435" w:rsidRPr="00362435">
        <w:rPr>
          <w:color w:val="auto"/>
        </w:rPr>
        <w:t>’</w:t>
      </w:r>
      <w:r w:rsidR="00362435">
        <w:rPr>
          <w:color w:val="auto"/>
        </w:rPr>
        <w:t>,</w:t>
      </w:r>
      <w:r w:rsidR="00362435" w:rsidRPr="00362435">
        <w:rPr>
          <w:color w:val="auto"/>
        </w:rPr>
        <w:t xml:space="preserve"> sold at a discount to first time buyers through developer contributions.  </w:t>
      </w:r>
      <w:r w:rsidR="00AE6A0F">
        <w:rPr>
          <w:color w:val="auto"/>
        </w:rPr>
        <w:t xml:space="preserve">This </w:t>
      </w:r>
      <w:r w:rsidR="00E11971">
        <w:rPr>
          <w:color w:val="auto"/>
        </w:rPr>
        <w:t>nationally set requirement would</w:t>
      </w:r>
      <w:r w:rsidR="00AE6A0F">
        <w:rPr>
          <w:color w:val="auto"/>
        </w:rPr>
        <w:t xml:space="preserve"> fetter boroughs whose need for affordable housing requires other tenure types, for example affordable rented housing to meet demand from homeless households in temporary accommodation, rough sleepers or </w:t>
      </w:r>
      <w:r w:rsidR="00003154">
        <w:rPr>
          <w:color w:val="auto"/>
        </w:rPr>
        <w:t>other low</w:t>
      </w:r>
      <w:r w:rsidR="00AB322F">
        <w:rPr>
          <w:color w:val="auto"/>
        </w:rPr>
        <w:t>-</w:t>
      </w:r>
      <w:r w:rsidR="00003154">
        <w:rPr>
          <w:color w:val="auto"/>
        </w:rPr>
        <w:t xml:space="preserve"> income groups </w:t>
      </w:r>
      <w:r w:rsidR="00AE6A0F">
        <w:rPr>
          <w:color w:val="auto"/>
        </w:rPr>
        <w:t xml:space="preserve">unable to purchase.   </w:t>
      </w:r>
      <w:r w:rsidR="00E11971">
        <w:rPr>
          <w:color w:val="auto"/>
        </w:rPr>
        <w:t xml:space="preserve">This is of </w:t>
      </w:r>
      <w:proofErr w:type="gramStart"/>
      <w:r w:rsidR="00E11971">
        <w:rPr>
          <w:color w:val="auto"/>
        </w:rPr>
        <w:t>particular concern</w:t>
      </w:r>
      <w:proofErr w:type="gramEnd"/>
      <w:r w:rsidR="00E11971">
        <w:rPr>
          <w:color w:val="auto"/>
        </w:rPr>
        <w:t xml:space="preserve"> in London</w:t>
      </w:r>
      <w:r w:rsidR="00AB322F">
        <w:rPr>
          <w:color w:val="auto"/>
        </w:rPr>
        <w:t>,</w:t>
      </w:r>
      <w:r w:rsidR="00E11971">
        <w:rPr>
          <w:color w:val="auto"/>
        </w:rPr>
        <w:t xml:space="preserve"> which accounts for </w:t>
      </w:r>
      <w:r w:rsidR="00AB322F">
        <w:rPr>
          <w:color w:val="auto"/>
        </w:rPr>
        <w:t xml:space="preserve">two thirds of England’s homeless households in temporary accommodation. </w:t>
      </w:r>
    </w:p>
    <w:p w14:paraId="00CC272A" w14:textId="3307197A" w:rsidR="00AF1015" w:rsidRDefault="00AF1015" w:rsidP="0053731D">
      <w:pPr>
        <w:pStyle w:val="ListParagraph"/>
        <w:jc w:val="both"/>
        <w:rPr>
          <w:color w:val="auto"/>
        </w:rPr>
      </w:pPr>
    </w:p>
    <w:p w14:paraId="36E4076F" w14:textId="4ADFF2E8" w:rsidR="0049165D" w:rsidRPr="0049165D" w:rsidRDefault="00084161" w:rsidP="0049165D">
      <w:pPr>
        <w:pStyle w:val="ListParagraph"/>
        <w:jc w:val="both"/>
        <w:rPr>
          <w:color w:val="auto"/>
        </w:rPr>
      </w:pPr>
      <w:r w:rsidRPr="00552508">
        <w:rPr>
          <w:color w:val="auto"/>
        </w:rPr>
        <w:t xml:space="preserve">Against this background, we consider that </w:t>
      </w:r>
      <w:r w:rsidR="000D23F6" w:rsidRPr="00552508">
        <w:rPr>
          <w:color w:val="auto"/>
        </w:rPr>
        <w:t xml:space="preserve">in London the </w:t>
      </w:r>
      <w:r w:rsidR="00552508">
        <w:rPr>
          <w:color w:val="auto"/>
        </w:rPr>
        <w:t>‘</w:t>
      </w:r>
      <w:r w:rsidR="000D23F6" w:rsidRPr="00552508">
        <w:rPr>
          <w:color w:val="auto"/>
        </w:rPr>
        <w:t>First Homes</w:t>
      </w:r>
      <w:r w:rsidR="001A044B">
        <w:rPr>
          <w:color w:val="auto"/>
        </w:rPr>
        <w:t>’</w:t>
      </w:r>
      <w:r w:rsidR="000D23F6" w:rsidRPr="00552508">
        <w:rPr>
          <w:color w:val="auto"/>
        </w:rPr>
        <w:t xml:space="preserve"> d</w:t>
      </w:r>
      <w:r w:rsidR="00557C04" w:rsidRPr="00552508">
        <w:rPr>
          <w:color w:val="auto"/>
        </w:rPr>
        <w:t>iscount and eligibility crit</w:t>
      </w:r>
      <w:r w:rsidR="00F31539" w:rsidRPr="00552508">
        <w:rPr>
          <w:color w:val="auto"/>
        </w:rPr>
        <w:t xml:space="preserve">eria </w:t>
      </w:r>
      <w:r w:rsidR="00450A5A">
        <w:rPr>
          <w:color w:val="auto"/>
        </w:rPr>
        <w:t xml:space="preserve">would be </w:t>
      </w:r>
      <w:r w:rsidR="000D23F6" w:rsidRPr="00552508">
        <w:rPr>
          <w:color w:val="auto"/>
        </w:rPr>
        <w:t xml:space="preserve">best set </w:t>
      </w:r>
      <w:r w:rsidR="00175F8F" w:rsidRPr="00552508">
        <w:rPr>
          <w:color w:val="auto"/>
        </w:rPr>
        <w:t>by boroughs</w:t>
      </w:r>
      <w:r w:rsidR="00552508">
        <w:rPr>
          <w:color w:val="auto"/>
        </w:rPr>
        <w:t>,</w:t>
      </w:r>
      <w:r w:rsidR="00175F8F" w:rsidRPr="00552508">
        <w:rPr>
          <w:color w:val="auto"/>
        </w:rPr>
        <w:t xml:space="preserve"> so they </w:t>
      </w:r>
      <w:r w:rsidR="00CC18F5" w:rsidRPr="00552508">
        <w:rPr>
          <w:color w:val="auto"/>
        </w:rPr>
        <w:t xml:space="preserve">are </w:t>
      </w:r>
      <w:r w:rsidR="00557C04" w:rsidRPr="00552508">
        <w:rPr>
          <w:color w:val="auto"/>
        </w:rPr>
        <w:t xml:space="preserve">appropriate to </w:t>
      </w:r>
      <w:r w:rsidR="001A044B">
        <w:rPr>
          <w:color w:val="auto"/>
        </w:rPr>
        <w:t xml:space="preserve">the </w:t>
      </w:r>
      <w:r w:rsidR="00557C04" w:rsidRPr="00552508">
        <w:rPr>
          <w:color w:val="auto"/>
        </w:rPr>
        <w:t>local area</w:t>
      </w:r>
      <w:r w:rsidR="00CC18F5" w:rsidRPr="00552508">
        <w:rPr>
          <w:color w:val="auto"/>
        </w:rPr>
        <w:t xml:space="preserve">. Similarly, </w:t>
      </w:r>
      <w:r w:rsidR="001A044B">
        <w:rPr>
          <w:color w:val="auto"/>
        </w:rPr>
        <w:t>borough</w:t>
      </w:r>
      <w:r w:rsidR="005C515C">
        <w:rPr>
          <w:color w:val="auto"/>
        </w:rPr>
        <w:t>s</w:t>
      </w:r>
      <w:r w:rsidR="001A044B">
        <w:rPr>
          <w:color w:val="auto"/>
        </w:rPr>
        <w:t xml:space="preserve"> </w:t>
      </w:r>
      <w:r w:rsidR="0049165D" w:rsidRPr="0049165D">
        <w:rPr>
          <w:color w:val="auto"/>
        </w:rPr>
        <w:t xml:space="preserve">are best placed through their local plans to </w:t>
      </w:r>
      <w:r w:rsidR="00723F84">
        <w:rPr>
          <w:color w:val="auto"/>
        </w:rPr>
        <w:t xml:space="preserve">set the affordable </w:t>
      </w:r>
      <w:r w:rsidR="0049165D" w:rsidRPr="0049165D">
        <w:rPr>
          <w:color w:val="auto"/>
        </w:rPr>
        <w:t>tenures to suit community needs.</w:t>
      </w:r>
    </w:p>
    <w:p w14:paraId="2868BA6D" w14:textId="7976A85E" w:rsidR="00DF68A0" w:rsidRPr="003D56B0" w:rsidRDefault="00DF68A0" w:rsidP="003D56B0">
      <w:pPr>
        <w:pStyle w:val="ListParagraph"/>
        <w:jc w:val="both"/>
        <w:rPr>
          <w:i/>
          <w:iCs/>
          <w:color w:val="auto"/>
        </w:rPr>
      </w:pPr>
    </w:p>
    <w:p w14:paraId="613F9083" w14:textId="2B9D8504" w:rsidR="00425DDD" w:rsidRPr="00605A72" w:rsidRDefault="00F52B79" w:rsidP="00605A72">
      <w:pPr>
        <w:pStyle w:val="ListParagraph"/>
        <w:numPr>
          <w:ilvl w:val="0"/>
          <w:numId w:val="7"/>
        </w:numPr>
        <w:jc w:val="both"/>
        <w:rPr>
          <w:b/>
          <w:bCs/>
          <w:color w:val="auto"/>
          <w:u w:val="single"/>
        </w:rPr>
      </w:pPr>
      <w:r w:rsidRPr="00605A72">
        <w:rPr>
          <w:b/>
          <w:bCs/>
          <w:color w:val="auto"/>
          <w:u w:val="single"/>
        </w:rPr>
        <w:t xml:space="preserve">The proposal </w:t>
      </w:r>
      <w:r w:rsidR="00C67AF6" w:rsidRPr="00605A72">
        <w:rPr>
          <w:b/>
          <w:bCs/>
          <w:color w:val="auto"/>
          <w:u w:val="single"/>
        </w:rPr>
        <w:t>to t</w:t>
      </w:r>
      <w:r w:rsidR="00812349" w:rsidRPr="00605A72">
        <w:rPr>
          <w:b/>
          <w:bCs/>
          <w:color w:val="auto"/>
          <w:u w:val="single"/>
        </w:rPr>
        <w:t>emporar</w:t>
      </w:r>
      <w:r w:rsidR="005D20D8" w:rsidRPr="00605A72">
        <w:rPr>
          <w:b/>
          <w:bCs/>
          <w:color w:val="auto"/>
          <w:u w:val="single"/>
        </w:rPr>
        <w:t>ily i</w:t>
      </w:r>
      <w:r w:rsidR="00F32AFE" w:rsidRPr="00605A72">
        <w:rPr>
          <w:b/>
          <w:bCs/>
          <w:color w:val="auto"/>
          <w:u w:val="single"/>
        </w:rPr>
        <w:t>ncreas</w:t>
      </w:r>
      <w:r w:rsidR="00C67AF6" w:rsidRPr="00605A72">
        <w:rPr>
          <w:b/>
          <w:bCs/>
          <w:color w:val="auto"/>
          <w:u w:val="single"/>
        </w:rPr>
        <w:t xml:space="preserve">e </w:t>
      </w:r>
      <w:r w:rsidR="00F32AFE" w:rsidRPr="00605A72">
        <w:rPr>
          <w:b/>
          <w:bCs/>
          <w:color w:val="auto"/>
          <w:u w:val="single"/>
        </w:rPr>
        <w:t>t</w:t>
      </w:r>
      <w:r w:rsidR="00FE7E7B" w:rsidRPr="00605A72">
        <w:rPr>
          <w:b/>
          <w:bCs/>
          <w:color w:val="auto"/>
          <w:u w:val="single"/>
        </w:rPr>
        <w:t xml:space="preserve">he </w:t>
      </w:r>
      <w:r w:rsidR="004D5140" w:rsidRPr="00605A72">
        <w:rPr>
          <w:b/>
          <w:bCs/>
          <w:color w:val="auto"/>
          <w:u w:val="single"/>
        </w:rPr>
        <w:t xml:space="preserve">site </w:t>
      </w:r>
      <w:r w:rsidR="009245A5" w:rsidRPr="00605A72">
        <w:rPr>
          <w:b/>
          <w:bCs/>
          <w:color w:val="auto"/>
          <w:u w:val="single"/>
        </w:rPr>
        <w:t>threshold</w:t>
      </w:r>
      <w:r w:rsidR="00BC2C42" w:rsidRPr="00605A72">
        <w:rPr>
          <w:b/>
          <w:bCs/>
          <w:color w:val="auto"/>
          <w:u w:val="single"/>
        </w:rPr>
        <w:t xml:space="preserve"> for </w:t>
      </w:r>
      <w:r w:rsidR="009245A5" w:rsidRPr="00605A72">
        <w:rPr>
          <w:b/>
          <w:bCs/>
          <w:color w:val="auto"/>
          <w:u w:val="single"/>
        </w:rPr>
        <w:t xml:space="preserve">affordable housing from 10 units to 40 or 50 units </w:t>
      </w:r>
      <w:r w:rsidR="00C149B9" w:rsidRPr="00605A72">
        <w:rPr>
          <w:b/>
          <w:bCs/>
          <w:color w:val="auto"/>
          <w:u w:val="single"/>
        </w:rPr>
        <w:t xml:space="preserve">is likely to </w:t>
      </w:r>
      <w:r w:rsidR="00D20559" w:rsidRPr="00605A72">
        <w:rPr>
          <w:b/>
          <w:bCs/>
          <w:color w:val="auto"/>
          <w:u w:val="single"/>
        </w:rPr>
        <w:t xml:space="preserve">curtail </w:t>
      </w:r>
      <w:r w:rsidR="009245A5" w:rsidRPr="00605A72">
        <w:rPr>
          <w:b/>
          <w:bCs/>
          <w:color w:val="auto"/>
          <w:u w:val="single"/>
        </w:rPr>
        <w:t xml:space="preserve">or severely reduce the delivery of affordable </w:t>
      </w:r>
      <w:r w:rsidR="00C149B9" w:rsidRPr="00605A72">
        <w:rPr>
          <w:b/>
          <w:bCs/>
          <w:color w:val="auto"/>
          <w:u w:val="single"/>
        </w:rPr>
        <w:t>housing in London</w:t>
      </w:r>
      <w:r w:rsidR="00B41A5A" w:rsidRPr="00605A72">
        <w:rPr>
          <w:b/>
          <w:bCs/>
          <w:color w:val="auto"/>
          <w:u w:val="single"/>
        </w:rPr>
        <w:t xml:space="preserve">. </w:t>
      </w:r>
      <w:r w:rsidR="00C149B9" w:rsidRPr="00605A72">
        <w:rPr>
          <w:b/>
          <w:bCs/>
          <w:color w:val="auto"/>
          <w:u w:val="single"/>
        </w:rPr>
        <w:t xml:space="preserve"> </w:t>
      </w:r>
    </w:p>
    <w:p w14:paraId="3862D50C" w14:textId="2FA42118" w:rsidR="003D56B0" w:rsidRDefault="00C73476" w:rsidP="004120BB">
      <w:pPr>
        <w:pStyle w:val="ListParagraph"/>
        <w:jc w:val="both"/>
        <w:rPr>
          <w:color w:val="auto"/>
        </w:rPr>
      </w:pPr>
      <w:r w:rsidRPr="00C73476">
        <w:rPr>
          <w:color w:val="auto"/>
        </w:rPr>
        <w:t>The government</w:t>
      </w:r>
      <w:r w:rsidR="0098348E">
        <w:rPr>
          <w:color w:val="auto"/>
        </w:rPr>
        <w:t>’</w:t>
      </w:r>
      <w:r w:rsidRPr="00C73476">
        <w:rPr>
          <w:color w:val="auto"/>
        </w:rPr>
        <w:t xml:space="preserve">s proposals to increase the small sites threshold (below which developers do not need to contribute to affordable housing) from 10 units to up to 40 or 50 units, in order to support SME builders is of major concern.  </w:t>
      </w:r>
      <w:r w:rsidR="001D61BC">
        <w:rPr>
          <w:color w:val="auto"/>
        </w:rPr>
        <w:t xml:space="preserve">In London, </w:t>
      </w:r>
      <w:r w:rsidR="003976A9">
        <w:rPr>
          <w:color w:val="auto"/>
        </w:rPr>
        <w:t xml:space="preserve">a significant proportion of affordable </w:t>
      </w:r>
      <w:r w:rsidR="00F41966">
        <w:rPr>
          <w:color w:val="auto"/>
        </w:rPr>
        <w:t>homes are delivered on sites with less than 40</w:t>
      </w:r>
      <w:r w:rsidR="002D3936">
        <w:rPr>
          <w:color w:val="auto"/>
        </w:rPr>
        <w:t xml:space="preserve"> or 50 units</w:t>
      </w:r>
      <w:r w:rsidR="00030E5F">
        <w:rPr>
          <w:color w:val="auto"/>
        </w:rPr>
        <w:t xml:space="preserve">.  If the supply of new </w:t>
      </w:r>
      <w:r w:rsidR="00C54CEC">
        <w:rPr>
          <w:color w:val="auto"/>
        </w:rPr>
        <w:t xml:space="preserve">affordable </w:t>
      </w:r>
      <w:r w:rsidR="00030E5F">
        <w:rPr>
          <w:color w:val="auto"/>
        </w:rPr>
        <w:t xml:space="preserve">homes </w:t>
      </w:r>
      <w:r w:rsidR="00C54CEC">
        <w:rPr>
          <w:color w:val="auto"/>
        </w:rPr>
        <w:t xml:space="preserve">in </w:t>
      </w:r>
      <w:r w:rsidR="00C40077">
        <w:rPr>
          <w:color w:val="auto"/>
        </w:rPr>
        <w:t xml:space="preserve">London </w:t>
      </w:r>
      <w:r w:rsidR="0087459F">
        <w:rPr>
          <w:color w:val="auto"/>
        </w:rPr>
        <w:t>is curtailed or severely restricted</w:t>
      </w:r>
      <w:r w:rsidR="00C54CEC">
        <w:rPr>
          <w:color w:val="auto"/>
        </w:rPr>
        <w:t xml:space="preserve">, this </w:t>
      </w:r>
      <w:r w:rsidR="003539C1">
        <w:rPr>
          <w:color w:val="auto"/>
        </w:rPr>
        <w:t>will exacerbate the housing c</w:t>
      </w:r>
      <w:r w:rsidR="00C40077">
        <w:rPr>
          <w:color w:val="auto"/>
        </w:rPr>
        <w:t>risis in the capital</w:t>
      </w:r>
      <w:r w:rsidR="00F35404">
        <w:rPr>
          <w:color w:val="auto"/>
        </w:rPr>
        <w:t xml:space="preserve">. </w:t>
      </w:r>
      <w:r w:rsidR="00AA2FFA">
        <w:rPr>
          <w:color w:val="auto"/>
        </w:rPr>
        <w:t>Thi</w:t>
      </w:r>
      <w:r w:rsidR="00F35404">
        <w:rPr>
          <w:color w:val="auto"/>
        </w:rPr>
        <w:t xml:space="preserve">s </w:t>
      </w:r>
      <w:r w:rsidR="007D6E84">
        <w:rPr>
          <w:color w:val="auto"/>
        </w:rPr>
        <w:t xml:space="preserve">is </w:t>
      </w:r>
      <w:r w:rsidR="00F35404">
        <w:rPr>
          <w:color w:val="auto"/>
        </w:rPr>
        <w:t xml:space="preserve">of </w:t>
      </w:r>
      <w:proofErr w:type="gramStart"/>
      <w:r w:rsidR="00F35404">
        <w:rPr>
          <w:color w:val="auto"/>
        </w:rPr>
        <w:t>particular concern</w:t>
      </w:r>
      <w:proofErr w:type="gramEnd"/>
      <w:r w:rsidR="00C40077">
        <w:rPr>
          <w:color w:val="auto"/>
        </w:rPr>
        <w:t xml:space="preserve"> at a time when covid-19 </w:t>
      </w:r>
      <w:r w:rsidR="00F35404">
        <w:rPr>
          <w:color w:val="auto"/>
        </w:rPr>
        <w:t xml:space="preserve">appears likely to increase homelessness. </w:t>
      </w:r>
      <w:r w:rsidR="00C40077">
        <w:rPr>
          <w:color w:val="auto"/>
        </w:rPr>
        <w:t xml:space="preserve"> </w:t>
      </w:r>
      <w:r w:rsidR="00614ED1">
        <w:rPr>
          <w:color w:val="auto"/>
        </w:rPr>
        <w:t xml:space="preserve">Access to new affordable </w:t>
      </w:r>
      <w:r w:rsidR="00812311">
        <w:rPr>
          <w:color w:val="auto"/>
        </w:rPr>
        <w:t xml:space="preserve">rented </w:t>
      </w:r>
      <w:r w:rsidR="00614ED1">
        <w:rPr>
          <w:color w:val="auto"/>
        </w:rPr>
        <w:t xml:space="preserve">housing </w:t>
      </w:r>
      <w:r w:rsidR="00812311">
        <w:rPr>
          <w:color w:val="auto"/>
        </w:rPr>
        <w:t xml:space="preserve">forms an important element of the permanent lettings available to London boroughs </w:t>
      </w:r>
      <w:r w:rsidR="00BA1F87">
        <w:rPr>
          <w:color w:val="auto"/>
        </w:rPr>
        <w:t xml:space="preserve">seeking to </w:t>
      </w:r>
      <w:r w:rsidR="006A5E0D">
        <w:rPr>
          <w:color w:val="auto"/>
        </w:rPr>
        <w:t>rehous</w:t>
      </w:r>
      <w:r w:rsidR="00BA1F87">
        <w:rPr>
          <w:color w:val="auto"/>
        </w:rPr>
        <w:t xml:space="preserve">e </w:t>
      </w:r>
      <w:r w:rsidR="006A5E0D">
        <w:rPr>
          <w:color w:val="auto"/>
        </w:rPr>
        <w:t xml:space="preserve">the 58,000 homeless households </w:t>
      </w:r>
      <w:r w:rsidR="00D16632">
        <w:rPr>
          <w:color w:val="auto"/>
        </w:rPr>
        <w:t xml:space="preserve">they currently have </w:t>
      </w:r>
      <w:r w:rsidR="00BA1F87">
        <w:rPr>
          <w:color w:val="auto"/>
        </w:rPr>
        <w:t>placed in temporary accommodation</w:t>
      </w:r>
      <w:r w:rsidR="008B4729">
        <w:rPr>
          <w:color w:val="auto"/>
        </w:rPr>
        <w:t>.</w:t>
      </w:r>
      <w:r w:rsidR="00A63ADC">
        <w:rPr>
          <w:color w:val="auto"/>
        </w:rPr>
        <w:t xml:space="preserve"> </w:t>
      </w:r>
      <w:r w:rsidR="00B752BD">
        <w:rPr>
          <w:color w:val="auto"/>
        </w:rPr>
        <w:t xml:space="preserve"> </w:t>
      </w:r>
      <w:r w:rsidR="00B43DB4">
        <w:rPr>
          <w:color w:val="auto"/>
        </w:rPr>
        <w:t>Also, b</w:t>
      </w:r>
      <w:r w:rsidR="00B752BD">
        <w:rPr>
          <w:color w:val="auto"/>
        </w:rPr>
        <w:t>oroughs are already reporting that this proposal is having an impact on local land values, with the risk that the resultant increase in land values will carry forward, making affordable housing undeliverable even after the proposed temporary arrangement ends.</w:t>
      </w:r>
    </w:p>
    <w:p w14:paraId="286EA5D6" w14:textId="2B5400B8" w:rsidR="00A63ADC" w:rsidRDefault="00A63ADC" w:rsidP="004120BB">
      <w:pPr>
        <w:pStyle w:val="ListParagraph"/>
        <w:jc w:val="both"/>
        <w:rPr>
          <w:color w:val="auto"/>
        </w:rPr>
      </w:pPr>
    </w:p>
    <w:p w14:paraId="04C250F2" w14:textId="1F55F16F" w:rsidR="00D95013" w:rsidRPr="0022698E" w:rsidRDefault="003C5288" w:rsidP="0022698E">
      <w:pPr>
        <w:pStyle w:val="ListParagraph"/>
        <w:numPr>
          <w:ilvl w:val="0"/>
          <w:numId w:val="7"/>
        </w:numPr>
        <w:jc w:val="both"/>
        <w:rPr>
          <w:b/>
          <w:bCs/>
          <w:color w:val="auto"/>
          <w:u w:val="single"/>
        </w:rPr>
      </w:pPr>
      <w:r w:rsidRPr="0022698E">
        <w:rPr>
          <w:b/>
          <w:bCs/>
          <w:color w:val="auto"/>
          <w:u w:val="single"/>
        </w:rPr>
        <w:t xml:space="preserve">Evidence to justify the </w:t>
      </w:r>
      <w:r w:rsidR="00E0582A" w:rsidRPr="0022698E">
        <w:rPr>
          <w:b/>
          <w:bCs/>
          <w:color w:val="auto"/>
          <w:u w:val="single"/>
        </w:rPr>
        <w:t xml:space="preserve">introduction of </w:t>
      </w:r>
      <w:r w:rsidR="009800C1" w:rsidRPr="0022698E">
        <w:rPr>
          <w:b/>
          <w:bCs/>
          <w:color w:val="auto"/>
          <w:u w:val="single"/>
        </w:rPr>
        <w:t xml:space="preserve">a </w:t>
      </w:r>
      <w:r w:rsidR="00C46921" w:rsidRPr="0022698E">
        <w:rPr>
          <w:b/>
          <w:bCs/>
          <w:color w:val="auto"/>
          <w:u w:val="single"/>
        </w:rPr>
        <w:t xml:space="preserve">temporary </w:t>
      </w:r>
      <w:r w:rsidR="007A64D8" w:rsidRPr="0022698E">
        <w:rPr>
          <w:b/>
          <w:bCs/>
          <w:color w:val="auto"/>
          <w:u w:val="single"/>
        </w:rPr>
        <w:t>increase in site thre</w:t>
      </w:r>
      <w:r w:rsidR="009800C1" w:rsidRPr="0022698E">
        <w:rPr>
          <w:b/>
          <w:bCs/>
          <w:color w:val="auto"/>
          <w:u w:val="single"/>
        </w:rPr>
        <w:t>s</w:t>
      </w:r>
      <w:r w:rsidR="007A64D8" w:rsidRPr="0022698E">
        <w:rPr>
          <w:b/>
          <w:bCs/>
          <w:color w:val="auto"/>
          <w:u w:val="single"/>
        </w:rPr>
        <w:t>hold</w:t>
      </w:r>
      <w:r w:rsidR="009800C1" w:rsidRPr="0022698E">
        <w:rPr>
          <w:b/>
          <w:bCs/>
          <w:color w:val="auto"/>
          <w:u w:val="single"/>
        </w:rPr>
        <w:t xml:space="preserve">s for affordable housing </w:t>
      </w:r>
      <w:r w:rsidR="004B29BC" w:rsidRPr="0022698E">
        <w:rPr>
          <w:b/>
          <w:bCs/>
          <w:color w:val="auto"/>
          <w:u w:val="single"/>
        </w:rPr>
        <w:t xml:space="preserve">is not </w:t>
      </w:r>
      <w:r w:rsidR="00D20358" w:rsidRPr="0022698E">
        <w:rPr>
          <w:b/>
          <w:bCs/>
          <w:color w:val="auto"/>
          <w:u w:val="single"/>
        </w:rPr>
        <w:t xml:space="preserve">provided and </w:t>
      </w:r>
      <w:bookmarkStart w:id="3" w:name="_Hlk51414195"/>
      <w:r w:rsidR="0005057F" w:rsidRPr="0022698E">
        <w:rPr>
          <w:b/>
          <w:bCs/>
          <w:color w:val="auto"/>
          <w:u w:val="single"/>
        </w:rPr>
        <w:t xml:space="preserve">the criteria </w:t>
      </w:r>
      <w:r w:rsidR="008E293B" w:rsidRPr="0022698E">
        <w:rPr>
          <w:b/>
          <w:bCs/>
          <w:color w:val="auto"/>
          <w:u w:val="single"/>
        </w:rPr>
        <w:t xml:space="preserve">for </w:t>
      </w:r>
      <w:r w:rsidR="000D0821" w:rsidRPr="0022698E">
        <w:rPr>
          <w:b/>
          <w:bCs/>
          <w:color w:val="auto"/>
          <w:u w:val="single"/>
        </w:rPr>
        <w:t>assess</w:t>
      </w:r>
      <w:r w:rsidR="001705BB" w:rsidRPr="0022698E">
        <w:rPr>
          <w:b/>
          <w:bCs/>
          <w:color w:val="auto"/>
          <w:u w:val="single"/>
        </w:rPr>
        <w:t xml:space="preserve">ing </w:t>
      </w:r>
      <w:r w:rsidR="000D0821" w:rsidRPr="0022698E">
        <w:rPr>
          <w:b/>
          <w:bCs/>
          <w:color w:val="auto"/>
          <w:u w:val="single"/>
        </w:rPr>
        <w:t xml:space="preserve">whether </w:t>
      </w:r>
      <w:r w:rsidR="00327421" w:rsidRPr="0022698E">
        <w:rPr>
          <w:b/>
          <w:bCs/>
          <w:color w:val="auto"/>
          <w:u w:val="single"/>
        </w:rPr>
        <w:t xml:space="preserve">the economy has recovered </w:t>
      </w:r>
      <w:r w:rsidR="00DE59CF" w:rsidRPr="0022698E">
        <w:rPr>
          <w:b/>
          <w:bCs/>
          <w:color w:val="auto"/>
          <w:u w:val="single"/>
        </w:rPr>
        <w:t>sufficiently</w:t>
      </w:r>
      <w:r w:rsidR="000115A2" w:rsidRPr="0022698E">
        <w:rPr>
          <w:b/>
          <w:bCs/>
          <w:color w:val="auto"/>
          <w:u w:val="single"/>
        </w:rPr>
        <w:t xml:space="preserve"> </w:t>
      </w:r>
      <w:r w:rsidR="006724D2" w:rsidRPr="0022698E">
        <w:rPr>
          <w:b/>
          <w:bCs/>
          <w:color w:val="auto"/>
          <w:u w:val="single"/>
        </w:rPr>
        <w:t xml:space="preserve">to </w:t>
      </w:r>
      <w:r w:rsidR="007D2EC1" w:rsidRPr="0022698E">
        <w:rPr>
          <w:b/>
          <w:bCs/>
          <w:color w:val="auto"/>
          <w:u w:val="single"/>
        </w:rPr>
        <w:t xml:space="preserve">end </w:t>
      </w:r>
      <w:r w:rsidR="000115A2" w:rsidRPr="0022698E">
        <w:rPr>
          <w:b/>
          <w:bCs/>
          <w:color w:val="auto"/>
          <w:u w:val="single"/>
        </w:rPr>
        <w:t>the</w:t>
      </w:r>
      <w:r w:rsidR="00DB1B5F" w:rsidRPr="0022698E">
        <w:rPr>
          <w:b/>
          <w:bCs/>
          <w:color w:val="auto"/>
          <w:u w:val="single"/>
        </w:rPr>
        <w:t>se</w:t>
      </w:r>
      <w:r w:rsidR="000115A2" w:rsidRPr="0022698E">
        <w:rPr>
          <w:b/>
          <w:bCs/>
          <w:color w:val="auto"/>
          <w:u w:val="single"/>
        </w:rPr>
        <w:t xml:space="preserve"> temporary</w:t>
      </w:r>
      <w:r w:rsidR="00DB1B5F" w:rsidRPr="0022698E">
        <w:rPr>
          <w:b/>
          <w:bCs/>
          <w:color w:val="auto"/>
          <w:u w:val="single"/>
        </w:rPr>
        <w:t xml:space="preserve"> arrangements </w:t>
      </w:r>
      <w:bookmarkEnd w:id="3"/>
      <w:r w:rsidR="00A1295A" w:rsidRPr="0022698E">
        <w:rPr>
          <w:b/>
          <w:bCs/>
          <w:color w:val="auto"/>
          <w:u w:val="single"/>
        </w:rPr>
        <w:t xml:space="preserve">are not </w:t>
      </w:r>
      <w:r w:rsidR="0099623E" w:rsidRPr="0022698E">
        <w:rPr>
          <w:b/>
          <w:bCs/>
          <w:color w:val="auto"/>
          <w:u w:val="single"/>
        </w:rPr>
        <w:t>identified</w:t>
      </w:r>
      <w:r w:rsidR="00A1295A" w:rsidRPr="0022698E">
        <w:rPr>
          <w:b/>
          <w:bCs/>
          <w:color w:val="auto"/>
          <w:u w:val="single"/>
        </w:rPr>
        <w:t xml:space="preserve">. </w:t>
      </w:r>
    </w:p>
    <w:p w14:paraId="0FA3C6E6" w14:textId="465A4218" w:rsidR="00542CA8" w:rsidRDefault="00D81C66" w:rsidP="00EC4A00">
      <w:pPr>
        <w:pStyle w:val="ListParagraph"/>
        <w:jc w:val="both"/>
        <w:rPr>
          <w:color w:val="auto"/>
        </w:rPr>
      </w:pPr>
      <w:bookmarkStart w:id="4" w:name="_Hlk51757005"/>
      <w:r w:rsidRPr="00D81C66">
        <w:rPr>
          <w:color w:val="auto"/>
        </w:rPr>
        <w:t>The government</w:t>
      </w:r>
      <w:r w:rsidR="00B46F33">
        <w:rPr>
          <w:color w:val="auto"/>
        </w:rPr>
        <w:t>’s</w:t>
      </w:r>
      <w:r w:rsidRPr="00D81C66">
        <w:rPr>
          <w:color w:val="auto"/>
        </w:rPr>
        <w:t xml:space="preserve"> proposals </w:t>
      </w:r>
      <w:r w:rsidR="00A756F5">
        <w:rPr>
          <w:color w:val="auto"/>
        </w:rPr>
        <w:t xml:space="preserve">for a temporary increase in site thresholds </w:t>
      </w:r>
      <w:r w:rsidR="000104DD">
        <w:rPr>
          <w:color w:val="auto"/>
        </w:rPr>
        <w:t xml:space="preserve">for affordable housing </w:t>
      </w:r>
      <w:r w:rsidR="00A946B4">
        <w:rPr>
          <w:color w:val="auto"/>
        </w:rPr>
        <w:t xml:space="preserve">are justified on the basis they </w:t>
      </w:r>
      <w:r w:rsidR="002106D8">
        <w:rPr>
          <w:color w:val="auto"/>
        </w:rPr>
        <w:t>will support SME build</w:t>
      </w:r>
      <w:r w:rsidR="000104DD">
        <w:rPr>
          <w:color w:val="auto"/>
        </w:rPr>
        <w:t>e</w:t>
      </w:r>
      <w:r w:rsidR="002106D8">
        <w:rPr>
          <w:color w:val="auto"/>
        </w:rPr>
        <w:t>rs as the</w:t>
      </w:r>
      <w:r w:rsidR="00497A13">
        <w:rPr>
          <w:color w:val="auto"/>
        </w:rPr>
        <w:t xml:space="preserve"> economy recovers from the impact of covid-19.  </w:t>
      </w:r>
      <w:r w:rsidR="00B230EF">
        <w:rPr>
          <w:color w:val="auto"/>
        </w:rPr>
        <w:t xml:space="preserve">However, the proposals </w:t>
      </w:r>
      <w:r w:rsidR="00DC0294">
        <w:rPr>
          <w:color w:val="auto"/>
        </w:rPr>
        <w:t xml:space="preserve">do </w:t>
      </w:r>
      <w:r w:rsidR="00B230EF">
        <w:rPr>
          <w:color w:val="auto"/>
        </w:rPr>
        <w:t xml:space="preserve">not provide </w:t>
      </w:r>
      <w:r w:rsidR="00DC0294">
        <w:rPr>
          <w:color w:val="auto"/>
        </w:rPr>
        <w:t xml:space="preserve">any evidence of the need for this change nor </w:t>
      </w:r>
      <w:r w:rsidR="005D66BE">
        <w:rPr>
          <w:color w:val="auto"/>
        </w:rPr>
        <w:t xml:space="preserve">of its likely effectiveness.  </w:t>
      </w:r>
      <w:r w:rsidR="00A72376">
        <w:rPr>
          <w:color w:val="auto"/>
        </w:rPr>
        <w:t>Th</w:t>
      </w:r>
      <w:r w:rsidR="00B823DD">
        <w:rPr>
          <w:color w:val="auto"/>
        </w:rPr>
        <w:t xml:space="preserve">is is </w:t>
      </w:r>
      <w:r w:rsidR="000F6444">
        <w:rPr>
          <w:color w:val="auto"/>
        </w:rPr>
        <w:t xml:space="preserve">pertinent </w:t>
      </w:r>
      <w:r w:rsidR="00B823DD">
        <w:rPr>
          <w:color w:val="auto"/>
        </w:rPr>
        <w:t xml:space="preserve">as there </w:t>
      </w:r>
      <w:r w:rsidR="00111805">
        <w:rPr>
          <w:color w:val="auto"/>
        </w:rPr>
        <w:t xml:space="preserve">are </w:t>
      </w:r>
      <w:proofErr w:type="gramStart"/>
      <w:r w:rsidR="003F55C0">
        <w:rPr>
          <w:color w:val="auto"/>
        </w:rPr>
        <w:t>a number of</w:t>
      </w:r>
      <w:proofErr w:type="gramEnd"/>
      <w:r w:rsidR="003F55C0">
        <w:rPr>
          <w:color w:val="auto"/>
        </w:rPr>
        <w:t xml:space="preserve"> </w:t>
      </w:r>
      <w:r w:rsidR="00542CA8">
        <w:rPr>
          <w:color w:val="auto"/>
        </w:rPr>
        <w:t>contrary arguments:</w:t>
      </w:r>
    </w:p>
    <w:p w14:paraId="0164C8AB" w14:textId="0FA670FB" w:rsidR="00EC4A00" w:rsidRDefault="00F7795C" w:rsidP="0034246B">
      <w:pPr>
        <w:pStyle w:val="ListParagraph"/>
        <w:numPr>
          <w:ilvl w:val="0"/>
          <w:numId w:val="10"/>
        </w:numPr>
        <w:jc w:val="both"/>
        <w:rPr>
          <w:color w:val="auto"/>
        </w:rPr>
      </w:pPr>
      <w:r w:rsidRPr="0034246B">
        <w:rPr>
          <w:color w:val="auto"/>
        </w:rPr>
        <w:t xml:space="preserve">Boroughs report </w:t>
      </w:r>
      <w:r w:rsidR="00715207" w:rsidRPr="0034246B">
        <w:rPr>
          <w:color w:val="auto"/>
        </w:rPr>
        <w:t xml:space="preserve">there are schemes </w:t>
      </w:r>
      <w:r w:rsidR="00210AEA" w:rsidRPr="0034246B">
        <w:rPr>
          <w:color w:val="auto"/>
        </w:rPr>
        <w:t xml:space="preserve">with 10-50 units </w:t>
      </w:r>
      <w:r w:rsidR="00157BF0">
        <w:rPr>
          <w:color w:val="auto"/>
        </w:rPr>
        <w:t xml:space="preserve">currently </w:t>
      </w:r>
      <w:r w:rsidR="00210AEA">
        <w:rPr>
          <w:color w:val="auto"/>
        </w:rPr>
        <w:t xml:space="preserve">being </w:t>
      </w:r>
      <w:r w:rsidR="00157BF0">
        <w:rPr>
          <w:color w:val="auto"/>
        </w:rPr>
        <w:t>p</w:t>
      </w:r>
      <w:r w:rsidR="00210AEA">
        <w:rPr>
          <w:color w:val="auto"/>
        </w:rPr>
        <w:t xml:space="preserve">rogressed </w:t>
      </w:r>
      <w:r w:rsidR="00E363B3">
        <w:rPr>
          <w:color w:val="auto"/>
        </w:rPr>
        <w:t>by S</w:t>
      </w:r>
      <w:r w:rsidR="00E02A91">
        <w:rPr>
          <w:color w:val="auto"/>
        </w:rPr>
        <w:t xml:space="preserve">ME </w:t>
      </w:r>
      <w:r w:rsidR="001F1181">
        <w:rPr>
          <w:color w:val="auto"/>
        </w:rPr>
        <w:t xml:space="preserve">builders </w:t>
      </w:r>
      <w:r w:rsidR="00376B9A">
        <w:rPr>
          <w:color w:val="auto"/>
        </w:rPr>
        <w:t xml:space="preserve">with an affordable housing </w:t>
      </w:r>
      <w:r w:rsidR="005F55AD">
        <w:rPr>
          <w:color w:val="auto"/>
        </w:rPr>
        <w:t>component</w:t>
      </w:r>
      <w:r w:rsidR="00111805">
        <w:rPr>
          <w:color w:val="auto"/>
        </w:rPr>
        <w:t>,</w:t>
      </w:r>
      <w:r w:rsidR="005F55AD">
        <w:rPr>
          <w:color w:val="auto"/>
        </w:rPr>
        <w:t xml:space="preserve"> </w:t>
      </w:r>
      <w:r w:rsidR="00E363B3">
        <w:rPr>
          <w:color w:val="auto"/>
        </w:rPr>
        <w:t xml:space="preserve">which </w:t>
      </w:r>
      <w:r w:rsidR="00186E1A">
        <w:rPr>
          <w:color w:val="auto"/>
        </w:rPr>
        <w:t xml:space="preserve">has been subject to viability testing. </w:t>
      </w:r>
    </w:p>
    <w:p w14:paraId="59952699" w14:textId="73CEA643" w:rsidR="004D3B79" w:rsidRDefault="004D3B79" w:rsidP="0034246B">
      <w:pPr>
        <w:pStyle w:val="ListParagraph"/>
        <w:numPr>
          <w:ilvl w:val="0"/>
          <w:numId w:val="10"/>
        </w:numPr>
        <w:jc w:val="both"/>
        <w:rPr>
          <w:color w:val="auto"/>
        </w:rPr>
      </w:pPr>
      <w:r>
        <w:rPr>
          <w:color w:val="auto"/>
        </w:rPr>
        <w:t xml:space="preserve">Boroughs report that it is not just SME builders </w:t>
      </w:r>
      <w:r w:rsidR="00C15582">
        <w:rPr>
          <w:color w:val="auto"/>
        </w:rPr>
        <w:t xml:space="preserve">who develop small sites, but also major </w:t>
      </w:r>
      <w:r w:rsidR="005B13A1">
        <w:rPr>
          <w:color w:val="auto"/>
        </w:rPr>
        <w:t xml:space="preserve">national </w:t>
      </w:r>
      <w:r w:rsidR="00C15582">
        <w:rPr>
          <w:color w:val="auto"/>
        </w:rPr>
        <w:t xml:space="preserve">developers.  </w:t>
      </w:r>
    </w:p>
    <w:p w14:paraId="6772341A" w14:textId="20ADA124" w:rsidR="005B13A1" w:rsidRDefault="005B13A1" w:rsidP="0034246B">
      <w:pPr>
        <w:pStyle w:val="ListParagraph"/>
        <w:numPr>
          <w:ilvl w:val="0"/>
          <w:numId w:val="10"/>
        </w:numPr>
        <w:jc w:val="both"/>
        <w:rPr>
          <w:color w:val="auto"/>
        </w:rPr>
      </w:pPr>
      <w:r>
        <w:rPr>
          <w:color w:val="auto"/>
        </w:rPr>
        <w:t xml:space="preserve">The </w:t>
      </w:r>
      <w:r w:rsidR="00111805">
        <w:rPr>
          <w:color w:val="auto"/>
        </w:rPr>
        <w:t xml:space="preserve">implied </w:t>
      </w:r>
      <w:r>
        <w:rPr>
          <w:color w:val="auto"/>
        </w:rPr>
        <w:t>assumption that affordable housing is necessarily a</w:t>
      </w:r>
      <w:r w:rsidR="000768CD">
        <w:rPr>
          <w:color w:val="auto"/>
        </w:rPr>
        <w:t xml:space="preserve">n impediment to development </w:t>
      </w:r>
      <w:r w:rsidR="005B2345">
        <w:rPr>
          <w:color w:val="auto"/>
        </w:rPr>
        <w:t xml:space="preserve">is </w:t>
      </w:r>
      <w:r w:rsidR="006E0649">
        <w:rPr>
          <w:color w:val="auto"/>
        </w:rPr>
        <w:t>open to question. F</w:t>
      </w:r>
      <w:r w:rsidR="00DB3FEF">
        <w:rPr>
          <w:color w:val="auto"/>
        </w:rPr>
        <w:t xml:space="preserve">or example, </w:t>
      </w:r>
      <w:r w:rsidR="002D2BB3">
        <w:rPr>
          <w:color w:val="auto"/>
        </w:rPr>
        <w:t xml:space="preserve">the </w:t>
      </w:r>
      <w:r w:rsidR="00E65BF8">
        <w:rPr>
          <w:color w:val="auto"/>
        </w:rPr>
        <w:t>negotiated p</w:t>
      </w:r>
      <w:r w:rsidR="005B2345">
        <w:rPr>
          <w:color w:val="auto"/>
        </w:rPr>
        <w:t xml:space="preserve">urchase </w:t>
      </w:r>
      <w:r w:rsidR="00002063">
        <w:rPr>
          <w:color w:val="auto"/>
        </w:rPr>
        <w:t xml:space="preserve">of the affordable housing </w:t>
      </w:r>
      <w:r w:rsidR="00C91A1C">
        <w:rPr>
          <w:color w:val="auto"/>
        </w:rPr>
        <w:t xml:space="preserve">component </w:t>
      </w:r>
      <w:r w:rsidR="00002063">
        <w:rPr>
          <w:color w:val="auto"/>
        </w:rPr>
        <w:t xml:space="preserve">by a housing association or local authority could </w:t>
      </w:r>
      <w:r w:rsidR="00295C03">
        <w:rPr>
          <w:color w:val="auto"/>
        </w:rPr>
        <w:t xml:space="preserve">substantially improve the viability and deliverability of a small scheme.  </w:t>
      </w:r>
    </w:p>
    <w:p w14:paraId="400B9C39" w14:textId="77777777" w:rsidR="00F82F27" w:rsidRDefault="00F82F27" w:rsidP="00F82F27">
      <w:pPr>
        <w:pStyle w:val="ListParagraph"/>
        <w:ind w:left="1080"/>
        <w:jc w:val="both"/>
        <w:rPr>
          <w:color w:val="auto"/>
        </w:rPr>
      </w:pPr>
    </w:p>
    <w:p w14:paraId="359120D5" w14:textId="4BDC5FE1" w:rsidR="00FB36A5" w:rsidRPr="00CF51D0" w:rsidRDefault="007F7AA0" w:rsidP="00FB36A5">
      <w:pPr>
        <w:ind w:left="720"/>
        <w:jc w:val="both"/>
        <w:rPr>
          <w:color w:val="auto"/>
        </w:rPr>
      </w:pPr>
      <w:r>
        <w:rPr>
          <w:color w:val="auto"/>
        </w:rPr>
        <w:t xml:space="preserve">The government’s proposals </w:t>
      </w:r>
      <w:r w:rsidR="00692EF3">
        <w:rPr>
          <w:color w:val="auto"/>
        </w:rPr>
        <w:t xml:space="preserve">do not </w:t>
      </w:r>
      <w:r w:rsidR="00CF51D0">
        <w:rPr>
          <w:color w:val="auto"/>
        </w:rPr>
        <w:t xml:space="preserve">identify </w:t>
      </w:r>
      <w:r w:rsidR="00692EF3" w:rsidRPr="00CF51D0">
        <w:rPr>
          <w:color w:val="auto"/>
        </w:rPr>
        <w:t>criteria for assessing whether the economy has recovered sufficiently to end these temporary arrangements</w:t>
      </w:r>
      <w:r w:rsidR="00907392">
        <w:rPr>
          <w:color w:val="auto"/>
        </w:rPr>
        <w:t xml:space="preserve">, with </w:t>
      </w:r>
      <w:r w:rsidR="005E070A">
        <w:rPr>
          <w:color w:val="auto"/>
        </w:rPr>
        <w:t xml:space="preserve">the </w:t>
      </w:r>
      <w:r w:rsidR="00907392">
        <w:rPr>
          <w:color w:val="auto"/>
        </w:rPr>
        <w:t xml:space="preserve">risk </w:t>
      </w:r>
      <w:r w:rsidR="005E070A">
        <w:rPr>
          <w:color w:val="auto"/>
        </w:rPr>
        <w:t xml:space="preserve">they </w:t>
      </w:r>
      <w:r w:rsidR="00AE2870">
        <w:rPr>
          <w:color w:val="auto"/>
        </w:rPr>
        <w:t xml:space="preserve">would </w:t>
      </w:r>
      <w:r w:rsidR="005E070A">
        <w:rPr>
          <w:color w:val="auto"/>
        </w:rPr>
        <w:t xml:space="preserve">drift on </w:t>
      </w:r>
      <w:r w:rsidR="00FC78FA">
        <w:rPr>
          <w:color w:val="auto"/>
        </w:rPr>
        <w:t xml:space="preserve">with no clear </w:t>
      </w:r>
      <w:r w:rsidR="00C51C94">
        <w:rPr>
          <w:color w:val="auto"/>
        </w:rPr>
        <w:t xml:space="preserve">trigger point or </w:t>
      </w:r>
      <w:r w:rsidR="00FC78FA">
        <w:rPr>
          <w:color w:val="auto"/>
        </w:rPr>
        <w:t xml:space="preserve">mechanism for reinstating </w:t>
      </w:r>
      <w:r w:rsidR="003E1045">
        <w:rPr>
          <w:color w:val="auto"/>
        </w:rPr>
        <w:t xml:space="preserve">the current </w:t>
      </w:r>
      <w:proofErr w:type="gramStart"/>
      <w:r w:rsidR="00BD7EE3">
        <w:rPr>
          <w:color w:val="auto"/>
        </w:rPr>
        <w:t>1</w:t>
      </w:r>
      <w:r w:rsidR="006E0649">
        <w:rPr>
          <w:color w:val="auto"/>
        </w:rPr>
        <w:t xml:space="preserve">0 </w:t>
      </w:r>
      <w:r w:rsidR="00BD7EE3">
        <w:rPr>
          <w:color w:val="auto"/>
        </w:rPr>
        <w:t>unit</w:t>
      </w:r>
      <w:proofErr w:type="gramEnd"/>
      <w:r w:rsidR="00BD7EE3">
        <w:rPr>
          <w:color w:val="auto"/>
        </w:rPr>
        <w:t xml:space="preserve"> </w:t>
      </w:r>
      <w:r w:rsidR="003E1045">
        <w:rPr>
          <w:color w:val="auto"/>
        </w:rPr>
        <w:t>threshold</w:t>
      </w:r>
      <w:r w:rsidR="00BD7EE3">
        <w:rPr>
          <w:color w:val="auto"/>
        </w:rPr>
        <w:t xml:space="preserve">. </w:t>
      </w:r>
      <w:r w:rsidR="003E1045">
        <w:rPr>
          <w:color w:val="auto"/>
        </w:rPr>
        <w:t xml:space="preserve">  </w:t>
      </w:r>
    </w:p>
    <w:p w14:paraId="5D568ED8" w14:textId="4A684723" w:rsidR="00EC4A00" w:rsidRPr="00D81C66" w:rsidRDefault="00EC4A00" w:rsidP="00EC4A00">
      <w:pPr>
        <w:pStyle w:val="ListParagraph"/>
        <w:jc w:val="both"/>
        <w:rPr>
          <w:i/>
          <w:iCs/>
          <w:color w:val="auto"/>
        </w:rPr>
      </w:pPr>
    </w:p>
    <w:p w14:paraId="6B1FACED" w14:textId="74BF42B9" w:rsidR="00986E43" w:rsidRPr="00572BAC" w:rsidRDefault="00986E43" w:rsidP="000C70CE">
      <w:pPr>
        <w:pStyle w:val="Heading1"/>
        <w:jc w:val="both"/>
      </w:pPr>
      <w:bookmarkStart w:id="5" w:name="_Hlk51245398"/>
      <w:bookmarkEnd w:id="4"/>
      <w:r w:rsidRPr="00572BAC">
        <w:t>Responses</w:t>
      </w:r>
      <w:bookmarkEnd w:id="5"/>
      <w:r w:rsidRPr="00572BAC">
        <w:t xml:space="preserve"> to Consultation Questions </w:t>
      </w:r>
    </w:p>
    <w:p w14:paraId="06931BE9" w14:textId="77777777" w:rsidR="00A0421A" w:rsidRPr="00A0421A" w:rsidRDefault="0037390B" w:rsidP="00A0421A">
      <w:pPr>
        <w:jc w:val="both"/>
        <w:rPr>
          <w:b/>
          <w:bCs/>
          <w:sz w:val="24"/>
          <w:szCs w:val="24"/>
        </w:rPr>
      </w:pPr>
      <w:r w:rsidRPr="00572BAC">
        <w:rPr>
          <w:b/>
          <w:bCs/>
          <w:sz w:val="24"/>
          <w:szCs w:val="24"/>
        </w:rPr>
        <w:t xml:space="preserve">Question 1: </w:t>
      </w:r>
      <w:r w:rsidR="00A0421A" w:rsidRPr="00A0421A">
        <w:rPr>
          <w:b/>
          <w:bCs/>
          <w:sz w:val="24"/>
          <w:szCs w:val="24"/>
        </w:rPr>
        <w:t xml:space="preserve">Do you agree that planning practice guidance should be amended to specify that the appropriate baseline for the standard method is </w:t>
      </w:r>
      <w:r w:rsidR="00A0421A" w:rsidRPr="00A0421A">
        <w:rPr>
          <w:b/>
          <w:bCs/>
          <w:i/>
          <w:sz w:val="24"/>
          <w:szCs w:val="24"/>
        </w:rPr>
        <w:t>whichever is the higher of</w:t>
      </w:r>
      <w:r w:rsidR="00A0421A" w:rsidRPr="00A0421A">
        <w:rPr>
          <w:b/>
          <w:bCs/>
          <w:sz w:val="24"/>
          <w:szCs w:val="24"/>
        </w:rPr>
        <w:t xml:space="preserve"> the level of 0.5% of housing stock in each local authority area OR the latest household projections averaged over a 10-year period? </w:t>
      </w:r>
    </w:p>
    <w:p w14:paraId="4008EBE0" w14:textId="049D5F31" w:rsidR="0037390B" w:rsidRPr="00572BAC" w:rsidRDefault="0037390B" w:rsidP="000C70CE">
      <w:pPr>
        <w:jc w:val="both"/>
        <w:rPr>
          <w:b/>
          <w:bCs/>
          <w:sz w:val="24"/>
          <w:szCs w:val="24"/>
        </w:rPr>
      </w:pPr>
    </w:p>
    <w:p w14:paraId="74DE7AC1" w14:textId="16A1F41E" w:rsidR="000C70CE" w:rsidRDefault="001C1590" w:rsidP="00D91430">
      <w:pPr>
        <w:jc w:val="both"/>
      </w:pPr>
      <w:r w:rsidRPr="00572BAC">
        <w:rPr>
          <w:b/>
          <w:bCs/>
          <w:color w:val="auto"/>
        </w:rPr>
        <w:t>Response to Question 1:</w:t>
      </w:r>
      <w:r w:rsidR="00A265E2" w:rsidRPr="00572BAC">
        <w:t xml:space="preserve"> </w:t>
      </w:r>
    </w:p>
    <w:p w14:paraId="3FC987A3" w14:textId="0BE3A605" w:rsidR="00CC0A6F" w:rsidRDefault="00241F84" w:rsidP="00D91430">
      <w:pPr>
        <w:jc w:val="both"/>
        <w:rPr>
          <w:color w:val="auto"/>
        </w:rPr>
      </w:pPr>
      <w:r>
        <w:rPr>
          <w:color w:val="auto"/>
        </w:rPr>
        <w:t>Our primary concern with the proposed changes to the s</w:t>
      </w:r>
      <w:r w:rsidR="009B540E">
        <w:rPr>
          <w:color w:val="auto"/>
        </w:rPr>
        <w:t>tandard method for a</w:t>
      </w:r>
      <w:r w:rsidR="003550EE">
        <w:rPr>
          <w:color w:val="auto"/>
        </w:rPr>
        <w:t>ssessing housing need (‘standard method</w:t>
      </w:r>
      <w:r>
        <w:rPr>
          <w:color w:val="auto"/>
        </w:rPr>
        <w:t xml:space="preserve">’) </w:t>
      </w:r>
      <w:r w:rsidR="004926C9">
        <w:rPr>
          <w:color w:val="auto"/>
        </w:rPr>
        <w:t xml:space="preserve">is </w:t>
      </w:r>
      <w:r w:rsidR="00CB48D0">
        <w:rPr>
          <w:color w:val="auto"/>
        </w:rPr>
        <w:t xml:space="preserve">whether </w:t>
      </w:r>
      <w:r w:rsidR="004926C9">
        <w:rPr>
          <w:color w:val="auto"/>
        </w:rPr>
        <w:t xml:space="preserve">the </w:t>
      </w:r>
      <w:r w:rsidR="00CB4FB3">
        <w:rPr>
          <w:color w:val="auto"/>
        </w:rPr>
        <w:t xml:space="preserve">housing </w:t>
      </w:r>
      <w:r w:rsidR="004926C9">
        <w:rPr>
          <w:color w:val="auto"/>
        </w:rPr>
        <w:t>targets the</w:t>
      </w:r>
      <w:r w:rsidR="00CB4FB3">
        <w:rPr>
          <w:color w:val="auto"/>
        </w:rPr>
        <w:t xml:space="preserve">y </w:t>
      </w:r>
      <w:r w:rsidR="004926C9">
        <w:rPr>
          <w:color w:val="auto"/>
        </w:rPr>
        <w:t>would gene</w:t>
      </w:r>
      <w:r w:rsidR="00600224">
        <w:rPr>
          <w:color w:val="auto"/>
        </w:rPr>
        <w:t>rate</w:t>
      </w:r>
      <w:r w:rsidR="00CB48D0">
        <w:rPr>
          <w:color w:val="auto"/>
        </w:rPr>
        <w:t xml:space="preserve"> are realistic and sustainable</w:t>
      </w:r>
      <w:r w:rsidR="00600224">
        <w:rPr>
          <w:color w:val="auto"/>
        </w:rPr>
        <w:t xml:space="preserve">.  </w:t>
      </w:r>
      <w:r w:rsidR="00D01D1F">
        <w:rPr>
          <w:color w:val="auto"/>
        </w:rPr>
        <w:t xml:space="preserve">We are concerned to note </w:t>
      </w:r>
      <w:r w:rsidR="0012128C">
        <w:rPr>
          <w:color w:val="auto"/>
        </w:rPr>
        <w:t>Lichfield’s calculation (based on the new standard method) of the targets for different parts of England in their study ‘How Many Homes</w:t>
      </w:r>
      <w:r w:rsidR="003867D9">
        <w:rPr>
          <w:color w:val="auto"/>
        </w:rPr>
        <w:t>?</w:t>
      </w:r>
      <w:r w:rsidR="0012128C">
        <w:rPr>
          <w:color w:val="auto"/>
        </w:rPr>
        <w:t xml:space="preserve"> </w:t>
      </w:r>
      <w:r w:rsidR="003867D9">
        <w:rPr>
          <w:color w:val="auto"/>
        </w:rPr>
        <w:t>T</w:t>
      </w:r>
      <w:r w:rsidR="0012128C">
        <w:rPr>
          <w:color w:val="auto"/>
        </w:rPr>
        <w:t xml:space="preserve">he New Standard Method’ (see link: </w:t>
      </w:r>
      <w:hyperlink r:id="rId12" w:history="1">
        <w:r w:rsidR="0012128C" w:rsidRPr="0048407F">
          <w:rPr>
            <w:rStyle w:val="Hyperlink"/>
          </w:rPr>
          <w:t>https://lichfields.uk/grow-renew-protect-planning-for-the-future/how-many-homes-the-new-standard-method/</w:t>
        </w:r>
      </w:hyperlink>
      <w:r w:rsidR="0012128C">
        <w:rPr>
          <w:color w:val="auto"/>
        </w:rPr>
        <w:t xml:space="preserve"> ). The Lichfield’s analysis shows that in areas outside London and South East the new standard method produces targets below current levels of delivery, whilst increasing targets by 61% in South East areas (outside London) and by 161% in London. </w:t>
      </w:r>
      <w:r w:rsidR="005C6389" w:rsidRPr="005C6389">
        <w:rPr>
          <w:color w:val="auto"/>
        </w:rPr>
        <w:t xml:space="preserve">This equates to an annual target of 93,500 new homes in London, which is substantially higher than the new London Plan target of 52,000 homes (reduced from 65,000 following the Inspectors’ report).  </w:t>
      </w:r>
      <w:r w:rsidR="00F25D2D">
        <w:rPr>
          <w:color w:val="auto"/>
        </w:rPr>
        <w:t xml:space="preserve">With long term delivery rates in London of 30,000 to 40,000 homes annually, the targets emerging from the proposed new standard method of housing need are unrealistic. </w:t>
      </w:r>
      <w:r w:rsidR="005C6389" w:rsidRPr="005C6389">
        <w:rPr>
          <w:color w:val="auto"/>
        </w:rPr>
        <w:t xml:space="preserve">Whilst London Councils strongly supports increased housing delivery, particularly of affordable housing, the targets set for boroughs need to be realistic, as described in our submissions to the London Plan Examination in Public.      </w:t>
      </w:r>
    </w:p>
    <w:p w14:paraId="146BF2E5" w14:textId="77777777" w:rsidR="00CC0A6F" w:rsidRDefault="00CC0A6F" w:rsidP="00D91430">
      <w:pPr>
        <w:jc w:val="both"/>
        <w:rPr>
          <w:color w:val="auto"/>
        </w:rPr>
      </w:pPr>
    </w:p>
    <w:p w14:paraId="521BC457" w14:textId="7007E7BD" w:rsidR="004E19DF" w:rsidRDefault="00CC0A6F" w:rsidP="0018249B">
      <w:pPr>
        <w:jc w:val="both"/>
        <w:rPr>
          <w:color w:val="auto"/>
        </w:rPr>
      </w:pPr>
      <w:r>
        <w:rPr>
          <w:color w:val="auto"/>
        </w:rPr>
        <w:t xml:space="preserve">We are </w:t>
      </w:r>
      <w:r w:rsidR="008241E4">
        <w:rPr>
          <w:color w:val="auto"/>
        </w:rPr>
        <w:t xml:space="preserve">concerned to note </w:t>
      </w:r>
      <w:r w:rsidR="00C740DD">
        <w:rPr>
          <w:color w:val="auto"/>
        </w:rPr>
        <w:t xml:space="preserve">from the </w:t>
      </w:r>
      <w:r w:rsidR="00731E3E">
        <w:rPr>
          <w:color w:val="auto"/>
        </w:rPr>
        <w:t xml:space="preserve">Lichfields study </w:t>
      </w:r>
      <w:r w:rsidR="008241E4">
        <w:rPr>
          <w:color w:val="auto"/>
        </w:rPr>
        <w:t xml:space="preserve">that the percentage increases in the targets for </w:t>
      </w:r>
      <w:r w:rsidR="00093BED">
        <w:rPr>
          <w:color w:val="auto"/>
        </w:rPr>
        <w:t xml:space="preserve">some </w:t>
      </w:r>
      <w:r w:rsidR="008241E4">
        <w:rPr>
          <w:color w:val="auto"/>
        </w:rPr>
        <w:t>ind</w:t>
      </w:r>
      <w:r w:rsidR="00093BED">
        <w:rPr>
          <w:color w:val="auto"/>
        </w:rPr>
        <w:t xml:space="preserve">ividual London boroughs are </w:t>
      </w:r>
      <w:r w:rsidR="00874088">
        <w:rPr>
          <w:color w:val="auto"/>
        </w:rPr>
        <w:t xml:space="preserve">even </w:t>
      </w:r>
      <w:r w:rsidR="00093BED">
        <w:rPr>
          <w:color w:val="auto"/>
        </w:rPr>
        <w:t>greater than the 161</w:t>
      </w:r>
      <w:r w:rsidR="00AB4906">
        <w:rPr>
          <w:color w:val="auto"/>
        </w:rPr>
        <w:t xml:space="preserve">% increase for London as a whole. </w:t>
      </w:r>
      <w:r w:rsidR="005C6389" w:rsidRPr="005C6389">
        <w:rPr>
          <w:color w:val="auto"/>
        </w:rPr>
        <w:t xml:space="preserve"> </w:t>
      </w:r>
    </w:p>
    <w:p w14:paraId="7A523C96" w14:textId="77777777" w:rsidR="0018249B" w:rsidRDefault="0018249B" w:rsidP="0018249B">
      <w:pPr>
        <w:jc w:val="both"/>
      </w:pPr>
    </w:p>
    <w:p w14:paraId="499C8BCC" w14:textId="05DA7D1C" w:rsidR="00F5406F" w:rsidRDefault="00F5406F" w:rsidP="0018249B">
      <w:pPr>
        <w:jc w:val="both"/>
      </w:pPr>
      <w:r>
        <w:t>We are concerned that the emphasis in this consultation is on the technical aspects of the formula.  We would welcome greater input to</w:t>
      </w:r>
      <w:r w:rsidR="0018249B">
        <w:t xml:space="preserve"> s</w:t>
      </w:r>
      <w:r w:rsidR="00E3452E">
        <w:t xml:space="preserve">etting the </w:t>
      </w:r>
      <w:r>
        <w:t>national policy objectives which sit behind the new standard method</w:t>
      </w:r>
      <w:r w:rsidR="0018249B">
        <w:t xml:space="preserve"> and e</w:t>
      </w:r>
      <w:r w:rsidR="004701AA">
        <w:t xml:space="preserve">stablishing </w:t>
      </w:r>
      <w:r>
        <w:t xml:space="preserve">consensus </w:t>
      </w:r>
      <w:r w:rsidR="001A6468">
        <w:t xml:space="preserve">on </w:t>
      </w:r>
      <w:r w:rsidR="008E5CEE">
        <w:t xml:space="preserve">how </w:t>
      </w:r>
      <w:r w:rsidR="00AC011E">
        <w:t xml:space="preserve">future </w:t>
      </w:r>
      <w:r w:rsidR="001A6468">
        <w:t xml:space="preserve">targets </w:t>
      </w:r>
      <w:r w:rsidR="008E5CEE">
        <w:t>could b</w:t>
      </w:r>
      <w:r>
        <w:t xml:space="preserve">est be </w:t>
      </w:r>
      <w:r w:rsidR="008E5CEE">
        <w:t xml:space="preserve">determined </w:t>
      </w:r>
      <w:r>
        <w:t>through transparent communication with local government</w:t>
      </w:r>
      <w:r w:rsidR="008E5CEE">
        <w:t xml:space="preserve"> and other stakeholders.</w:t>
      </w:r>
      <w:r>
        <w:t xml:space="preserve">  </w:t>
      </w:r>
    </w:p>
    <w:p w14:paraId="09688696" w14:textId="77777777" w:rsidR="004E19DF" w:rsidRDefault="004E19DF" w:rsidP="00D91430">
      <w:pPr>
        <w:jc w:val="both"/>
      </w:pPr>
    </w:p>
    <w:p w14:paraId="702273C5" w14:textId="77777777" w:rsidR="00465152" w:rsidRPr="00572BAC" w:rsidRDefault="00465152" w:rsidP="000C70CE">
      <w:pPr>
        <w:jc w:val="both"/>
        <w:rPr>
          <w:color w:val="7030A0"/>
        </w:rPr>
      </w:pPr>
    </w:p>
    <w:p w14:paraId="12E9E1DD" w14:textId="77777777" w:rsidR="00CF7FD8" w:rsidRPr="00CF7FD8" w:rsidRDefault="00087B44" w:rsidP="00CF7FD8">
      <w:pPr>
        <w:jc w:val="both"/>
        <w:rPr>
          <w:rFonts w:cstheme="minorHAnsi"/>
          <w:b/>
          <w:bCs/>
          <w:color w:val="auto"/>
          <w:sz w:val="24"/>
          <w:szCs w:val="24"/>
        </w:rPr>
      </w:pPr>
      <w:r w:rsidRPr="002533C7">
        <w:rPr>
          <w:rFonts w:cstheme="minorHAnsi"/>
          <w:b/>
          <w:bCs/>
          <w:color w:val="auto"/>
          <w:sz w:val="24"/>
          <w:szCs w:val="24"/>
        </w:rPr>
        <w:t xml:space="preserve">Question 2: </w:t>
      </w:r>
      <w:r w:rsidR="002A3A28">
        <w:rPr>
          <w:rFonts w:cstheme="minorHAnsi"/>
          <w:b/>
          <w:bCs/>
          <w:color w:val="auto"/>
          <w:sz w:val="24"/>
          <w:szCs w:val="24"/>
        </w:rPr>
        <w:t xml:space="preserve"> </w:t>
      </w:r>
      <w:r w:rsidR="00CF7FD8" w:rsidRPr="00CF7FD8">
        <w:rPr>
          <w:rFonts w:cstheme="minorHAnsi"/>
          <w:b/>
          <w:bCs/>
          <w:color w:val="auto"/>
          <w:sz w:val="24"/>
          <w:szCs w:val="24"/>
        </w:rPr>
        <w:t xml:space="preserve">In the stock element of the baseline, do you agree that 0.5% of existing stock for the standard method is appropriate? If not, please explain why. </w:t>
      </w:r>
    </w:p>
    <w:p w14:paraId="318A90B6" w14:textId="77777777" w:rsidR="00CF7FD8" w:rsidRPr="00CF7FD8" w:rsidRDefault="00CF7FD8" w:rsidP="00CF7FD8">
      <w:pPr>
        <w:jc w:val="both"/>
        <w:rPr>
          <w:rFonts w:cstheme="minorHAnsi"/>
          <w:b/>
          <w:bCs/>
          <w:color w:val="auto"/>
          <w:sz w:val="24"/>
          <w:szCs w:val="24"/>
        </w:rPr>
      </w:pPr>
      <w:r w:rsidRPr="00CF7FD8">
        <w:rPr>
          <w:rFonts w:cstheme="minorHAnsi"/>
          <w:b/>
          <w:bCs/>
          <w:color w:val="auto"/>
          <w:sz w:val="24"/>
          <w:szCs w:val="24"/>
        </w:rPr>
        <w:t xml:space="preserve"> </w:t>
      </w:r>
    </w:p>
    <w:p w14:paraId="202B5C95" w14:textId="0F5059DA" w:rsidR="00FB1121" w:rsidRPr="00572BAC" w:rsidRDefault="00087B44" w:rsidP="000C70CE">
      <w:pPr>
        <w:jc w:val="both"/>
        <w:rPr>
          <w:rFonts w:cstheme="minorHAnsi"/>
          <w:color w:val="auto"/>
        </w:rPr>
      </w:pPr>
      <w:bookmarkStart w:id="6" w:name="_Hlk50224939"/>
      <w:r w:rsidRPr="00572BAC">
        <w:rPr>
          <w:rFonts w:cstheme="minorHAnsi"/>
          <w:b/>
          <w:bCs/>
          <w:color w:val="auto"/>
        </w:rPr>
        <w:t>Response</w:t>
      </w:r>
      <w:r w:rsidR="005E2429" w:rsidRPr="00572BAC">
        <w:rPr>
          <w:rFonts w:cstheme="minorHAnsi"/>
          <w:b/>
          <w:bCs/>
          <w:color w:val="auto"/>
        </w:rPr>
        <w:t xml:space="preserve"> to </w:t>
      </w:r>
      <w:r w:rsidRPr="00572BAC">
        <w:rPr>
          <w:rFonts w:cstheme="minorHAnsi"/>
          <w:b/>
          <w:bCs/>
          <w:color w:val="auto"/>
        </w:rPr>
        <w:t>Question 2</w:t>
      </w:r>
      <w:r w:rsidR="005E2429" w:rsidRPr="00572BAC">
        <w:rPr>
          <w:rFonts w:cstheme="minorHAnsi"/>
          <w:b/>
          <w:bCs/>
          <w:color w:val="auto"/>
        </w:rPr>
        <w:t>:</w:t>
      </w:r>
      <w:r w:rsidRPr="00572BAC">
        <w:rPr>
          <w:rFonts w:cstheme="minorHAnsi"/>
          <w:b/>
          <w:bCs/>
          <w:color w:val="auto"/>
        </w:rPr>
        <w:t xml:space="preserve"> </w:t>
      </w:r>
    </w:p>
    <w:bookmarkEnd w:id="6"/>
    <w:p w14:paraId="1ED1C200" w14:textId="61CB9278" w:rsidR="00554A80" w:rsidRDefault="00B91D6D" w:rsidP="000C70CE">
      <w:pPr>
        <w:jc w:val="both"/>
        <w:rPr>
          <w:color w:val="auto"/>
        </w:rPr>
      </w:pPr>
      <w:r>
        <w:rPr>
          <w:color w:val="auto"/>
        </w:rPr>
        <w:t xml:space="preserve">As stated </w:t>
      </w:r>
      <w:r w:rsidR="00330551">
        <w:rPr>
          <w:color w:val="auto"/>
        </w:rPr>
        <w:t xml:space="preserve">in response to question 1, our primary concern is the </w:t>
      </w:r>
      <w:r w:rsidR="003C7F60">
        <w:rPr>
          <w:color w:val="auto"/>
        </w:rPr>
        <w:t xml:space="preserve">housing targets which the proposed </w:t>
      </w:r>
      <w:proofErr w:type="gramStart"/>
      <w:r w:rsidR="003C7F60">
        <w:rPr>
          <w:color w:val="auto"/>
        </w:rPr>
        <w:t>changes  w</w:t>
      </w:r>
      <w:r w:rsidR="00C545AA">
        <w:rPr>
          <w:color w:val="auto"/>
        </w:rPr>
        <w:t>ould</w:t>
      </w:r>
      <w:proofErr w:type="gramEnd"/>
      <w:r w:rsidR="00C545AA">
        <w:rPr>
          <w:color w:val="auto"/>
        </w:rPr>
        <w:t xml:space="preserve"> </w:t>
      </w:r>
      <w:r w:rsidR="003C7F60">
        <w:rPr>
          <w:color w:val="auto"/>
        </w:rPr>
        <w:t xml:space="preserve">generate.  As it stands, </w:t>
      </w:r>
      <w:r w:rsidR="00A45CA7">
        <w:rPr>
          <w:color w:val="auto"/>
        </w:rPr>
        <w:t xml:space="preserve">Lichfield’s calculations </w:t>
      </w:r>
      <w:r w:rsidR="00AD34A1">
        <w:rPr>
          <w:color w:val="auto"/>
        </w:rPr>
        <w:t xml:space="preserve">based on the </w:t>
      </w:r>
      <w:r w:rsidR="00997BA2">
        <w:rPr>
          <w:color w:val="auto"/>
        </w:rPr>
        <w:t xml:space="preserve">new </w:t>
      </w:r>
      <w:r w:rsidR="003837FE">
        <w:rPr>
          <w:color w:val="auto"/>
        </w:rPr>
        <w:t xml:space="preserve">standard method </w:t>
      </w:r>
      <w:r w:rsidR="00C12B3C">
        <w:rPr>
          <w:color w:val="auto"/>
        </w:rPr>
        <w:t xml:space="preserve">show </w:t>
      </w:r>
      <w:r w:rsidR="00BE4892">
        <w:rPr>
          <w:color w:val="auto"/>
        </w:rPr>
        <w:t xml:space="preserve">a target of 93,500 homes for London </w:t>
      </w:r>
      <w:r w:rsidR="00A86434">
        <w:rPr>
          <w:color w:val="auto"/>
        </w:rPr>
        <w:t xml:space="preserve">which represents a 161% increase.  </w:t>
      </w:r>
      <w:r w:rsidR="00737F9D">
        <w:rPr>
          <w:color w:val="auto"/>
        </w:rPr>
        <w:t xml:space="preserve">A target at this </w:t>
      </w:r>
      <w:r w:rsidR="008A638C">
        <w:rPr>
          <w:color w:val="auto"/>
        </w:rPr>
        <w:t xml:space="preserve">level is unrealistic </w:t>
      </w:r>
      <w:r w:rsidR="007E2D62">
        <w:rPr>
          <w:color w:val="auto"/>
        </w:rPr>
        <w:t xml:space="preserve">and considerably in excess of </w:t>
      </w:r>
      <w:r w:rsidR="008C1332">
        <w:rPr>
          <w:color w:val="auto"/>
        </w:rPr>
        <w:t xml:space="preserve">the 52,000 homes target which emerged from the recent London Plan Examination in Public.  </w:t>
      </w:r>
      <w:r w:rsidR="00737F9D">
        <w:rPr>
          <w:color w:val="auto"/>
        </w:rPr>
        <w:t xml:space="preserve"> </w:t>
      </w:r>
    </w:p>
    <w:p w14:paraId="1EF16AB8" w14:textId="2E97CCD1" w:rsidR="00554A80" w:rsidRDefault="00554A80" w:rsidP="000C70CE">
      <w:pPr>
        <w:jc w:val="both"/>
        <w:rPr>
          <w:color w:val="auto"/>
        </w:rPr>
      </w:pPr>
    </w:p>
    <w:p w14:paraId="37AE05E9" w14:textId="236D125A" w:rsidR="000C70CE" w:rsidRDefault="000C70CE" w:rsidP="000C70CE">
      <w:pPr>
        <w:jc w:val="both"/>
        <w:rPr>
          <w:color w:val="auto"/>
        </w:rPr>
      </w:pPr>
    </w:p>
    <w:p w14:paraId="01E60397" w14:textId="77777777" w:rsidR="00E8632A" w:rsidRDefault="00302C71" w:rsidP="005A2278">
      <w:pPr>
        <w:jc w:val="both"/>
        <w:rPr>
          <w:rFonts w:cstheme="minorHAnsi"/>
          <w:b/>
          <w:bCs/>
          <w:color w:val="auto"/>
          <w:sz w:val="24"/>
          <w:szCs w:val="24"/>
        </w:rPr>
      </w:pPr>
      <w:r w:rsidRPr="002533C7">
        <w:rPr>
          <w:rFonts w:cstheme="minorHAnsi"/>
          <w:b/>
          <w:bCs/>
          <w:color w:val="auto"/>
          <w:sz w:val="24"/>
          <w:szCs w:val="24"/>
        </w:rPr>
        <w:t>Question 2</w:t>
      </w:r>
      <w:r w:rsidR="00917EF3">
        <w:rPr>
          <w:rFonts w:cstheme="minorHAnsi"/>
          <w:b/>
          <w:bCs/>
          <w:color w:val="auto"/>
          <w:sz w:val="24"/>
          <w:szCs w:val="24"/>
        </w:rPr>
        <w:t>(a)</w:t>
      </w:r>
      <w:r w:rsidRPr="002533C7">
        <w:rPr>
          <w:rFonts w:cstheme="minorHAnsi"/>
          <w:b/>
          <w:bCs/>
          <w:color w:val="auto"/>
          <w:sz w:val="24"/>
          <w:szCs w:val="24"/>
        </w:rPr>
        <w:t>:</w:t>
      </w:r>
      <w:r w:rsidR="00917EF3">
        <w:rPr>
          <w:rFonts w:cstheme="minorHAnsi"/>
          <w:b/>
          <w:bCs/>
          <w:color w:val="auto"/>
          <w:sz w:val="24"/>
          <w:szCs w:val="24"/>
        </w:rPr>
        <w:t xml:space="preserve"> If no, why not?</w:t>
      </w:r>
      <w:r w:rsidR="005A2278">
        <w:rPr>
          <w:rFonts w:cstheme="minorHAnsi"/>
          <w:b/>
          <w:bCs/>
          <w:color w:val="auto"/>
          <w:sz w:val="24"/>
          <w:szCs w:val="24"/>
        </w:rPr>
        <w:t xml:space="preserve">  </w:t>
      </w:r>
    </w:p>
    <w:p w14:paraId="4C14934F" w14:textId="727B5E85" w:rsidR="005A2278" w:rsidRPr="005A2278" w:rsidRDefault="005A2278" w:rsidP="005A2278">
      <w:pPr>
        <w:jc w:val="both"/>
        <w:rPr>
          <w:rFonts w:cstheme="minorHAnsi"/>
          <w:b/>
          <w:bCs/>
          <w:color w:val="auto"/>
          <w:sz w:val="24"/>
          <w:szCs w:val="24"/>
        </w:rPr>
      </w:pPr>
      <w:r w:rsidRPr="005A2278">
        <w:rPr>
          <w:rFonts w:cstheme="minorHAnsi"/>
          <w:b/>
          <w:bCs/>
          <w:i/>
          <w:color w:val="auto"/>
          <w:sz w:val="24"/>
          <w:szCs w:val="24"/>
        </w:rPr>
        <w:t xml:space="preserve">[Don’t know how to / It takes too long / It’s too complicated / I don’t care / Other – please specify] </w:t>
      </w:r>
    </w:p>
    <w:p w14:paraId="2A65C590" w14:textId="4C64107F" w:rsidR="004E19DF" w:rsidRDefault="004E19DF" w:rsidP="000C70CE">
      <w:pPr>
        <w:jc w:val="both"/>
        <w:rPr>
          <w:color w:val="auto"/>
        </w:rPr>
      </w:pPr>
    </w:p>
    <w:p w14:paraId="1D8B03AD" w14:textId="0563BE44" w:rsidR="00554A80" w:rsidRPr="00572BAC" w:rsidRDefault="00554A80" w:rsidP="00554A80">
      <w:pPr>
        <w:jc w:val="both"/>
        <w:rPr>
          <w:rFonts w:cstheme="minorHAnsi"/>
          <w:color w:val="auto"/>
        </w:rPr>
      </w:pPr>
      <w:r w:rsidRPr="00572BAC">
        <w:rPr>
          <w:rFonts w:cstheme="minorHAnsi"/>
          <w:b/>
          <w:bCs/>
          <w:color w:val="auto"/>
        </w:rPr>
        <w:t>Response to Question 2</w:t>
      </w:r>
      <w:r>
        <w:rPr>
          <w:rFonts w:cstheme="minorHAnsi"/>
          <w:b/>
          <w:bCs/>
          <w:color w:val="auto"/>
        </w:rPr>
        <w:t>(a)</w:t>
      </w:r>
      <w:r w:rsidRPr="00572BAC">
        <w:rPr>
          <w:rFonts w:cstheme="minorHAnsi"/>
          <w:b/>
          <w:bCs/>
          <w:color w:val="auto"/>
        </w:rPr>
        <w:t xml:space="preserve">: </w:t>
      </w:r>
    </w:p>
    <w:p w14:paraId="612C4D8D" w14:textId="625AEE08" w:rsidR="00CC50AA" w:rsidRDefault="00244BD4" w:rsidP="000C70CE">
      <w:pPr>
        <w:jc w:val="both"/>
        <w:rPr>
          <w:color w:val="auto"/>
        </w:rPr>
      </w:pPr>
      <w:r>
        <w:rPr>
          <w:color w:val="auto"/>
        </w:rPr>
        <w:t xml:space="preserve">See our response to question </w:t>
      </w:r>
      <w:r w:rsidR="0015628A">
        <w:rPr>
          <w:color w:val="auto"/>
        </w:rPr>
        <w:t xml:space="preserve">2. </w:t>
      </w:r>
    </w:p>
    <w:p w14:paraId="0D1D015F" w14:textId="2CCA51C9" w:rsidR="00554A80" w:rsidRDefault="00554A80" w:rsidP="000C70CE">
      <w:pPr>
        <w:jc w:val="both"/>
        <w:rPr>
          <w:color w:val="auto"/>
        </w:rPr>
      </w:pPr>
    </w:p>
    <w:p w14:paraId="2A61E8B9" w14:textId="77777777" w:rsidR="000F2CED" w:rsidRPr="00572BAC" w:rsidRDefault="000F2CED" w:rsidP="000C70CE">
      <w:pPr>
        <w:jc w:val="both"/>
        <w:rPr>
          <w:rFonts w:cstheme="minorHAnsi"/>
          <w:color w:val="auto"/>
          <w:sz w:val="22"/>
          <w:szCs w:val="22"/>
        </w:rPr>
      </w:pPr>
    </w:p>
    <w:p w14:paraId="68BAD403" w14:textId="09FF604C" w:rsidR="00556200" w:rsidRPr="00556200" w:rsidRDefault="00087B44" w:rsidP="00CF7FD8">
      <w:pPr>
        <w:jc w:val="both"/>
        <w:rPr>
          <w:rFonts w:cstheme="minorHAnsi"/>
          <w:b/>
          <w:bCs/>
          <w:color w:val="auto"/>
          <w:sz w:val="24"/>
          <w:szCs w:val="24"/>
        </w:rPr>
      </w:pPr>
      <w:r w:rsidRPr="00AE6D11">
        <w:rPr>
          <w:rFonts w:cstheme="minorHAnsi"/>
          <w:b/>
          <w:bCs/>
          <w:color w:val="auto"/>
          <w:sz w:val="24"/>
          <w:szCs w:val="24"/>
        </w:rPr>
        <w:t xml:space="preserve">Question 3:  </w:t>
      </w:r>
      <w:r w:rsidR="00F06165" w:rsidRPr="00F06165">
        <w:rPr>
          <w:rFonts w:cstheme="minorHAnsi"/>
          <w:b/>
          <w:bCs/>
          <w:color w:val="auto"/>
          <w:sz w:val="24"/>
          <w:szCs w:val="24"/>
        </w:rPr>
        <w:t>Do you agree that using the workplace-based median house price to median earnings ratio from the most recent year for which data is available to adjust the standard method’s baseline is appropriate? If not, please explain why.</w:t>
      </w:r>
    </w:p>
    <w:p w14:paraId="57F4ECE7" w14:textId="62645845" w:rsidR="00AE6D11" w:rsidRPr="00AE6D11" w:rsidRDefault="00AE6D11" w:rsidP="00AE6D11">
      <w:pPr>
        <w:jc w:val="both"/>
        <w:rPr>
          <w:rFonts w:cstheme="minorHAnsi"/>
          <w:b/>
          <w:bCs/>
          <w:color w:val="auto"/>
          <w:sz w:val="24"/>
          <w:szCs w:val="24"/>
        </w:rPr>
      </w:pPr>
    </w:p>
    <w:p w14:paraId="2666BF3D" w14:textId="7DA0EB97" w:rsidR="00F4119E" w:rsidRPr="00572BAC" w:rsidRDefault="00F4119E" w:rsidP="000C70CE">
      <w:pPr>
        <w:jc w:val="both"/>
        <w:rPr>
          <w:rFonts w:cstheme="minorHAnsi"/>
          <w:b/>
          <w:bCs/>
          <w:color w:val="auto"/>
        </w:rPr>
      </w:pPr>
      <w:r w:rsidRPr="00572BAC">
        <w:rPr>
          <w:rFonts w:cstheme="minorHAnsi"/>
          <w:b/>
          <w:bCs/>
          <w:color w:val="auto"/>
        </w:rPr>
        <w:t xml:space="preserve">Response to Question 3: </w:t>
      </w:r>
    </w:p>
    <w:p w14:paraId="217B0DD9" w14:textId="23C3266F" w:rsidR="00F4119E" w:rsidRPr="007A1395" w:rsidRDefault="00DC1ED0" w:rsidP="000C70CE">
      <w:pPr>
        <w:jc w:val="both"/>
        <w:rPr>
          <w:rFonts w:cstheme="minorHAnsi"/>
          <w:color w:val="auto"/>
        </w:rPr>
      </w:pPr>
      <w:bookmarkStart w:id="7" w:name="_Hlk51751014"/>
      <w:r>
        <w:rPr>
          <w:rFonts w:cstheme="minorHAnsi"/>
          <w:color w:val="auto"/>
        </w:rPr>
        <w:t xml:space="preserve">The </w:t>
      </w:r>
      <w:r w:rsidR="00AD4E9A">
        <w:rPr>
          <w:rFonts w:cstheme="minorHAnsi"/>
          <w:color w:val="auto"/>
        </w:rPr>
        <w:t xml:space="preserve">housing targets which would be generated by the proposed changes to the standard method </w:t>
      </w:r>
      <w:r w:rsidR="00A95001">
        <w:rPr>
          <w:rFonts w:cstheme="minorHAnsi"/>
          <w:color w:val="auto"/>
        </w:rPr>
        <w:t>are our primary concern</w:t>
      </w:r>
      <w:r w:rsidR="005B0BB0">
        <w:rPr>
          <w:rFonts w:cstheme="minorHAnsi"/>
          <w:color w:val="auto"/>
        </w:rPr>
        <w:t xml:space="preserve">, as described above. </w:t>
      </w:r>
      <w:r w:rsidR="00D25A09">
        <w:rPr>
          <w:rFonts w:cstheme="minorHAnsi"/>
          <w:color w:val="auto"/>
        </w:rPr>
        <w:t xml:space="preserve"> We note that in their anal</w:t>
      </w:r>
      <w:r w:rsidR="006E518A">
        <w:rPr>
          <w:rFonts w:cstheme="minorHAnsi"/>
          <w:color w:val="auto"/>
        </w:rPr>
        <w:t xml:space="preserve">ysis of </w:t>
      </w:r>
      <w:r w:rsidR="00DB382A">
        <w:rPr>
          <w:rFonts w:cstheme="minorHAnsi"/>
          <w:color w:val="auto"/>
        </w:rPr>
        <w:t xml:space="preserve">the </w:t>
      </w:r>
      <w:r w:rsidR="006E518A">
        <w:rPr>
          <w:rFonts w:cstheme="minorHAnsi"/>
          <w:color w:val="auto"/>
        </w:rPr>
        <w:t xml:space="preserve">targets generated </w:t>
      </w:r>
      <w:r w:rsidR="00DB382A">
        <w:rPr>
          <w:rFonts w:cstheme="minorHAnsi"/>
          <w:color w:val="auto"/>
        </w:rPr>
        <w:t>by the new standard method, Lichfield</w:t>
      </w:r>
      <w:r w:rsidR="00FD0FAE">
        <w:rPr>
          <w:rFonts w:cstheme="minorHAnsi"/>
          <w:color w:val="auto"/>
        </w:rPr>
        <w:t>s comment</w:t>
      </w:r>
      <w:r w:rsidR="00B54271">
        <w:rPr>
          <w:rFonts w:cstheme="minorHAnsi"/>
          <w:color w:val="auto"/>
        </w:rPr>
        <w:t xml:space="preserve"> </w:t>
      </w:r>
      <w:r w:rsidR="00D037D9">
        <w:rPr>
          <w:rFonts w:cstheme="minorHAnsi"/>
          <w:color w:val="auto"/>
        </w:rPr>
        <w:t xml:space="preserve">on the </w:t>
      </w:r>
      <w:r w:rsidR="00D469F5">
        <w:rPr>
          <w:rFonts w:cstheme="minorHAnsi"/>
          <w:color w:val="auto"/>
        </w:rPr>
        <w:t xml:space="preserve">new </w:t>
      </w:r>
      <w:r w:rsidR="00D55862">
        <w:rPr>
          <w:rFonts w:cstheme="minorHAnsi"/>
          <w:color w:val="auto"/>
        </w:rPr>
        <w:t xml:space="preserve">standard </w:t>
      </w:r>
      <w:r w:rsidR="00D469F5">
        <w:rPr>
          <w:rFonts w:cstheme="minorHAnsi"/>
          <w:color w:val="auto"/>
        </w:rPr>
        <w:t xml:space="preserve">method </w:t>
      </w:r>
      <w:r w:rsidR="000D6A00">
        <w:rPr>
          <w:rFonts w:cstheme="minorHAnsi"/>
          <w:color w:val="auto"/>
        </w:rPr>
        <w:t>as foll</w:t>
      </w:r>
      <w:r w:rsidR="001D75F3">
        <w:rPr>
          <w:rFonts w:cstheme="minorHAnsi"/>
          <w:color w:val="auto"/>
        </w:rPr>
        <w:t>ows:</w:t>
      </w:r>
      <w:r w:rsidR="00D469F5">
        <w:rPr>
          <w:rFonts w:cstheme="minorHAnsi"/>
          <w:color w:val="auto"/>
        </w:rPr>
        <w:t xml:space="preserve"> “</w:t>
      </w:r>
      <w:r w:rsidR="0066430B">
        <w:rPr>
          <w:rFonts w:cstheme="minorHAnsi"/>
          <w:color w:val="auto"/>
        </w:rPr>
        <w:t>It also creates higher numbers across the south compared with the current method, but this will always be the case for a method</w:t>
      </w:r>
      <w:r w:rsidR="001478E0">
        <w:rPr>
          <w:rFonts w:cstheme="minorHAnsi"/>
          <w:color w:val="auto"/>
        </w:rPr>
        <w:t xml:space="preserve"> with such a significant emphasis on affordability”. </w:t>
      </w:r>
      <w:r w:rsidR="00FD0FAE">
        <w:rPr>
          <w:rFonts w:cstheme="minorHAnsi"/>
          <w:color w:val="auto"/>
        </w:rPr>
        <w:t xml:space="preserve"> </w:t>
      </w:r>
      <w:r w:rsidR="00114AD0">
        <w:rPr>
          <w:rFonts w:cstheme="minorHAnsi"/>
          <w:color w:val="auto"/>
        </w:rPr>
        <w:t xml:space="preserve">Therefore, </w:t>
      </w:r>
      <w:r w:rsidR="008558BF">
        <w:rPr>
          <w:rFonts w:cstheme="minorHAnsi"/>
          <w:color w:val="auto"/>
        </w:rPr>
        <w:t>on this basis</w:t>
      </w:r>
      <w:r w:rsidR="00973810">
        <w:rPr>
          <w:rFonts w:cstheme="minorHAnsi"/>
          <w:color w:val="auto"/>
        </w:rPr>
        <w:t>,</w:t>
      </w:r>
      <w:r w:rsidR="008558BF">
        <w:rPr>
          <w:rFonts w:cstheme="minorHAnsi"/>
          <w:color w:val="auto"/>
        </w:rPr>
        <w:t xml:space="preserve"> </w:t>
      </w:r>
      <w:r w:rsidR="00114AD0">
        <w:rPr>
          <w:rFonts w:cstheme="minorHAnsi"/>
          <w:color w:val="auto"/>
        </w:rPr>
        <w:t xml:space="preserve">the affordability component </w:t>
      </w:r>
      <w:r w:rsidR="00F84563">
        <w:rPr>
          <w:rFonts w:cstheme="minorHAnsi"/>
          <w:color w:val="auto"/>
        </w:rPr>
        <w:t xml:space="preserve">specifically </w:t>
      </w:r>
      <w:r w:rsidR="0005265F">
        <w:rPr>
          <w:rFonts w:cstheme="minorHAnsi"/>
          <w:color w:val="auto"/>
        </w:rPr>
        <w:t xml:space="preserve">requires </w:t>
      </w:r>
      <w:r w:rsidR="008558BF">
        <w:rPr>
          <w:rFonts w:cstheme="minorHAnsi"/>
          <w:color w:val="auto"/>
        </w:rPr>
        <w:t xml:space="preserve">review. </w:t>
      </w:r>
    </w:p>
    <w:p w14:paraId="7CD5D147" w14:textId="1C811CE8" w:rsidR="00556200" w:rsidRDefault="00556200" w:rsidP="000C70CE">
      <w:pPr>
        <w:jc w:val="both"/>
        <w:rPr>
          <w:rFonts w:cstheme="minorHAnsi"/>
          <w:b/>
          <w:bCs/>
          <w:color w:val="auto"/>
          <w:u w:val="single"/>
        </w:rPr>
      </w:pPr>
    </w:p>
    <w:bookmarkEnd w:id="7"/>
    <w:p w14:paraId="34FA45C8" w14:textId="546F8822" w:rsidR="00A774E3" w:rsidRPr="00A774E3" w:rsidRDefault="00087B44" w:rsidP="00A774E3">
      <w:pPr>
        <w:jc w:val="both"/>
        <w:rPr>
          <w:rFonts w:cstheme="minorHAnsi"/>
          <w:b/>
          <w:bCs/>
          <w:color w:val="auto"/>
          <w:sz w:val="24"/>
          <w:szCs w:val="24"/>
        </w:rPr>
      </w:pPr>
      <w:r w:rsidRPr="00FA21DD">
        <w:rPr>
          <w:rFonts w:cstheme="minorHAnsi"/>
          <w:b/>
          <w:bCs/>
          <w:color w:val="auto"/>
          <w:sz w:val="24"/>
          <w:szCs w:val="24"/>
        </w:rPr>
        <w:t>Question 4:</w:t>
      </w:r>
      <w:r w:rsidR="00A774E3">
        <w:rPr>
          <w:rFonts w:cstheme="minorHAnsi"/>
          <w:b/>
          <w:bCs/>
          <w:color w:val="auto"/>
          <w:sz w:val="24"/>
          <w:szCs w:val="24"/>
        </w:rPr>
        <w:t xml:space="preserve"> </w:t>
      </w:r>
      <w:r w:rsidR="00A774E3" w:rsidRPr="00A774E3">
        <w:rPr>
          <w:rFonts w:cstheme="minorHAnsi"/>
          <w:b/>
          <w:bCs/>
          <w:color w:val="auto"/>
          <w:sz w:val="24"/>
          <w:szCs w:val="24"/>
        </w:rPr>
        <w:t xml:space="preserve">Do you agree that incorporating an adjustment for the change of affordability over 10 years is a positive way to look at whether affordability has improved? If not, please explain why. </w:t>
      </w:r>
    </w:p>
    <w:p w14:paraId="125F22B1" w14:textId="0053C754" w:rsidR="00FD2C53" w:rsidRPr="00FA21DD" w:rsidRDefault="00FD2C53" w:rsidP="00DD6BA3">
      <w:pPr>
        <w:jc w:val="both"/>
        <w:rPr>
          <w:rFonts w:cstheme="minorHAnsi"/>
          <w:b/>
          <w:bCs/>
          <w:color w:val="auto"/>
          <w:sz w:val="24"/>
          <w:szCs w:val="24"/>
        </w:rPr>
      </w:pPr>
    </w:p>
    <w:p w14:paraId="03D4B3F6" w14:textId="63C413B0" w:rsidR="00F4119E" w:rsidRPr="00AE10A7" w:rsidRDefault="00F4119E" w:rsidP="000C70CE">
      <w:pPr>
        <w:jc w:val="both"/>
        <w:rPr>
          <w:rFonts w:cstheme="minorHAnsi"/>
          <w:b/>
          <w:bCs/>
          <w:color w:val="auto"/>
        </w:rPr>
      </w:pPr>
      <w:r w:rsidRPr="00AE10A7">
        <w:rPr>
          <w:rFonts w:cstheme="minorHAnsi"/>
          <w:b/>
          <w:bCs/>
          <w:color w:val="auto"/>
        </w:rPr>
        <w:t xml:space="preserve">Response to Question 4: </w:t>
      </w:r>
    </w:p>
    <w:p w14:paraId="6A687B44" w14:textId="77777777" w:rsidR="005B0BB0" w:rsidRPr="007A1395" w:rsidRDefault="005B0BB0" w:rsidP="005B0BB0">
      <w:pPr>
        <w:jc w:val="both"/>
        <w:rPr>
          <w:rFonts w:cstheme="minorHAnsi"/>
          <w:color w:val="auto"/>
        </w:rPr>
      </w:pPr>
      <w:r>
        <w:rPr>
          <w:rFonts w:cstheme="minorHAnsi"/>
          <w:color w:val="auto"/>
        </w:rPr>
        <w:t xml:space="preserve">The housing targets which would be generated by the proposed changes to the standard method are our primary concern, as described above. </w:t>
      </w:r>
    </w:p>
    <w:p w14:paraId="454DC6BB" w14:textId="77777777" w:rsidR="005B0BB0" w:rsidRDefault="005B0BB0" w:rsidP="005B0BB0">
      <w:pPr>
        <w:jc w:val="both"/>
        <w:rPr>
          <w:rFonts w:cstheme="minorHAnsi"/>
          <w:b/>
          <w:bCs/>
          <w:color w:val="auto"/>
          <w:u w:val="single"/>
        </w:rPr>
      </w:pPr>
    </w:p>
    <w:p w14:paraId="1B588EFD" w14:textId="77777777" w:rsidR="00B94397" w:rsidRPr="00572BAC" w:rsidRDefault="00B94397" w:rsidP="000C70CE">
      <w:pPr>
        <w:jc w:val="both"/>
        <w:rPr>
          <w:rFonts w:cstheme="minorHAnsi"/>
          <w:color w:val="auto"/>
        </w:rPr>
      </w:pPr>
    </w:p>
    <w:p w14:paraId="1ED849F5" w14:textId="77777777" w:rsidR="007F25BE" w:rsidRPr="007F25BE" w:rsidRDefault="00087B44" w:rsidP="007F25BE">
      <w:pPr>
        <w:jc w:val="both"/>
        <w:rPr>
          <w:rFonts w:cstheme="minorHAnsi"/>
          <w:b/>
          <w:bCs/>
          <w:color w:val="auto"/>
          <w:sz w:val="24"/>
          <w:szCs w:val="24"/>
        </w:rPr>
      </w:pPr>
      <w:r w:rsidRPr="00FA21DD">
        <w:rPr>
          <w:rFonts w:cstheme="minorHAnsi"/>
          <w:b/>
          <w:bCs/>
          <w:color w:val="auto"/>
          <w:sz w:val="24"/>
          <w:szCs w:val="24"/>
        </w:rPr>
        <w:t xml:space="preserve">Question 5: </w:t>
      </w:r>
      <w:r w:rsidR="007E5D7B" w:rsidRPr="00FA21DD">
        <w:rPr>
          <w:rFonts w:cstheme="minorHAnsi"/>
          <w:b/>
          <w:bCs/>
          <w:color w:val="auto"/>
          <w:sz w:val="24"/>
          <w:szCs w:val="24"/>
        </w:rPr>
        <w:t xml:space="preserve"> </w:t>
      </w:r>
      <w:r w:rsidR="007F25BE" w:rsidRPr="007F25BE">
        <w:rPr>
          <w:rFonts w:cstheme="minorHAnsi"/>
          <w:b/>
          <w:bCs/>
          <w:color w:val="auto"/>
          <w:sz w:val="24"/>
          <w:szCs w:val="24"/>
        </w:rPr>
        <w:t xml:space="preserve">Do you agree that affordability is given an appropriate weighting within the standard method? If not, please explain why. </w:t>
      </w:r>
    </w:p>
    <w:p w14:paraId="4F8C26B7" w14:textId="6A9A056E" w:rsidR="007E5D7B" w:rsidRPr="00FA21DD" w:rsidRDefault="007E5D7B" w:rsidP="00D61F01">
      <w:pPr>
        <w:jc w:val="both"/>
        <w:rPr>
          <w:rFonts w:cstheme="minorHAnsi"/>
          <w:b/>
          <w:bCs/>
          <w:color w:val="auto"/>
          <w:sz w:val="24"/>
          <w:szCs w:val="24"/>
        </w:rPr>
      </w:pPr>
    </w:p>
    <w:p w14:paraId="0845BCE3" w14:textId="19E5EC2B" w:rsidR="000D16C6" w:rsidRDefault="00F4119E" w:rsidP="000C70CE">
      <w:pPr>
        <w:jc w:val="both"/>
        <w:rPr>
          <w:rFonts w:cstheme="minorHAnsi"/>
          <w:b/>
          <w:bCs/>
          <w:color w:val="auto"/>
        </w:rPr>
      </w:pPr>
      <w:r w:rsidRPr="00AE10A7">
        <w:rPr>
          <w:rFonts w:cstheme="minorHAnsi"/>
          <w:b/>
          <w:bCs/>
          <w:color w:val="auto"/>
        </w:rPr>
        <w:t xml:space="preserve">Response to Question 5: </w:t>
      </w:r>
    </w:p>
    <w:p w14:paraId="3978223C" w14:textId="77777777" w:rsidR="004D1213" w:rsidRPr="007A1395" w:rsidRDefault="004D1213" w:rsidP="004D1213">
      <w:pPr>
        <w:jc w:val="both"/>
        <w:rPr>
          <w:rFonts w:cstheme="minorHAnsi"/>
          <w:color w:val="auto"/>
        </w:rPr>
      </w:pPr>
      <w:r>
        <w:rPr>
          <w:rFonts w:cstheme="minorHAnsi"/>
          <w:color w:val="auto"/>
        </w:rPr>
        <w:t xml:space="preserve">The housing targets which would be generated by the proposed changes to the standard method are our primary concern, as described above. </w:t>
      </w:r>
    </w:p>
    <w:p w14:paraId="50C62F76" w14:textId="77777777" w:rsidR="004D1213" w:rsidRDefault="004D1213" w:rsidP="004D1213">
      <w:pPr>
        <w:jc w:val="both"/>
        <w:rPr>
          <w:rFonts w:cstheme="minorHAnsi"/>
          <w:b/>
          <w:bCs/>
          <w:color w:val="auto"/>
          <w:u w:val="single"/>
        </w:rPr>
      </w:pPr>
    </w:p>
    <w:p w14:paraId="22D2AC9E" w14:textId="77777777" w:rsidR="00656556" w:rsidRPr="00656556" w:rsidRDefault="00087B44" w:rsidP="00656556">
      <w:pPr>
        <w:jc w:val="both"/>
        <w:rPr>
          <w:rFonts w:cstheme="minorHAnsi"/>
          <w:b/>
          <w:bCs/>
          <w:color w:val="auto"/>
          <w:sz w:val="24"/>
          <w:szCs w:val="24"/>
        </w:rPr>
      </w:pPr>
      <w:r w:rsidRPr="00FA21DD">
        <w:rPr>
          <w:rFonts w:cstheme="minorHAnsi"/>
          <w:b/>
          <w:bCs/>
          <w:color w:val="auto"/>
          <w:sz w:val="24"/>
          <w:szCs w:val="24"/>
        </w:rPr>
        <w:t>Question</w:t>
      </w:r>
      <w:r w:rsidR="005916B7">
        <w:rPr>
          <w:rFonts w:cstheme="minorHAnsi"/>
          <w:b/>
          <w:bCs/>
          <w:color w:val="auto"/>
          <w:sz w:val="24"/>
          <w:szCs w:val="24"/>
        </w:rPr>
        <w:t>s</w:t>
      </w:r>
      <w:r w:rsidRPr="00FA21DD">
        <w:rPr>
          <w:rFonts w:cstheme="minorHAnsi"/>
          <w:b/>
          <w:bCs/>
          <w:color w:val="auto"/>
          <w:sz w:val="24"/>
          <w:szCs w:val="24"/>
        </w:rPr>
        <w:t xml:space="preserve"> 6</w:t>
      </w:r>
      <w:r w:rsidR="005916B7">
        <w:rPr>
          <w:rFonts w:cstheme="minorHAnsi"/>
          <w:b/>
          <w:bCs/>
          <w:color w:val="auto"/>
          <w:sz w:val="24"/>
          <w:szCs w:val="24"/>
        </w:rPr>
        <w:t xml:space="preserve"> and </w:t>
      </w:r>
      <w:r w:rsidR="005D1464">
        <w:rPr>
          <w:rFonts w:cstheme="minorHAnsi"/>
          <w:b/>
          <w:bCs/>
          <w:color w:val="auto"/>
          <w:sz w:val="24"/>
          <w:szCs w:val="24"/>
        </w:rPr>
        <w:t>7</w:t>
      </w:r>
      <w:r w:rsidRPr="00FA21DD">
        <w:rPr>
          <w:rFonts w:cstheme="minorHAnsi"/>
          <w:b/>
          <w:bCs/>
          <w:color w:val="auto"/>
          <w:sz w:val="24"/>
          <w:szCs w:val="24"/>
        </w:rPr>
        <w:t xml:space="preserve">:  </w:t>
      </w:r>
      <w:r w:rsidR="00656556" w:rsidRPr="00656556">
        <w:rPr>
          <w:rFonts w:cstheme="minorHAnsi"/>
          <w:b/>
          <w:bCs/>
          <w:color w:val="auto"/>
          <w:sz w:val="24"/>
          <w:szCs w:val="24"/>
        </w:rPr>
        <w:t xml:space="preserve">Do you agree that authorities should be planning having regard to their revised standard method need figure, from the publication date of the revised guidance, </w:t>
      </w:r>
      <w:proofErr w:type="gramStart"/>
      <w:r w:rsidR="00656556" w:rsidRPr="00656556">
        <w:rPr>
          <w:rFonts w:cstheme="minorHAnsi"/>
          <w:b/>
          <w:bCs/>
          <w:color w:val="auto"/>
          <w:sz w:val="24"/>
          <w:szCs w:val="24"/>
        </w:rPr>
        <w:t>with the exception of</w:t>
      </w:r>
      <w:proofErr w:type="gramEnd"/>
      <w:r w:rsidR="00656556" w:rsidRPr="00656556">
        <w:rPr>
          <w:rFonts w:cstheme="minorHAnsi"/>
          <w:b/>
          <w:bCs/>
          <w:color w:val="auto"/>
          <w:sz w:val="24"/>
          <w:szCs w:val="24"/>
        </w:rPr>
        <w:t xml:space="preserve">:  </w:t>
      </w:r>
    </w:p>
    <w:p w14:paraId="0734FD9F"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 </w:t>
      </w:r>
    </w:p>
    <w:p w14:paraId="16F27689"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Q6: Authorities which are already at the second stage of the strategic plan consultation process (Regulation 19), which should be given 6 months to submit their plan to the Planning Inspectorate for examination? </w:t>
      </w:r>
    </w:p>
    <w:p w14:paraId="6EBA1AF7"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 </w:t>
      </w:r>
    </w:p>
    <w:p w14:paraId="74A97495"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Q7: Authorities close to publishing their second stage consultation (Regulation 19), which should be given 3 months from the publication date of the revised guidance to publish their Regulation 19 plan, and a further 6 months to submit their plan to the Planning Inspectorate?  </w:t>
      </w:r>
    </w:p>
    <w:p w14:paraId="23EA65E7"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 </w:t>
      </w:r>
    </w:p>
    <w:p w14:paraId="72540670" w14:textId="77777777" w:rsidR="00656556" w:rsidRPr="00656556" w:rsidRDefault="00656556" w:rsidP="00656556">
      <w:pPr>
        <w:jc w:val="both"/>
        <w:rPr>
          <w:rFonts w:cstheme="minorHAnsi"/>
          <w:b/>
          <w:bCs/>
          <w:color w:val="auto"/>
          <w:sz w:val="24"/>
          <w:szCs w:val="24"/>
        </w:rPr>
      </w:pPr>
      <w:r w:rsidRPr="00656556">
        <w:rPr>
          <w:rFonts w:cstheme="minorHAnsi"/>
          <w:b/>
          <w:bCs/>
          <w:color w:val="auto"/>
          <w:sz w:val="24"/>
          <w:szCs w:val="24"/>
        </w:rPr>
        <w:t xml:space="preserve">If not, please explain why. Are there particular circumstances which need to be catered for? </w:t>
      </w:r>
    </w:p>
    <w:p w14:paraId="7251F24A" w14:textId="2801F9E3" w:rsidR="00F4119E" w:rsidRPr="00AE10A7" w:rsidRDefault="00F4119E" w:rsidP="000C70CE">
      <w:pPr>
        <w:jc w:val="both"/>
        <w:rPr>
          <w:rFonts w:cstheme="minorHAnsi"/>
          <w:b/>
          <w:bCs/>
          <w:color w:val="auto"/>
          <w:sz w:val="22"/>
          <w:szCs w:val="22"/>
        </w:rPr>
      </w:pPr>
    </w:p>
    <w:p w14:paraId="1056390F" w14:textId="64FE6C3B" w:rsidR="00F4119E" w:rsidRDefault="00F4119E" w:rsidP="000C70CE">
      <w:pPr>
        <w:jc w:val="both"/>
        <w:rPr>
          <w:rFonts w:cstheme="minorHAnsi"/>
          <w:b/>
          <w:bCs/>
          <w:color w:val="auto"/>
        </w:rPr>
      </w:pPr>
      <w:r w:rsidRPr="00AE10A7">
        <w:rPr>
          <w:rFonts w:cstheme="minorHAnsi"/>
          <w:b/>
          <w:bCs/>
          <w:color w:val="auto"/>
        </w:rPr>
        <w:t>Response to Question</w:t>
      </w:r>
      <w:r w:rsidR="00656556">
        <w:rPr>
          <w:rFonts w:cstheme="minorHAnsi"/>
          <w:b/>
          <w:bCs/>
          <w:color w:val="auto"/>
        </w:rPr>
        <w:t>s</w:t>
      </w:r>
      <w:r w:rsidRPr="00AE10A7">
        <w:rPr>
          <w:rFonts w:cstheme="minorHAnsi"/>
          <w:b/>
          <w:bCs/>
          <w:color w:val="auto"/>
        </w:rPr>
        <w:t xml:space="preserve"> 6</w:t>
      </w:r>
      <w:r w:rsidR="00656556">
        <w:rPr>
          <w:rFonts w:cstheme="minorHAnsi"/>
          <w:b/>
          <w:bCs/>
          <w:color w:val="auto"/>
        </w:rPr>
        <w:t xml:space="preserve"> an</w:t>
      </w:r>
      <w:r w:rsidR="008607FA">
        <w:rPr>
          <w:rFonts w:cstheme="minorHAnsi"/>
          <w:b/>
          <w:bCs/>
          <w:color w:val="auto"/>
        </w:rPr>
        <w:t>d 7</w:t>
      </w:r>
      <w:r w:rsidRPr="00AE10A7">
        <w:rPr>
          <w:rFonts w:cstheme="minorHAnsi"/>
          <w:b/>
          <w:bCs/>
          <w:color w:val="auto"/>
        </w:rPr>
        <w:t xml:space="preserve">: </w:t>
      </w:r>
    </w:p>
    <w:p w14:paraId="2B9C7D86" w14:textId="22721D81" w:rsidR="00E10448" w:rsidRPr="00E10448" w:rsidRDefault="00E10448" w:rsidP="000C70CE">
      <w:pPr>
        <w:jc w:val="both"/>
        <w:rPr>
          <w:rFonts w:cstheme="minorHAnsi"/>
          <w:color w:val="auto"/>
        </w:rPr>
      </w:pPr>
      <w:r w:rsidRPr="00E10448">
        <w:rPr>
          <w:rFonts w:cstheme="minorHAnsi"/>
          <w:color w:val="auto"/>
        </w:rPr>
        <w:t xml:space="preserve">We do not support the proposed </w:t>
      </w:r>
      <w:r w:rsidR="00FC0DAB">
        <w:rPr>
          <w:rFonts w:cstheme="minorHAnsi"/>
          <w:color w:val="auto"/>
        </w:rPr>
        <w:t xml:space="preserve">new </w:t>
      </w:r>
      <w:r w:rsidRPr="00E10448">
        <w:rPr>
          <w:rFonts w:cstheme="minorHAnsi"/>
          <w:color w:val="auto"/>
        </w:rPr>
        <w:t xml:space="preserve">standard method </w:t>
      </w:r>
      <w:r w:rsidR="00F526EE">
        <w:rPr>
          <w:rFonts w:cstheme="minorHAnsi"/>
          <w:color w:val="auto"/>
        </w:rPr>
        <w:t xml:space="preserve">and would only support </w:t>
      </w:r>
      <w:r w:rsidR="00A0664E">
        <w:rPr>
          <w:rFonts w:cstheme="minorHAnsi"/>
          <w:color w:val="auto"/>
        </w:rPr>
        <w:t xml:space="preserve">the introduction of </w:t>
      </w:r>
      <w:r w:rsidR="00F526EE">
        <w:rPr>
          <w:rFonts w:cstheme="minorHAnsi"/>
          <w:color w:val="auto"/>
        </w:rPr>
        <w:t xml:space="preserve">changes which generate realistic, sustainable housing </w:t>
      </w:r>
      <w:r w:rsidR="003233DD">
        <w:rPr>
          <w:rFonts w:cstheme="minorHAnsi"/>
          <w:color w:val="auto"/>
        </w:rPr>
        <w:t xml:space="preserve">targets.  </w:t>
      </w:r>
    </w:p>
    <w:p w14:paraId="4EF9AAAF" w14:textId="77777777" w:rsidR="004F7369" w:rsidRPr="00E10448" w:rsidRDefault="004F7369" w:rsidP="000C70CE">
      <w:pPr>
        <w:jc w:val="both"/>
        <w:rPr>
          <w:rFonts w:cstheme="minorHAnsi"/>
          <w:i/>
          <w:iCs/>
          <w:color w:val="auto"/>
          <w:u w:val="single"/>
        </w:rPr>
      </w:pPr>
    </w:p>
    <w:p w14:paraId="06AFF90E" w14:textId="77777777" w:rsidR="00F4119E" w:rsidRPr="00572BAC" w:rsidRDefault="00F4119E" w:rsidP="000C70CE">
      <w:pPr>
        <w:jc w:val="both"/>
        <w:rPr>
          <w:rFonts w:cstheme="minorHAnsi"/>
          <w:color w:val="auto"/>
        </w:rPr>
      </w:pPr>
    </w:p>
    <w:p w14:paraId="0E29193F" w14:textId="1CAA02D0" w:rsidR="006818DE" w:rsidRPr="006818DE" w:rsidRDefault="00087B44" w:rsidP="006818DE">
      <w:pPr>
        <w:jc w:val="both"/>
        <w:rPr>
          <w:rFonts w:cstheme="minorHAnsi"/>
          <w:b/>
          <w:bCs/>
          <w:color w:val="auto"/>
          <w:sz w:val="24"/>
          <w:szCs w:val="24"/>
        </w:rPr>
      </w:pPr>
      <w:bookmarkStart w:id="8" w:name="_Hlk50217834"/>
      <w:r w:rsidRPr="000E5A4E">
        <w:rPr>
          <w:rFonts w:cstheme="minorHAnsi"/>
          <w:b/>
          <w:bCs/>
          <w:color w:val="auto"/>
          <w:sz w:val="24"/>
          <w:szCs w:val="24"/>
        </w:rPr>
        <w:t>Question 8:</w:t>
      </w:r>
      <w:bookmarkEnd w:id="8"/>
      <w:r w:rsidRPr="000E5A4E">
        <w:rPr>
          <w:rFonts w:cstheme="minorHAnsi"/>
          <w:b/>
          <w:bCs/>
          <w:color w:val="auto"/>
          <w:sz w:val="24"/>
          <w:szCs w:val="24"/>
        </w:rPr>
        <w:t xml:space="preserve"> </w:t>
      </w:r>
      <w:r w:rsidR="006818DE" w:rsidRPr="006818DE">
        <w:rPr>
          <w:rFonts w:cstheme="minorHAnsi"/>
          <w:b/>
          <w:bCs/>
          <w:color w:val="auto"/>
          <w:sz w:val="24"/>
          <w:szCs w:val="24"/>
        </w:rPr>
        <w:t xml:space="preserve">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w:t>
      </w:r>
      <w:r w:rsidR="00C5776F">
        <w:rPr>
          <w:rFonts w:cstheme="minorHAnsi"/>
          <w:b/>
          <w:bCs/>
          <w:color w:val="auto"/>
          <w:sz w:val="24"/>
          <w:szCs w:val="24"/>
        </w:rPr>
        <w:t xml:space="preserve"> </w:t>
      </w:r>
      <w:r w:rsidR="006818DE" w:rsidRPr="006818DE">
        <w:rPr>
          <w:rFonts w:cstheme="minorHAnsi"/>
          <w:b/>
          <w:bCs/>
          <w:color w:val="auto"/>
          <w:sz w:val="24"/>
          <w:szCs w:val="24"/>
        </w:rPr>
        <w:t xml:space="preserve">Please provide reasons and / or evidence for your views (if possible): </w:t>
      </w:r>
    </w:p>
    <w:p w14:paraId="59BA3DC8" w14:textId="77777777" w:rsidR="006818DE" w:rsidRPr="006818DE" w:rsidRDefault="006818DE" w:rsidP="007F22D2">
      <w:pPr>
        <w:numPr>
          <w:ilvl w:val="0"/>
          <w:numId w:val="6"/>
        </w:numPr>
        <w:jc w:val="both"/>
        <w:rPr>
          <w:rFonts w:cstheme="minorHAnsi"/>
          <w:b/>
          <w:bCs/>
          <w:color w:val="auto"/>
          <w:sz w:val="24"/>
          <w:szCs w:val="24"/>
        </w:rPr>
      </w:pPr>
      <w:r w:rsidRPr="006818DE">
        <w:rPr>
          <w:rFonts w:cstheme="minorHAnsi"/>
          <w:b/>
          <w:bCs/>
          <w:color w:val="auto"/>
          <w:sz w:val="24"/>
          <w:szCs w:val="24"/>
        </w:rPr>
        <w:t xml:space="preserve">Prioritising the replacement of affordable home ownership </w:t>
      </w:r>
      <w:proofErr w:type="gramStart"/>
      <w:r w:rsidRPr="006818DE">
        <w:rPr>
          <w:rFonts w:cstheme="minorHAnsi"/>
          <w:b/>
          <w:bCs/>
          <w:color w:val="auto"/>
          <w:sz w:val="24"/>
          <w:szCs w:val="24"/>
        </w:rPr>
        <w:t>tenures, and</w:t>
      </w:r>
      <w:proofErr w:type="gramEnd"/>
      <w:r w:rsidRPr="006818DE">
        <w:rPr>
          <w:rFonts w:cstheme="minorHAnsi"/>
          <w:b/>
          <w:bCs/>
          <w:color w:val="auto"/>
          <w:sz w:val="24"/>
          <w:szCs w:val="24"/>
        </w:rPr>
        <w:t xml:space="preserve"> delivering rental tenures in the ratio set out in the local plan policy. </w:t>
      </w:r>
    </w:p>
    <w:p w14:paraId="58E10ED3" w14:textId="77777777" w:rsidR="006818DE" w:rsidRPr="006818DE" w:rsidRDefault="006818DE" w:rsidP="007F22D2">
      <w:pPr>
        <w:numPr>
          <w:ilvl w:val="0"/>
          <w:numId w:val="6"/>
        </w:numPr>
        <w:jc w:val="both"/>
        <w:rPr>
          <w:rFonts w:cstheme="minorHAnsi"/>
          <w:b/>
          <w:bCs/>
          <w:color w:val="auto"/>
          <w:sz w:val="24"/>
          <w:szCs w:val="24"/>
        </w:rPr>
      </w:pPr>
      <w:r w:rsidRPr="006818DE">
        <w:rPr>
          <w:rFonts w:cstheme="minorHAnsi"/>
          <w:b/>
          <w:bCs/>
          <w:color w:val="auto"/>
          <w:sz w:val="24"/>
          <w:szCs w:val="24"/>
        </w:rPr>
        <w:t xml:space="preserve">Negotiation between a local authority and developer.  </w:t>
      </w:r>
    </w:p>
    <w:p w14:paraId="4D02A771" w14:textId="77777777" w:rsidR="006818DE" w:rsidRPr="006818DE" w:rsidRDefault="006818DE" w:rsidP="007F22D2">
      <w:pPr>
        <w:numPr>
          <w:ilvl w:val="0"/>
          <w:numId w:val="6"/>
        </w:numPr>
        <w:jc w:val="both"/>
        <w:rPr>
          <w:rFonts w:cstheme="minorHAnsi"/>
          <w:b/>
          <w:bCs/>
          <w:color w:val="auto"/>
          <w:sz w:val="24"/>
          <w:szCs w:val="24"/>
        </w:rPr>
      </w:pPr>
      <w:r w:rsidRPr="006818DE">
        <w:rPr>
          <w:rFonts w:cstheme="minorHAnsi"/>
          <w:b/>
          <w:bCs/>
          <w:color w:val="auto"/>
          <w:sz w:val="24"/>
          <w:szCs w:val="24"/>
        </w:rPr>
        <w:t xml:space="preserve">Other (please specify) </w:t>
      </w:r>
    </w:p>
    <w:p w14:paraId="2C9E31C4" w14:textId="79DE7E60" w:rsidR="000E5A4E" w:rsidRPr="000E5A4E" w:rsidRDefault="000E5A4E" w:rsidP="008607FA">
      <w:pPr>
        <w:jc w:val="both"/>
        <w:rPr>
          <w:rFonts w:cstheme="minorHAnsi"/>
          <w:b/>
          <w:bCs/>
          <w:color w:val="auto"/>
          <w:sz w:val="24"/>
          <w:szCs w:val="24"/>
        </w:rPr>
      </w:pPr>
    </w:p>
    <w:p w14:paraId="7B75AAB1" w14:textId="58204C5E" w:rsidR="00400EAF" w:rsidRPr="00AE10A7" w:rsidRDefault="00400EAF" w:rsidP="000C70CE">
      <w:pPr>
        <w:jc w:val="both"/>
        <w:rPr>
          <w:rFonts w:cstheme="minorHAnsi"/>
          <w:b/>
          <w:bCs/>
          <w:color w:val="auto"/>
        </w:rPr>
      </w:pPr>
      <w:bookmarkStart w:id="9" w:name="_Hlk19701052"/>
      <w:r w:rsidRPr="00AE10A7">
        <w:rPr>
          <w:rFonts w:cstheme="minorHAnsi"/>
          <w:b/>
          <w:bCs/>
          <w:color w:val="auto"/>
        </w:rPr>
        <w:t xml:space="preserve">Response to Question 8: </w:t>
      </w:r>
    </w:p>
    <w:bookmarkEnd w:id="9"/>
    <w:p w14:paraId="40D52D46" w14:textId="60C6EFB5" w:rsidR="009942F8" w:rsidRPr="009942F8" w:rsidRDefault="009942F8" w:rsidP="009942F8">
      <w:pPr>
        <w:jc w:val="both"/>
        <w:rPr>
          <w:rFonts w:cstheme="minorHAnsi"/>
          <w:color w:val="auto"/>
        </w:rPr>
      </w:pPr>
      <w:r w:rsidRPr="009942F8">
        <w:rPr>
          <w:rFonts w:cstheme="minorHAnsi"/>
          <w:color w:val="auto"/>
        </w:rPr>
        <w:t xml:space="preserve">Whilst London Councils supports the ambition to expand home ownership in the capital, the gravest need in London is for sub-market rented homes. Therefore, ‘First Homes’ must be delivered in a way that does not displace the provision of other affordable tenures which are in much higher demand and should target those who otherwise would not be able to become homeowners </w:t>
      </w:r>
    </w:p>
    <w:p w14:paraId="4D36BCC8" w14:textId="77777777" w:rsidR="009942F8" w:rsidRPr="009942F8" w:rsidRDefault="009942F8" w:rsidP="009942F8">
      <w:pPr>
        <w:jc w:val="both"/>
        <w:rPr>
          <w:rFonts w:cstheme="minorHAnsi"/>
          <w:color w:val="auto"/>
        </w:rPr>
      </w:pPr>
    </w:p>
    <w:p w14:paraId="47F52324" w14:textId="77777777" w:rsidR="009942F8" w:rsidRPr="009942F8" w:rsidRDefault="009942F8" w:rsidP="009942F8">
      <w:pPr>
        <w:jc w:val="both"/>
        <w:rPr>
          <w:rFonts w:cstheme="minorHAnsi"/>
          <w:color w:val="auto"/>
        </w:rPr>
      </w:pPr>
      <w:r w:rsidRPr="009942F8">
        <w:rPr>
          <w:rFonts w:cstheme="minorHAnsi"/>
          <w:color w:val="auto"/>
        </w:rPr>
        <w:t>Regarding the affordability of ‘First Homes’ in London, there is strong evidence which questions whether such homes would be affordable to local people.  Research undertaken by Savills (using Land Registry, MHCLG, Nationwide and Newbury Building Society data) shows that the minimum income required for a ‘First Home’ with a 30% discount and a 5% deposit (£10,850) would be £51,538 per year (based on the average cost of a new home being £310,000 before the discount is applied). Consider now that an average nurse’s salary (a targeted key worker) is around £25k per year.</w:t>
      </w:r>
      <w:r w:rsidRPr="009942F8">
        <w:rPr>
          <w:rFonts w:cstheme="minorHAnsi"/>
          <w:color w:val="auto"/>
          <w:vertAlign w:val="superscript"/>
        </w:rPr>
        <w:footnoteReference w:id="5"/>
      </w:r>
    </w:p>
    <w:p w14:paraId="2251F7CB" w14:textId="77777777" w:rsidR="009942F8" w:rsidRPr="009942F8" w:rsidRDefault="009942F8" w:rsidP="009942F8">
      <w:pPr>
        <w:jc w:val="both"/>
        <w:rPr>
          <w:rFonts w:cstheme="minorHAnsi"/>
          <w:i/>
          <w:iCs/>
          <w:color w:val="auto"/>
        </w:rPr>
      </w:pPr>
    </w:p>
    <w:p w14:paraId="3D9BE6CF" w14:textId="77777777" w:rsidR="009942F8" w:rsidRPr="009942F8" w:rsidRDefault="009942F8" w:rsidP="009942F8">
      <w:pPr>
        <w:jc w:val="both"/>
        <w:rPr>
          <w:rFonts w:cstheme="minorHAnsi"/>
          <w:color w:val="auto"/>
        </w:rPr>
      </w:pPr>
      <w:r w:rsidRPr="009942F8">
        <w:rPr>
          <w:rFonts w:cstheme="minorHAnsi"/>
          <w:color w:val="auto"/>
        </w:rPr>
        <w:t>Now consider that the average house price in London is £475k (53% higher than the Savills example used),</w:t>
      </w:r>
      <w:r w:rsidRPr="009942F8">
        <w:rPr>
          <w:rFonts w:cstheme="minorHAnsi"/>
          <w:color w:val="auto"/>
          <w:vertAlign w:val="superscript"/>
        </w:rPr>
        <w:footnoteReference w:id="6"/>
      </w:r>
      <w:r w:rsidRPr="009942F8">
        <w:rPr>
          <w:rFonts w:cstheme="minorHAnsi"/>
          <w:color w:val="auto"/>
        </w:rPr>
        <w:t xml:space="preserve"> while the average wage is £38k (26% higher than the national average); a 30% ‘First Homes’ discount would make the total cost of an average home £333k. This means a 5% deposit would be £17k, and the income needed to purchase an average 30% discount ‘First Home’ in London would be nearly £80k per year.</w:t>
      </w:r>
      <w:r w:rsidRPr="009942F8">
        <w:rPr>
          <w:rFonts w:cstheme="minorHAnsi"/>
          <w:color w:val="auto"/>
          <w:vertAlign w:val="superscript"/>
        </w:rPr>
        <w:footnoteReference w:id="7"/>
      </w:r>
      <w:r w:rsidRPr="009942F8">
        <w:rPr>
          <w:rFonts w:cstheme="minorHAnsi"/>
          <w:color w:val="auto"/>
        </w:rPr>
        <w:t xml:space="preserve"> The corollary is that ‘First Homes’ would often remain unaffordable to those (a) on modest incomes like many key workers (b) without the ‘bank of mum and dad’.  If these averages are broken down to borough level the mismatch becomes even starker. For example, the average house price in Kensington and Chelsea is over £1.3m, in Hammersmith and Fulham it’s £712k, and Islington is £651k. Clearly for ‘local people’ to purchase their first home in these areas they would need to be comparatively wealthy, even with higher discounts. </w:t>
      </w:r>
    </w:p>
    <w:p w14:paraId="20F278A8" w14:textId="77777777" w:rsidR="009942F8" w:rsidRPr="009942F8" w:rsidRDefault="009942F8" w:rsidP="009942F8">
      <w:pPr>
        <w:jc w:val="both"/>
        <w:rPr>
          <w:rFonts w:cstheme="minorHAnsi"/>
          <w:color w:val="auto"/>
        </w:rPr>
      </w:pPr>
    </w:p>
    <w:p w14:paraId="110B7643" w14:textId="77777777" w:rsidR="009942F8" w:rsidRPr="009942F8" w:rsidRDefault="009942F8" w:rsidP="009942F8">
      <w:pPr>
        <w:jc w:val="both"/>
        <w:rPr>
          <w:rFonts w:cstheme="minorHAnsi"/>
          <w:color w:val="auto"/>
        </w:rPr>
      </w:pPr>
      <w:r w:rsidRPr="009942F8">
        <w:rPr>
          <w:rFonts w:cstheme="minorHAnsi"/>
          <w:color w:val="auto"/>
        </w:rPr>
        <w:t xml:space="preserve">The government’s short term proposals for securing ‘First Homes’ until the transition to a new system, stipulate that the first 25% of the affordable housing requirement on a site would  be set aside for ‘First Homes’, sold at a discount to first time buyers through developer contributions.  This nationally set requirement would fetter boroughs whose need for affordable housing requires other tenure types, for example affordable rented housing to meet demand from homeless households in temporary accommodation, rough sleepers or other low- income groups unable to purchase.   This is of </w:t>
      </w:r>
      <w:proofErr w:type="gramStart"/>
      <w:r w:rsidRPr="009942F8">
        <w:rPr>
          <w:rFonts w:cstheme="minorHAnsi"/>
          <w:color w:val="auto"/>
        </w:rPr>
        <w:t>particular concern</w:t>
      </w:r>
      <w:proofErr w:type="gramEnd"/>
      <w:r w:rsidRPr="009942F8">
        <w:rPr>
          <w:rFonts w:cstheme="minorHAnsi"/>
          <w:color w:val="auto"/>
        </w:rPr>
        <w:t xml:space="preserve"> in London, which accounts for two thirds of England’s homeless households in temporary accommodation. </w:t>
      </w:r>
    </w:p>
    <w:p w14:paraId="7FC4A8C6" w14:textId="77777777" w:rsidR="009942F8" w:rsidRPr="009942F8" w:rsidRDefault="009942F8" w:rsidP="009942F8">
      <w:pPr>
        <w:jc w:val="both"/>
        <w:rPr>
          <w:rFonts w:cstheme="minorHAnsi"/>
          <w:color w:val="auto"/>
        </w:rPr>
      </w:pPr>
    </w:p>
    <w:p w14:paraId="368BBC3A" w14:textId="77777777" w:rsidR="009942F8" w:rsidRPr="009942F8" w:rsidRDefault="009942F8" w:rsidP="009942F8">
      <w:pPr>
        <w:jc w:val="both"/>
        <w:rPr>
          <w:rFonts w:cstheme="minorHAnsi"/>
          <w:color w:val="auto"/>
        </w:rPr>
      </w:pPr>
      <w:r w:rsidRPr="009942F8">
        <w:rPr>
          <w:rFonts w:cstheme="minorHAnsi"/>
          <w:color w:val="auto"/>
        </w:rPr>
        <w:t>Against this background, we consider that in London the ‘First Homes’ discount and eligibility criteria would be best set by boroughs, so they are appropriate to the local area. Similarly, boroughs are best placed through their local plans to set the affordable tenures to suit community needs.</w:t>
      </w:r>
    </w:p>
    <w:p w14:paraId="7828758D" w14:textId="188FFB23" w:rsidR="00DC4732" w:rsidRPr="009942F8" w:rsidRDefault="00DC4732" w:rsidP="000C70CE">
      <w:pPr>
        <w:jc w:val="both"/>
        <w:rPr>
          <w:rFonts w:cstheme="minorHAnsi"/>
          <w:color w:val="auto"/>
        </w:rPr>
      </w:pPr>
    </w:p>
    <w:p w14:paraId="4E63FA92" w14:textId="77777777" w:rsidR="000D11DF" w:rsidRPr="000D11DF" w:rsidRDefault="00B94397" w:rsidP="000D11DF">
      <w:pPr>
        <w:jc w:val="both"/>
        <w:rPr>
          <w:rFonts w:ascii="Arial" w:eastAsia="Arial" w:hAnsi="Arial"/>
          <w:color w:val="000000"/>
          <w:sz w:val="24"/>
          <w:szCs w:val="24"/>
          <w:lang w:eastAsia="en-GB"/>
        </w:rPr>
      </w:pPr>
      <w:r w:rsidRPr="004622F9">
        <w:rPr>
          <w:rFonts w:cstheme="minorHAnsi"/>
          <w:b/>
          <w:bCs/>
          <w:color w:val="auto"/>
          <w:sz w:val="24"/>
          <w:szCs w:val="24"/>
        </w:rPr>
        <w:t>Question</w:t>
      </w:r>
      <w:r w:rsidR="00482F29">
        <w:rPr>
          <w:rFonts w:cstheme="minorHAnsi"/>
          <w:b/>
          <w:bCs/>
          <w:color w:val="auto"/>
          <w:sz w:val="24"/>
          <w:szCs w:val="24"/>
        </w:rPr>
        <w:t>s 9, 10 a</w:t>
      </w:r>
      <w:r w:rsidR="003B2A74">
        <w:rPr>
          <w:rFonts w:cstheme="minorHAnsi"/>
          <w:b/>
          <w:bCs/>
          <w:color w:val="auto"/>
          <w:sz w:val="24"/>
          <w:szCs w:val="24"/>
        </w:rPr>
        <w:t>nd 11</w:t>
      </w:r>
      <w:r w:rsidRPr="004622F9">
        <w:rPr>
          <w:rFonts w:cstheme="minorHAnsi"/>
          <w:b/>
          <w:bCs/>
          <w:color w:val="auto"/>
          <w:sz w:val="24"/>
          <w:szCs w:val="24"/>
        </w:rPr>
        <w:t>:</w:t>
      </w:r>
      <w:r w:rsidR="004622F9" w:rsidRPr="004622F9">
        <w:rPr>
          <w:rFonts w:ascii="Arial" w:eastAsia="Arial" w:hAnsi="Arial"/>
          <w:color w:val="000000"/>
          <w:sz w:val="24"/>
          <w:szCs w:val="24"/>
          <w:lang w:eastAsia="en-GB"/>
        </w:rPr>
        <w:t xml:space="preserve"> </w:t>
      </w:r>
      <w:r w:rsidR="000D11DF">
        <w:rPr>
          <w:rFonts w:ascii="Arial" w:eastAsia="Arial" w:hAnsi="Arial"/>
          <w:color w:val="000000"/>
          <w:sz w:val="24"/>
          <w:szCs w:val="24"/>
          <w:lang w:eastAsia="en-GB"/>
        </w:rPr>
        <w:t xml:space="preserve"> </w:t>
      </w:r>
      <w:r w:rsidR="000D11DF" w:rsidRPr="000D11DF">
        <w:rPr>
          <w:rFonts w:ascii="Arial" w:eastAsia="Arial" w:hAnsi="Arial"/>
          <w:b/>
          <w:color w:val="000000"/>
          <w:sz w:val="24"/>
          <w:szCs w:val="24"/>
          <w:lang w:eastAsia="en-GB"/>
        </w:rPr>
        <w:t xml:space="preserve">With regards to current exemptions from delivery of affordable home ownership products: </w:t>
      </w:r>
    </w:p>
    <w:p w14:paraId="6C908BFA" w14:textId="77777777" w:rsidR="000D11DF" w:rsidRPr="000D11DF" w:rsidRDefault="000D11DF" w:rsidP="000D11DF">
      <w:pPr>
        <w:jc w:val="both"/>
        <w:rPr>
          <w:rFonts w:ascii="Arial" w:eastAsia="Arial" w:hAnsi="Arial"/>
          <w:color w:val="000000"/>
          <w:sz w:val="24"/>
          <w:szCs w:val="24"/>
          <w:lang w:eastAsia="en-GB"/>
        </w:rPr>
      </w:pPr>
      <w:r w:rsidRPr="000D11DF">
        <w:rPr>
          <w:rFonts w:ascii="Arial" w:eastAsia="Arial" w:hAnsi="Arial"/>
          <w:b/>
          <w:color w:val="000000"/>
          <w:sz w:val="24"/>
          <w:szCs w:val="24"/>
          <w:lang w:eastAsia="en-GB"/>
        </w:rPr>
        <w:t xml:space="preserve">Q9: Should the existing exemptions from the requirement for affordable home ownership products (e.g. for build to rent) also apply to apply to this First Homes requirement? </w:t>
      </w:r>
    </w:p>
    <w:p w14:paraId="0056E6F7" w14:textId="77777777" w:rsidR="000D11DF" w:rsidRPr="000D11DF" w:rsidRDefault="000D11DF" w:rsidP="000D11DF">
      <w:pPr>
        <w:jc w:val="both"/>
        <w:rPr>
          <w:rFonts w:ascii="Arial" w:eastAsia="Arial" w:hAnsi="Arial"/>
          <w:color w:val="000000"/>
          <w:sz w:val="24"/>
          <w:szCs w:val="24"/>
          <w:lang w:eastAsia="en-GB"/>
        </w:rPr>
      </w:pPr>
      <w:r w:rsidRPr="000D11DF">
        <w:rPr>
          <w:rFonts w:ascii="Arial" w:eastAsia="Arial" w:hAnsi="Arial"/>
          <w:b/>
          <w:color w:val="000000"/>
          <w:sz w:val="24"/>
          <w:szCs w:val="24"/>
          <w:lang w:eastAsia="en-GB"/>
        </w:rPr>
        <w:t xml:space="preserve">Q10: Are any existing exemptions not required? If not, please set out which exemptions and why. </w:t>
      </w:r>
    </w:p>
    <w:p w14:paraId="20E75000" w14:textId="77777777" w:rsidR="000D11DF" w:rsidRPr="000D11DF" w:rsidRDefault="000D11DF" w:rsidP="000D11DF">
      <w:pPr>
        <w:jc w:val="both"/>
        <w:rPr>
          <w:rFonts w:ascii="Arial" w:eastAsia="Arial" w:hAnsi="Arial"/>
          <w:color w:val="000000"/>
          <w:sz w:val="24"/>
          <w:szCs w:val="24"/>
          <w:lang w:eastAsia="en-GB"/>
        </w:rPr>
      </w:pPr>
      <w:r w:rsidRPr="000D11DF">
        <w:rPr>
          <w:rFonts w:ascii="Arial" w:eastAsia="Arial" w:hAnsi="Arial"/>
          <w:b/>
          <w:color w:val="000000"/>
          <w:sz w:val="24"/>
          <w:szCs w:val="24"/>
          <w:lang w:eastAsia="en-GB"/>
        </w:rPr>
        <w:t xml:space="preserve">Q11: Are any other exemptions needed? If so, please provide reasons and /or evidence for your views. </w:t>
      </w:r>
    </w:p>
    <w:p w14:paraId="44D91D79" w14:textId="5E340934" w:rsidR="00400EAF" w:rsidRPr="00572BAC" w:rsidRDefault="00400EAF" w:rsidP="000C70CE">
      <w:pPr>
        <w:jc w:val="both"/>
        <w:rPr>
          <w:rFonts w:cstheme="minorHAnsi"/>
          <w:b/>
          <w:bCs/>
          <w:color w:val="auto"/>
          <w:sz w:val="22"/>
          <w:szCs w:val="22"/>
        </w:rPr>
      </w:pPr>
    </w:p>
    <w:p w14:paraId="3C09A953" w14:textId="4D054060" w:rsidR="00400EAF" w:rsidRDefault="00400EAF" w:rsidP="000C70CE">
      <w:pPr>
        <w:jc w:val="both"/>
        <w:rPr>
          <w:rFonts w:cstheme="minorHAnsi"/>
          <w:b/>
          <w:bCs/>
          <w:color w:val="auto"/>
        </w:rPr>
      </w:pPr>
      <w:bookmarkStart w:id="10" w:name="_Hlk50224342"/>
      <w:r w:rsidRPr="00572BAC">
        <w:rPr>
          <w:rFonts w:cstheme="minorHAnsi"/>
          <w:b/>
          <w:bCs/>
          <w:color w:val="auto"/>
        </w:rPr>
        <w:t>Response to Question</w:t>
      </w:r>
      <w:r w:rsidR="00DD0B18">
        <w:rPr>
          <w:rFonts w:cstheme="minorHAnsi"/>
          <w:b/>
          <w:bCs/>
          <w:color w:val="auto"/>
        </w:rPr>
        <w:t>s</w:t>
      </w:r>
      <w:r w:rsidRPr="00572BAC">
        <w:rPr>
          <w:rFonts w:cstheme="minorHAnsi"/>
          <w:b/>
          <w:bCs/>
          <w:color w:val="auto"/>
        </w:rPr>
        <w:t xml:space="preserve"> 9</w:t>
      </w:r>
      <w:r w:rsidR="00DD0B18">
        <w:rPr>
          <w:rFonts w:cstheme="minorHAnsi"/>
          <w:b/>
          <w:bCs/>
          <w:color w:val="auto"/>
        </w:rPr>
        <w:t>,10 and 11</w:t>
      </w:r>
      <w:r w:rsidRPr="00572BAC">
        <w:rPr>
          <w:rFonts w:cstheme="minorHAnsi"/>
          <w:b/>
          <w:bCs/>
          <w:color w:val="auto"/>
        </w:rPr>
        <w:t xml:space="preserve">: </w:t>
      </w:r>
    </w:p>
    <w:bookmarkEnd w:id="10"/>
    <w:p w14:paraId="7324762A" w14:textId="19C46F33" w:rsidR="00D204E5" w:rsidRPr="00630331" w:rsidRDefault="00630331" w:rsidP="000C70CE">
      <w:pPr>
        <w:jc w:val="both"/>
        <w:rPr>
          <w:rFonts w:cstheme="minorHAnsi"/>
          <w:color w:val="auto"/>
        </w:rPr>
      </w:pPr>
      <w:r w:rsidRPr="00630331">
        <w:rPr>
          <w:rFonts w:cstheme="minorHAnsi"/>
          <w:color w:val="auto"/>
        </w:rPr>
        <w:t xml:space="preserve">Given the acute need for affordable </w:t>
      </w:r>
      <w:r>
        <w:rPr>
          <w:rFonts w:cstheme="minorHAnsi"/>
          <w:color w:val="auto"/>
        </w:rPr>
        <w:t xml:space="preserve">housing in London, we </w:t>
      </w:r>
      <w:r w:rsidR="00925A59">
        <w:rPr>
          <w:rFonts w:cstheme="minorHAnsi"/>
          <w:color w:val="auto"/>
        </w:rPr>
        <w:t xml:space="preserve">do </w:t>
      </w:r>
      <w:r w:rsidR="00306317">
        <w:rPr>
          <w:rFonts w:cstheme="minorHAnsi"/>
          <w:color w:val="auto"/>
        </w:rPr>
        <w:t xml:space="preserve">not </w:t>
      </w:r>
      <w:r w:rsidR="00925A59">
        <w:rPr>
          <w:rFonts w:cstheme="minorHAnsi"/>
          <w:color w:val="auto"/>
        </w:rPr>
        <w:t xml:space="preserve">support </w:t>
      </w:r>
      <w:r w:rsidR="009B1F58">
        <w:rPr>
          <w:rFonts w:cstheme="minorHAnsi"/>
          <w:color w:val="auto"/>
        </w:rPr>
        <w:t xml:space="preserve">any </w:t>
      </w:r>
      <w:r w:rsidR="00925A59">
        <w:rPr>
          <w:rFonts w:cstheme="minorHAnsi"/>
          <w:color w:val="auto"/>
        </w:rPr>
        <w:t xml:space="preserve">exemptions from </w:t>
      </w:r>
      <w:r w:rsidR="009B1F58">
        <w:rPr>
          <w:rFonts w:cstheme="minorHAnsi"/>
          <w:color w:val="auto"/>
        </w:rPr>
        <w:t xml:space="preserve">affordable housing, including the exemption </w:t>
      </w:r>
      <w:r w:rsidR="006B1C9C">
        <w:rPr>
          <w:rFonts w:cstheme="minorHAnsi"/>
          <w:color w:val="auto"/>
        </w:rPr>
        <w:t xml:space="preserve">which </w:t>
      </w:r>
      <w:r w:rsidR="00306317">
        <w:rPr>
          <w:rFonts w:cstheme="minorHAnsi"/>
          <w:color w:val="auto"/>
        </w:rPr>
        <w:t xml:space="preserve">currently </w:t>
      </w:r>
      <w:r w:rsidR="006B1C9C">
        <w:rPr>
          <w:rFonts w:cstheme="minorHAnsi"/>
          <w:color w:val="auto"/>
        </w:rPr>
        <w:t xml:space="preserve">applies to Permitted Development Rights. </w:t>
      </w:r>
      <w:r w:rsidR="00207DA9">
        <w:rPr>
          <w:rFonts w:cstheme="minorHAnsi"/>
          <w:color w:val="auto"/>
        </w:rPr>
        <w:t xml:space="preserve"> As regards, First Homes, we </w:t>
      </w:r>
      <w:r w:rsidR="00F52833">
        <w:rPr>
          <w:rFonts w:cstheme="minorHAnsi"/>
          <w:color w:val="auto"/>
        </w:rPr>
        <w:t xml:space="preserve">consider that councils should </w:t>
      </w:r>
      <w:r w:rsidR="00075FEF">
        <w:rPr>
          <w:rFonts w:cstheme="minorHAnsi"/>
          <w:color w:val="auto"/>
        </w:rPr>
        <w:t xml:space="preserve">be free to </w:t>
      </w:r>
      <w:r w:rsidR="00F52833">
        <w:rPr>
          <w:rFonts w:cstheme="minorHAnsi"/>
          <w:color w:val="auto"/>
        </w:rPr>
        <w:t xml:space="preserve">decide whether to include this tenure within their </w:t>
      </w:r>
      <w:r w:rsidR="00CA1299">
        <w:rPr>
          <w:rFonts w:cstheme="minorHAnsi"/>
          <w:color w:val="auto"/>
        </w:rPr>
        <w:t xml:space="preserve">local </w:t>
      </w:r>
      <w:r w:rsidR="00F049D0">
        <w:rPr>
          <w:rFonts w:cstheme="minorHAnsi"/>
          <w:color w:val="auto"/>
        </w:rPr>
        <w:t xml:space="preserve">affordable housing </w:t>
      </w:r>
      <w:r w:rsidR="00CA1299">
        <w:rPr>
          <w:rFonts w:cstheme="minorHAnsi"/>
          <w:color w:val="auto"/>
        </w:rPr>
        <w:t>requirement</w:t>
      </w:r>
      <w:r w:rsidR="00AF4EA4">
        <w:rPr>
          <w:rFonts w:cstheme="minorHAnsi"/>
          <w:color w:val="auto"/>
        </w:rPr>
        <w:t>s</w:t>
      </w:r>
      <w:r w:rsidR="00F049D0">
        <w:rPr>
          <w:rFonts w:cstheme="minorHAnsi"/>
          <w:color w:val="auto"/>
        </w:rPr>
        <w:t xml:space="preserve">. </w:t>
      </w:r>
    </w:p>
    <w:p w14:paraId="27584FC7" w14:textId="77777777" w:rsidR="00D204E5" w:rsidRDefault="00D204E5" w:rsidP="000C70CE">
      <w:pPr>
        <w:jc w:val="both"/>
        <w:rPr>
          <w:rFonts w:cstheme="minorHAnsi"/>
          <w:b/>
          <w:bCs/>
          <w:color w:val="auto"/>
        </w:rPr>
      </w:pPr>
    </w:p>
    <w:p w14:paraId="0725FBAC" w14:textId="77777777" w:rsidR="00B45983" w:rsidRPr="00B45983" w:rsidRDefault="001C785E" w:rsidP="00B45983">
      <w:pPr>
        <w:jc w:val="both"/>
        <w:rPr>
          <w:rFonts w:cstheme="minorHAnsi"/>
          <w:b/>
          <w:bCs/>
          <w:color w:val="auto"/>
          <w:sz w:val="24"/>
          <w:szCs w:val="24"/>
        </w:rPr>
      </w:pPr>
      <w:r w:rsidRPr="00697203">
        <w:rPr>
          <w:rFonts w:cstheme="minorHAnsi"/>
          <w:b/>
          <w:bCs/>
          <w:color w:val="auto"/>
          <w:sz w:val="24"/>
          <w:szCs w:val="24"/>
        </w:rPr>
        <w:t xml:space="preserve">Question 12:  </w:t>
      </w:r>
      <w:r w:rsidR="00B45983" w:rsidRPr="00B45983">
        <w:rPr>
          <w:rFonts w:cstheme="minorHAnsi"/>
          <w:b/>
          <w:bCs/>
          <w:color w:val="auto"/>
          <w:sz w:val="24"/>
          <w:szCs w:val="24"/>
        </w:rPr>
        <w:t xml:space="preserve">Do you agree with the proposed approach to transitional arrangements set out above? </w:t>
      </w:r>
    </w:p>
    <w:p w14:paraId="26977105" w14:textId="5734B672" w:rsidR="00697203" w:rsidRPr="00697203" w:rsidRDefault="00697203" w:rsidP="006429CC">
      <w:pPr>
        <w:jc w:val="both"/>
        <w:rPr>
          <w:rFonts w:cstheme="minorHAnsi"/>
          <w:b/>
          <w:bCs/>
          <w:color w:val="auto"/>
          <w:sz w:val="24"/>
          <w:szCs w:val="24"/>
        </w:rPr>
      </w:pPr>
    </w:p>
    <w:p w14:paraId="40829F57" w14:textId="07AA7884" w:rsidR="00400EAF" w:rsidRPr="00572BAC" w:rsidRDefault="00400EAF" w:rsidP="000C70CE">
      <w:pPr>
        <w:jc w:val="both"/>
        <w:rPr>
          <w:rFonts w:cstheme="minorHAnsi"/>
          <w:b/>
          <w:bCs/>
          <w:color w:val="auto"/>
        </w:rPr>
      </w:pPr>
      <w:bookmarkStart w:id="11" w:name="_Hlk19707344"/>
      <w:r w:rsidRPr="00572BAC">
        <w:rPr>
          <w:rFonts w:cstheme="minorHAnsi"/>
          <w:b/>
          <w:bCs/>
          <w:color w:val="auto"/>
        </w:rPr>
        <w:t xml:space="preserve">Response to Question 12: </w:t>
      </w:r>
    </w:p>
    <w:p w14:paraId="5DA0E23A" w14:textId="49ECBAC3" w:rsidR="00EB271E" w:rsidRPr="00AF4EA4" w:rsidRDefault="00EB271E" w:rsidP="000C70CE">
      <w:pPr>
        <w:jc w:val="both"/>
        <w:rPr>
          <w:rFonts w:cstheme="minorHAnsi"/>
          <w:color w:val="auto"/>
        </w:rPr>
      </w:pPr>
      <w:bookmarkStart w:id="12" w:name="_Hlk51835561"/>
      <w:bookmarkEnd w:id="11"/>
      <w:r w:rsidRPr="00AF4EA4">
        <w:rPr>
          <w:rFonts w:cstheme="minorHAnsi"/>
          <w:color w:val="auto"/>
        </w:rPr>
        <w:t xml:space="preserve">We do not support the </w:t>
      </w:r>
      <w:r w:rsidR="00170040" w:rsidRPr="00AF4EA4">
        <w:rPr>
          <w:rFonts w:cstheme="minorHAnsi"/>
          <w:color w:val="auto"/>
        </w:rPr>
        <w:t xml:space="preserve">proposed </w:t>
      </w:r>
      <w:r w:rsidRPr="00AF4EA4">
        <w:rPr>
          <w:rFonts w:cstheme="minorHAnsi"/>
          <w:color w:val="auto"/>
        </w:rPr>
        <w:t xml:space="preserve">arrangements for </w:t>
      </w:r>
      <w:r w:rsidR="00170040" w:rsidRPr="00AF4EA4">
        <w:rPr>
          <w:rFonts w:cstheme="minorHAnsi"/>
          <w:color w:val="auto"/>
        </w:rPr>
        <w:t xml:space="preserve">the introduction of </w:t>
      </w:r>
      <w:r w:rsidRPr="00AF4EA4">
        <w:rPr>
          <w:rFonts w:cstheme="minorHAnsi"/>
          <w:color w:val="auto"/>
        </w:rPr>
        <w:t>‘First Homes’</w:t>
      </w:r>
      <w:r w:rsidR="000132B6" w:rsidRPr="00AF4EA4">
        <w:rPr>
          <w:rFonts w:cstheme="minorHAnsi"/>
          <w:color w:val="auto"/>
        </w:rPr>
        <w:t xml:space="preserve"> as councils should </w:t>
      </w:r>
      <w:r w:rsidR="00DB21F8" w:rsidRPr="00AF4EA4">
        <w:rPr>
          <w:rFonts w:cstheme="minorHAnsi"/>
          <w:color w:val="auto"/>
        </w:rPr>
        <w:t xml:space="preserve">be able to decide whether ‘First Homes’ </w:t>
      </w:r>
      <w:r w:rsidR="00B517DE" w:rsidRPr="00AF4EA4">
        <w:rPr>
          <w:rFonts w:cstheme="minorHAnsi"/>
          <w:color w:val="auto"/>
        </w:rPr>
        <w:t xml:space="preserve">is the most suitable affordable housing tenure to meet </w:t>
      </w:r>
      <w:r w:rsidR="0058480F" w:rsidRPr="00AF4EA4">
        <w:rPr>
          <w:rFonts w:cstheme="minorHAnsi"/>
          <w:color w:val="auto"/>
        </w:rPr>
        <w:t xml:space="preserve">housing need in their area.  </w:t>
      </w:r>
      <w:r w:rsidRPr="00AF4EA4">
        <w:rPr>
          <w:rFonts w:cstheme="minorHAnsi"/>
          <w:color w:val="auto"/>
        </w:rPr>
        <w:t xml:space="preserve"> </w:t>
      </w:r>
    </w:p>
    <w:bookmarkEnd w:id="12"/>
    <w:p w14:paraId="79AE5E64" w14:textId="31681857" w:rsidR="00554A80" w:rsidRPr="00AF4EA4" w:rsidRDefault="00554A80" w:rsidP="000C70CE">
      <w:pPr>
        <w:jc w:val="both"/>
        <w:rPr>
          <w:rFonts w:cstheme="minorHAnsi"/>
          <w:color w:val="auto"/>
        </w:rPr>
      </w:pPr>
    </w:p>
    <w:p w14:paraId="779EEE6B" w14:textId="77777777" w:rsidR="00E20791" w:rsidRPr="00E20791" w:rsidRDefault="001C785E" w:rsidP="00E20791">
      <w:pPr>
        <w:jc w:val="both"/>
        <w:rPr>
          <w:rFonts w:cstheme="minorHAnsi"/>
          <w:b/>
          <w:bCs/>
          <w:color w:val="auto"/>
          <w:sz w:val="24"/>
          <w:szCs w:val="24"/>
        </w:rPr>
      </w:pPr>
      <w:bookmarkStart w:id="13" w:name="_Hlk50224994"/>
      <w:r w:rsidRPr="00015D1C">
        <w:rPr>
          <w:rFonts w:cstheme="minorHAnsi"/>
          <w:b/>
          <w:bCs/>
          <w:color w:val="auto"/>
          <w:sz w:val="24"/>
          <w:szCs w:val="24"/>
        </w:rPr>
        <w:t xml:space="preserve">Question 13: </w:t>
      </w:r>
      <w:bookmarkEnd w:id="13"/>
      <w:r w:rsidRPr="00015D1C">
        <w:rPr>
          <w:rFonts w:cstheme="minorHAnsi"/>
          <w:b/>
          <w:bCs/>
          <w:color w:val="auto"/>
          <w:sz w:val="24"/>
          <w:szCs w:val="24"/>
        </w:rPr>
        <w:t xml:space="preserve"> </w:t>
      </w:r>
      <w:r w:rsidR="00E20791" w:rsidRPr="00E20791">
        <w:rPr>
          <w:rFonts w:cstheme="minorHAnsi"/>
          <w:b/>
          <w:bCs/>
          <w:color w:val="auto"/>
          <w:sz w:val="24"/>
          <w:szCs w:val="24"/>
        </w:rPr>
        <w:t xml:space="preserve">Do you agree with the proposed approach to different levels of discount? </w:t>
      </w:r>
    </w:p>
    <w:p w14:paraId="1CA934B6" w14:textId="272D75A2" w:rsidR="000E3C7C" w:rsidRDefault="000E3C7C" w:rsidP="00B45983">
      <w:pPr>
        <w:jc w:val="both"/>
        <w:rPr>
          <w:rFonts w:cstheme="minorHAnsi"/>
          <w:b/>
          <w:bCs/>
          <w:color w:val="auto"/>
          <w:sz w:val="24"/>
          <w:szCs w:val="24"/>
        </w:rPr>
      </w:pPr>
    </w:p>
    <w:p w14:paraId="43651F31" w14:textId="1220E326" w:rsidR="000E3C7C" w:rsidRDefault="000E3C7C" w:rsidP="000C70CE">
      <w:pPr>
        <w:jc w:val="both"/>
        <w:rPr>
          <w:rFonts w:cstheme="minorHAnsi"/>
          <w:color w:val="auto"/>
        </w:rPr>
      </w:pPr>
      <w:bookmarkStart w:id="14" w:name="_Hlk19707710"/>
      <w:r w:rsidRPr="00572BAC">
        <w:rPr>
          <w:rFonts w:cstheme="minorHAnsi"/>
          <w:b/>
          <w:bCs/>
          <w:color w:val="auto"/>
        </w:rPr>
        <w:t>Response to Question 13:</w:t>
      </w:r>
      <w:bookmarkEnd w:id="14"/>
      <w:r w:rsidR="00CD3232" w:rsidRPr="00572BAC">
        <w:rPr>
          <w:rFonts w:cstheme="minorHAnsi"/>
          <w:color w:val="auto"/>
        </w:rPr>
        <w:t xml:space="preserve"> </w:t>
      </w:r>
    </w:p>
    <w:p w14:paraId="7AAD1607" w14:textId="67CF6A52" w:rsidR="00554A80" w:rsidRDefault="0058480F" w:rsidP="000C70CE">
      <w:pPr>
        <w:jc w:val="both"/>
        <w:rPr>
          <w:rFonts w:cstheme="minorHAnsi"/>
          <w:color w:val="auto"/>
        </w:rPr>
      </w:pPr>
      <w:r>
        <w:rPr>
          <w:rFonts w:cstheme="minorHAnsi"/>
          <w:color w:val="auto"/>
        </w:rPr>
        <w:t xml:space="preserve">We </w:t>
      </w:r>
      <w:r w:rsidR="00B92ADD">
        <w:rPr>
          <w:rFonts w:cstheme="minorHAnsi"/>
          <w:color w:val="auto"/>
        </w:rPr>
        <w:t xml:space="preserve">consider that councils who wish to introduce ‘First Homes’ should </w:t>
      </w:r>
      <w:r w:rsidR="00682C32">
        <w:rPr>
          <w:rFonts w:cstheme="minorHAnsi"/>
          <w:color w:val="auto"/>
        </w:rPr>
        <w:t xml:space="preserve">be able to set the levels of discount which best apply in their area.  </w:t>
      </w:r>
      <w:r w:rsidR="00EA472B">
        <w:rPr>
          <w:rFonts w:cstheme="minorHAnsi"/>
          <w:color w:val="auto"/>
        </w:rPr>
        <w:t>If a council decides that a discount level above 30</w:t>
      </w:r>
      <w:r w:rsidR="00666B60">
        <w:rPr>
          <w:rFonts w:cstheme="minorHAnsi"/>
          <w:color w:val="auto"/>
        </w:rPr>
        <w:t>% is appropriate, the</w:t>
      </w:r>
      <w:r w:rsidR="00EF6162">
        <w:rPr>
          <w:rFonts w:cstheme="minorHAnsi"/>
          <w:color w:val="auto"/>
        </w:rPr>
        <w:t>y should be able to reduce the</w:t>
      </w:r>
      <w:r w:rsidR="00666B60">
        <w:rPr>
          <w:rFonts w:cstheme="minorHAnsi"/>
          <w:color w:val="auto"/>
        </w:rPr>
        <w:t xml:space="preserve"> </w:t>
      </w:r>
      <w:r w:rsidR="00FA7F79">
        <w:rPr>
          <w:rFonts w:cstheme="minorHAnsi"/>
          <w:color w:val="auto"/>
        </w:rPr>
        <w:t xml:space="preserve">overall </w:t>
      </w:r>
      <w:r w:rsidR="00666B60">
        <w:rPr>
          <w:rFonts w:cstheme="minorHAnsi"/>
          <w:color w:val="auto"/>
        </w:rPr>
        <w:t xml:space="preserve">number of ‘First Homes’ </w:t>
      </w:r>
      <w:r w:rsidR="00AB5D63">
        <w:rPr>
          <w:rFonts w:cstheme="minorHAnsi"/>
          <w:color w:val="auto"/>
        </w:rPr>
        <w:t xml:space="preserve">delivered </w:t>
      </w:r>
      <w:r w:rsidR="007D44D7">
        <w:rPr>
          <w:rFonts w:cstheme="minorHAnsi"/>
          <w:color w:val="auto"/>
        </w:rPr>
        <w:t xml:space="preserve">accordingly, </w:t>
      </w:r>
      <w:r w:rsidR="00AB5D63">
        <w:rPr>
          <w:rFonts w:cstheme="minorHAnsi"/>
          <w:color w:val="auto"/>
        </w:rPr>
        <w:t xml:space="preserve">in order to </w:t>
      </w:r>
      <w:r w:rsidR="00836EB4">
        <w:rPr>
          <w:rFonts w:cstheme="minorHAnsi"/>
          <w:color w:val="auto"/>
        </w:rPr>
        <w:t xml:space="preserve">flexibly </w:t>
      </w:r>
      <w:r w:rsidR="00BF0EC6">
        <w:rPr>
          <w:rFonts w:cstheme="minorHAnsi"/>
          <w:color w:val="auto"/>
        </w:rPr>
        <w:t>ma</w:t>
      </w:r>
      <w:r w:rsidR="00CD40F8">
        <w:rPr>
          <w:rFonts w:cstheme="minorHAnsi"/>
          <w:color w:val="auto"/>
        </w:rPr>
        <w:t xml:space="preserve">nage </w:t>
      </w:r>
      <w:r w:rsidR="00BE7B59">
        <w:rPr>
          <w:rFonts w:cstheme="minorHAnsi"/>
          <w:color w:val="auto"/>
        </w:rPr>
        <w:t>a</w:t>
      </w:r>
      <w:r w:rsidR="000B757D">
        <w:rPr>
          <w:rFonts w:cstheme="minorHAnsi"/>
          <w:color w:val="auto"/>
        </w:rPr>
        <w:t>ffordable housing contribution</w:t>
      </w:r>
      <w:r w:rsidR="00BE7B59">
        <w:rPr>
          <w:rFonts w:cstheme="minorHAnsi"/>
          <w:color w:val="auto"/>
        </w:rPr>
        <w:t>s</w:t>
      </w:r>
      <w:r w:rsidR="000B757D">
        <w:rPr>
          <w:rFonts w:cstheme="minorHAnsi"/>
          <w:color w:val="auto"/>
        </w:rPr>
        <w:t xml:space="preserve">. </w:t>
      </w:r>
      <w:r w:rsidR="00BF0EC6">
        <w:rPr>
          <w:rFonts w:cstheme="minorHAnsi"/>
          <w:color w:val="auto"/>
        </w:rPr>
        <w:t xml:space="preserve">  </w:t>
      </w:r>
    </w:p>
    <w:p w14:paraId="19406E89" w14:textId="584895F7" w:rsidR="00AB5D63" w:rsidRDefault="00AB5D63" w:rsidP="000C70CE">
      <w:pPr>
        <w:jc w:val="both"/>
        <w:rPr>
          <w:rFonts w:cstheme="minorHAnsi"/>
          <w:color w:val="auto"/>
        </w:rPr>
      </w:pPr>
    </w:p>
    <w:p w14:paraId="197A898D" w14:textId="77777777" w:rsidR="00314AE0" w:rsidRPr="00314AE0" w:rsidRDefault="001C785E" w:rsidP="00314AE0">
      <w:pPr>
        <w:jc w:val="both"/>
        <w:rPr>
          <w:rFonts w:cstheme="minorHAnsi"/>
          <w:b/>
          <w:bCs/>
          <w:color w:val="auto"/>
          <w:sz w:val="24"/>
          <w:szCs w:val="24"/>
        </w:rPr>
      </w:pPr>
      <w:r w:rsidRPr="00015D1C">
        <w:rPr>
          <w:rFonts w:cstheme="minorHAnsi"/>
          <w:b/>
          <w:bCs/>
          <w:color w:val="auto"/>
          <w:sz w:val="24"/>
          <w:szCs w:val="24"/>
        </w:rPr>
        <w:t xml:space="preserve">Question 14: </w:t>
      </w:r>
      <w:r w:rsidR="00AA6D26">
        <w:rPr>
          <w:rFonts w:cstheme="minorHAnsi"/>
          <w:b/>
          <w:bCs/>
          <w:color w:val="auto"/>
          <w:sz w:val="24"/>
          <w:szCs w:val="24"/>
        </w:rPr>
        <w:t xml:space="preserve"> </w:t>
      </w:r>
      <w:r w:rsidR="00314AE0" w:rsidRPr="00314AE0">
        <w:rPr>
          <w:rFonts w:cstheme="minorHAnsi"/>
          <w:b/>
          <w:bCs/>
          <w:color w:val="auto"/>
          <w:sz w:val="24"/>
          <w:szCs w:val="24"/>
        </w:rPr>
        <w:t xml:space="preserve">Do you agree with the approach of allowing a small proportion of market housing on First Homes exception sites, in order to ensure site viability? </w:t>
      </w:r>
    </w:p>
    <w:p w14:paraId="7C880E42" w14:textId="0CFBB8B9" w:rsidR="00314AE0" w:rsidRPr="00015D1C" w:rsidRDefault="00314AE0" w:rsidP="00314AE0">
      <w:pPr>
        <w:jc w:val="both"/>
        <w:rPr>
          <w:rFonts w:cstheme="minorHAnsi"/>
          <w:b/>
          <w:bCs/>
          <w:color w:val="auto"/>
          <w:sz w:val="24"/>
          <w:szCs w:val="24"/>
        </w:rPr>
      </w:pPr>
    </w:p>
    <w:p w14:paraId="3465E63B" w14:textId="07117E4C" w:rsidR="00015D1C" w:rsidRDefault="00015D1C" w:rsidP="00015D1C">
      <w:pPr>
        <w:jc w:val="both"/>
        <w:rPr>
          <w:rFonts w:cstheme="minorHAnsi"/>
          <w:color w:val="auto"/>
        </w:rPr>
      </w:pPr>
      <w:r w:rsidRPr="00572BAC">
        <w:rPr>
          <w:rFonts w:cstheme="minorHAnsi"/>
          <w:b/>
          <w:bCs/>
          <w:color w:val="auto"/>
        </w:rPr>
        <w:t xml:space="preserve">Response to Question </w:t>
      </w:r>
      <w:r>
        <w:rPr>
          <w:rFonts w:cstheme="minorHAnsi"/>
          <w:b/>
          <w:bCs/>
          <w:color w:val="auto"/>
        </w:rPr>
        <w:t>14</w:t>
      </w:r>
      <w:r w:rsidRPr="00572BAC">
        <w:rPr>
          <w:rFonts w:cstheme="minorHAnsi"/>
          <w:b/>
          <w:bCs/>
          <w:color w:val="auto"/>
        </w:rPr>
        <w:t>:</w:t>
      </w:r>
      <w:r w:rsidRPr="00572BAC">
        <w:rPr>
          <w:rFonts w:cstheme="minorHAnsi"/>
          <w:color w:val="auto"/>
        </w:rPr>
        <w:t xml:space="preserve"> </w:t>
      </w:r>
    </w:p>
    <w:p w14:paraId="72CC1E94" w14:textId="77777777" w:rsidR="006F50A2" w:rsidRPr="00AF4EA4" w:rsidRDefault="006F50A2" w:rsidP="006F50A2">
      <w:pPr>
        <w:jc w:val="both"/>
        <w:rPr>
          <w:rFonts w:cstheme="minorHAnsi"/>
          <w:color w:val="auto"/>
        </w:rPr>
      </w:pPr>
      <w:r w:rsidRPr="00AF4EA4">
        <w:rPr>
          <w:rFonts w:cstheme="minorHAnsi"/>
          <w:color w:val="auto"/>
        </w:rPr>
        <w:t xml:space="preserve">We do not support the proposed arrangements for the introduction of ‘First Homes’ as councils should be able to decide whether ‘First Homes’ is the most suitable affordable housing tenure to meet housing need in their area.   </w:t>
      </w:r>
    </w:p>
    <w:p w14:paraId="37405AE7" w14:textId="77777777" w:rsidR="006F50A2" w:rsidRPr="006F50A2" w:rsidRDefault="006F50A2" w:rsidP="000C70CE">
      <w:pPr>
        <w:jc w:val="both"/>
        <w:rPr>
          <w:rFonts w:cstheme="minorHAnsi"/>
          <w:color w:val="auto"/>
          <w:sz w:val="22"/>
          <w:szCs w:val="22"/>
        </w:rPr>
      </w:pPr>
    </w:p>
    <w:p w14:paraId="69FEE3A7" w14:textId="23CE73F2" w:rsidR="00787484" w:rsidRPr="00787484" w:rsidRDefault="001C785E" w:rsidP="00314AE0">
      <w:pPr>
        <w:ind w:left="10"/>
        <w:jc w:val="both"/>
        <w:rPr>
          <w:rFonts w:cstheme="minorHAnsi"/>
          <w:b/>
          <w:bCs/>
          <w:color w:val="auto"/>
          <w:sz w:val="24"/>
          <w:szCs w:val="24"/>
        </w:rPr>
      </w:pPr>
      <w:r w:rsidRPr="00787484">
        <w:rPr>
          <w:rFonts w:cstheme="minorHAnsi"/>
          <w:b/>
          <w:bCs/>
          <w:color w:val="auto"/>
          <w:sz w:val="24"/>
          <w:szCs w:val="24"/>
        </w:rPr>
        <w:t xml:space="preserve">Question 15:  </w:t>
      </w:r>
      <w:r w:rsidR="002E6B3E" w:rsidRPr="002E6B3E">
        <w:rPr>
          <w:rFonts w:cstheme="minorHAnsi"/>
          <w:b/>
          <w:bCs/>
          <w:color w:val="auto"/>
          <w:sz w:val="24"/>
          <w:szCs w:val="24"/>
        </w:rPr>
        <w:t xml:space="preserve">Do you agree with the removal of the site size threshold set out in the National Planning Policy Framework?  </w:t>
      </w:r>
    </w:p>
    <w:p w14:paraId="495FBBD3" w14:textId="0459FE68" w:rsidR="001C785E" w:rsidRPr="00572BAC" w:rsidRDefault="001C785E" w:rsidP="000C70CE">
      <w:pPr>
        <w:jc w:val="both"/>
        <w:rPr>
          <w:rFonts w:cstheme="minorHAnsi"/>
          <w:color w:val="auto"/>
          <w:sz w:val="22"/>
          <w:szCs w:val="22"/>
        </w:rPr>
      </w:pPr>
    </w:p>
    <w:p w14:paraId="4CF83790" w14:textId="13162B39" w:rsidR="00AE2487" w:rsidRPr="00572BAC" w:rsidRDefault="00AE2487" w:rsidP="000C70CE">
      <w:pPr>
        <w:jc w:val="both"/>
        <w:rPr>
          <w:rFonts w:cstheme="minorHAnsi"/>
          <w:b/>
          <w:bCs/>
          <w:color w:val="auto"/>
        </w:rPr>
      </w:pPr>
      <w:r w:rsidRPr="00572BAC">
        <w:rPr>
          <w:rFonts w:cstheme="minorHAnsi"/>
          <w:b/>
          <w:bCs/>
          <w:color w:val="auto"/>
        </w:rPr>
        <w:t xml:space="preserve">Response to Question 15: </w:t>
      </w:r>
    </w:p>
    <w:p w14:paraId="3898FC5B" w14:textId="77777777" w:rsidR="00794349" w:rsidRPr="00AF4EA4" w:rsidRDefault="00794349" w:rsidP="00794349">
      <w:pPr>
        <w:jc w:val="both"/>
        <w:rPr>
          <w:rFonts w:cstheme="minorHAnsi"/>
          <w:color w:val="auto"/>
        </w:rPr>
      </w:pPr>
      <w:r w:rsidRPr="00AF4EA4">
        <w:rPr>
          <w:rFonts w:cstheme="minorHAnsi"/>
          <w:color w:val="auto"/>
        </w:rPr>
        <w:t xml:space="preserve">We do not support the proposed arrangements for the introduction of ‘First Homes’ as councils should be able to decide whether ‘First Homes’ is the most suitable affordable housing tenure to meet housing need in their area.   </w:t>
      </w:r>
    </w:p>
    <w:p w14:paraId="60AADA18" w14:textId="157DB3B2" w:rsidR="009704DB" w:rsidRPr="00794349" w:rsidRDefault="009704DB" w:rsidP="000C70CE">
      <w:pPr>
        <w:jc w:val="both"/>
        <w:rPr>
          <w:rFonts w:cstheme="minorHAnsi"/>
          <w:color w:val="7030A0"/>
        </w:rPr>
      </w:pPr>
    </w:p>
    <w:p w14:paraId="091C431F" w14:textId="77777777" w:rsidR="00C53CDB" w:rsidRPr="00C53CDB" w:rsidRDefault="001C785E" w:rsidP="00C53CDB">
      <w:pPr>
        <w:ind w:left="10"/>
        <w:jc w:val="both"/>
        <w:rPr>
          <w:rFonts w:cstheme="minorHAnsi"/>
          <w:b/>
          <w:bCs/>
          <w:color w:val="auto"/>
          <w:sz w:val="24"/>
          <w:szCs w:val="24"/>
        </w:rPr>
      </w:pPr>
      <w:r w:rsidRPr="00AA6D26">
        <w:rPr>
          <w:rFonts w:cstheme="minorHAnsi"/>
          <w:b/>
          <w:bCs/>
          <w:color w:val="auto"/>
          <w:sz w:val="24"/>
          <w:szCs w:val="24"/>
        </w:rPr>
        <w:t xml:space="preserve">Question 16:  </w:t>
      </w:r>
      <w:r w:rsidR="00C53CDB" w:rsidRPr="00C53CDB">
        <w:rPr>
          <w:rFonts w:cstheme="minorHAnsi"/>
          <w:b/>
          <w:bCs/>
          <w:color w:val="auto"/>
          <w:sz w:val="24"/>
          <w:szCs w:val="24"/>
        </w:rPr>
        <w:t xml:space="preserve">Do you agree that the First Homes exception sites policy should not apply in designated rural areas? </w:t>
      </w:r>
    </w:p>
    <w:p w14:paraId="087A6B8F" w14:textId="1C47B01D" w:rsidR="00323588" w:rsidRPr="00323588" w:rsidRDefault="00323588" w:rsidP="002E6B3E">
      <w:pPr>
        <w:ind w:left="10"/>
        <w:jc w:val="both"/>
        <w:rPr>
          <w:rFonts w:cstheme="minorHAnsi"/>
          <w:b/>
          <w:bCs/>
          <w:color w:val="auto"/>
          <w:sz w:val="24"/>
          <w:szCs w:val="24"/>
        </w:rPr>
      </w:pPr>
    </w:p>
    <w:p w14:paraId="2C1C9709" w14:textId="6E37C81E" w:rsidR="00AE2487" w:rsidRPr="00572BAC" w:rsidRDefault="00AE2487" w:rsidP="000C70CE">
      <w:pPr>
        <w:jc w:val="both"/>
        <w:rPr>
          <w:rFonts w:cstheme="minorHAnsi"/>
          <w:b/>
          <w:bCs/>
          <w:color w:val="auto"/>
        </w:rPr>
      </w:pPr>
      <w:r w:rsidRPr="00572BAC">
        <w:rPr>
          <w:rFonts w:cstheme="minorHAnsi"/>
          <w:b/>
          <w:bCs/>
          <w:color w:val="auto"/>
        </w:rPr>
        <w:t xml:space="preserve">Response to Question 16: </w:t>
      </w:r>
    </w:p>
    <w:p w14:paraId="2F7EC54F" w14:textId="79677ABC" w:rsidR="00071A41" w:rsidRPr="00572BAC" w:rsidRDefault="00071A41" w:rsidP="000C70CE">
      <w:pPr>
        <w:jc w:val="both"/>
        <w:rPr>
          <w:rFonts w:cstheme="minorHAnsi"/>
          <w:color w:val="auto"/>
          <w:sz w:val="22"/>
          <w:szCs w:val="22"/>
        </w:rPr>
      </w:pPr>
      <w:r>
        <w:rPr>
          <w:rFonts w:cstheme="minorHAnsi"/>
          <w:color w:val="auto"/>
          <w:sz w:val="22"/>
          <w:szCs w:val="22"/>
        </w:rPr>
        <w:t>Other stakeholders are better placed to comment.</w:t>
      </w:r>
    </w:p>
    <w:p w14:paraId="4E719DBF" w14:textId="0306B91E" w:rsidR="00F0569E" w:rsidRDefault="00F0569E" w:rsidP="000C70CE">
      <w:pPr>
        <w:jc w:val="both"/>
        <w:rPr>
          <w:rFonts w:cstheme="minorHAnsi"/>
          <w:color w:val="auto"/>
          <w:sz w:val="22"/>
          <w:szCs w:val="22"/>
        </w:rPr>
      </w:pPr>
    </w:p>
    <w:p w14:paraId="1EA30BAB" w14:textId="77777777" w:rsidR="00EB602B" w:rsidRPr="00572BAC" w:rsidRDefault="00EB602B" w:rsidP="000C70CE">
      <w:pPr>
        <w:jc w:val="both"/>
        <w:rPr>
          <w:rFonts w:cstheme="minorHAnsi"/>
          <w:color w:val="auto"/>
          <w:sz w:val="22"/>
          <w:szCs w:val="22"/>
        </w:rPr>
      </w:pPr>
    </w:p>
    <w:p w14:paraId="2970BB0F" w14:textId="4AB7820F" w:rsidR="00BB4E7A" w:rsidRPr="00BB4E7A" w:rsidRDefault="001C785E" w:rsidP="00D01164">
      <w:pPr>
        <w:jc w:val="both"/>
        <w:rPr>
          <w:rFonts w:cstheme="minorHAnsi"/>
          <w:b/>
          <w:bCs/>
          <w:color w:val="auto"/>
          <w:sz w:val="24"/>
          <w:szCs w:val="24"/>
        </w:rPr>
      </w:pPr>
      <w:r w:rsidRPr="00BB4E7A">
        <w:rPr>
          <w:rFonts w:cstheme="minorHAnsi"/>
          <w:b/>
          <w:bCs/>
          <w:color w:val="auto"/>
          <w:sz w:val="24"/>
          <w:szCs w:val="24"/>
        </w:rPr>
        <w:t xml:space="preserve">Question 17:  </w:t>
      </w:r>
      <w:r w:rsidR="00F33975" w:rsidRPr="00F33975">
        <w:rPr>
          <w:rFonts w:cstheme="minorHAnsi"/>
          <w:b/>
          <w:bCs/>
          <w:color w:val="auto"/>
          <w:sz w:val="24"/>
          <w:szCs w:val="24"/>
        </w:rPr>
        <w:t xml:space="preserve">Do you agree with the proposed approach to raise the small sites threshold for a time-limited period?  </w:t>
      </w:r>
    </w:p>
    <w:p w14:paraId="714B30DD" w14:textId="64C4FD32" w:rsidR="001C785E" w:rsidRPr="00AE10A7" w:rsidRDefault="001C785E" w:rsidP="000C70CE">
      <w:pPr>
        <w:jc w:val="both"/>
        <w:rPr>
          <w:rFonts w:cstheme="minorHAnsi"/>
          <w:b/>
          <w:bCs/>
          <w:color w:val="auto"/>
          <w:sz w:val="22"/>
          <w:szCs w:val="22"/>
        </w:rPr>
      </w:pPr>
    </w:p>
    <w:p w14:paraId="1D9222C2" w14:textId="0A808061" w:rsidR="00AE2487" w:rsidRPr="00AE10A7" w:rsidRDefault="00AE2487" w:rsidP="000C70CE">
      <w:pPr>
        <w:jc w:val="both"/>
        <w:rPr>
          <w:rFonts w:cstheme="minorHAnsi"/>
          <w:b/>
          <w:bCs/>
          <w:color w:val="auto"/>
        </w:rPr>
      </w:pPr>
      <w:r w:rsidRPr="00AE10A7">
        <w:rPr>
          <w:rFonts w:cstheme="minorHAnsi"/>
          <w:b/>
          <w:bCs/>
          <w:color w:val="auto"/>
        </w:rPr>
        <w:t xml:space="preserve">Response to Question 17: </w:t>
      </w:r>
    </w:p>
    <w:p w14:paraId="49FEA802" w14:textId="77619DA9" w:rsidR="00833C31" w:rsidRDefault="002919BD" w:rsidP="00833C31">
      <w:pPr>
        <w:rPr>
          <w:rFonts w:cstheme="minorHAnsi"/>
          <w:color w:val="auto"/>
        </w:rPr>
      </w:pPr>
      <w:r w:rsidRPr="00266894">
        <w:rPr>
          <w:rFonts w:cstheme="minorHAnsi"/>
          <w:color w:val="auto"/>
        </w:rPr>
        <w:t>No</w:t>
      </w:r>
      <w:r w:rsidR="00266894" w:rsidRPr="00266894">
        <w:rPr>
          <w:rFonts w:cstheme="minorHAnsi"/>
          <w:color w:val="auto"/>
        </w:rPr>
        <w:t xml:space="preserve">.  </w:t>
      </w:r>
      <w:r w:rsidR="00833C31" w:rsidRPr="00833C31">
        <w:rPr>
          <w:rFonts w:cstheme="minorHAnsi"/>
          <w:color w:val="auto"/>
        </w:rPr>
        <w:t>The government</w:t>
      </w:r>
      <w:r w:rsidR="00CE4043">
        <w:rPr>
          <w:rFonts w:cstheme="minorHAnsi"/>
          <w:color w:val="auto"/>
        </w:rPr>
        <w:t>’</w:t>
      </w:r>
      <w:r w:rsidR="00833C31" w:rsidRPr="00833C31">
        <w:rPr>
          <w:rFonts w:cstheme="minorHAnsi"/>
          <w:color w:val="auto"/>
        </w:rPr>
        <w:t>s proposals to increase the small sites threshold (below which developers do not need to contribute to affordable housing) from 10 units to up to 40 or 50 units, in order to support SME builders is of major concern.  In London, a significant proportion of affordable homes are delivered on sites with less than 40 or 50 units</w:t>
      </w:r>
      <w:r w:rsidR="00D64522">
        <w:rPr>
          <w:rFonts w:cstheme="minorHAnsi"/>
          <w:color w:val="auto"/>
        </w:rPr>
        <w:t>.</w:t>
      </w:r>
      <w:r w:rsidR="00833C31" w:rsidRPr="00833C31">
        <w:rPr>
          <w:rFonts w:cstheme="minorHAnsi"/>
          <w:color w:val="auto"/>
        </w:rPr>
        <w:t xml:space="preserve">  If the supply of new affordable homes in London is curtailed or severely restricted, this will exacerbate the housing crisis in the capital. This is of </w:t>
      </w:r>
      <w:proofErr w:type="gramStart"/>
      <w:r w:rsidR="00833C31" w:rsidRPr="00833C31">
        <w:rPr>
          <w:rFonts w:cstheme="minorHAnsi"/>
          <w:color w:val="auto"/>
        </w:rPr>
        <w:t>particular concern</w:t>
      </w:r>
      <w:proofErr w:type="gramEnd"/>
      <w:r w:rsidR="00833C31" w:rsidRPr="00833C31">
        <w:rPr>
          <w:rFonts w:cstheme="minorHAnsi"/>
          <w:color w:val="auto"/>
        </w:rPr>
        <w:t xml:space="preserve"> at a time when covid-19 appears likely to increase homelessness.  Access to new affordable rented housing forms an important element of the permanent lettings available to London boroughs seeking to rehouse the 58,000 homeless households they currently have placed in temporary accommodation</w:t>
      </w:r>
      <w:r w:rsidR="00D64522">
        <w:rPr>
          <w:rFonts w:cstheme="minorHAnsi"/>
          <w:color w:val="auto"/>
        </w:rPr>
        <w:t>.</w:t>
      </w:r>
      <w:r w:rsidR="00833C31" w:rsidRPr="00833C31">
        <w:rPr>
          <w:rFonts w:cstheme="minorHAnsi"/>
          <w:color w:val="auto"/>
        </w:rPr>
        <w:t xml:space="preserve">  Also, boroughs are already reporting that this proposal is having an impact on local land values, with the risk that the resultant increase in land values will carry forward, making affordable housing undeliverable even after the proposed temporary arrangement ends.</w:t>
      </w:r>
    </w:p>
    <w:p w14:paraId="54343D4C" w14:textId="7C14F5B1" w:rsidR="00916F00" w:rsidRDefault="00916F00" w:rsidP="00833C31">
      <w:pPr>
        <w:rPr>
          <w:rFonts w:cstheme="minorHAnsi"/>
          <w:color w:val="auto"/>
        </w:rPr>
      </w:pPr>
    </w:p>
    <w:p w14:paraId="38FE3445" w14:textId="77777777" w:rsidR="00916F00" w:rsidRPr="00AF5BE1" w:rsidRDefault="00916F00" w:rsidP="00916F00">
      <w:pPr>
        <w:jc w:val="both"/>
        <w:rPr>
          <w:rFonts w:cstheme="minorHAnsi"/>
          <w:color w:val="auto"/>
        </w:rPr>
      </w:pPr>
      <w:r w:rsidRPr="00AF5BE1">
        <w:rPr>
          <w:rFonts w:cstheme="minorHAnsi"/>
          <w:color w:val="auto"/>
        </w:rPr>
        <w:t xml:space="preserve">The government’s proposals for a temporary increase in site thresholds for affordable housing are justified on the basis they will support SME builders as the economy recovers from the impact of covid-19.  However, the proposals do not provide any evidence of the need for this change nor of its likely effectiveness.  This is pertinent as there are </w:t>
      </w:r>
      <w:proofErr w:type="gramStart"/>
      <w:r w:rsidRPr="00AF5BE1">
        <w:rPr>
          <w:rFonts w:cstheme="minorHAnsi"/>
          <w:color w:val="auto"/>
        </w:rPr>
        <w:t>a number of</w:t>
      </w:r>
      <w:proofErr w:type="gramEnd"/>
      <w:r w:rsidRPr="00AF5BE1">
        <w:rPr>
          <w:rFonts w:cstheme="minorHAnsi"/>
          <w:color w:val="auto"/>
        </w:rPr>
        <w:t xml:space="preserve"> contrary arguments:</w:t>
      </w:r>
    </w:p>
    <w:p w14:paraId="0B27FC68" w14:textId="77777777" w:rsidR="00916F00" w:rsidRPr="00AF5BE1" w:rsidRDefault="00916F00" w:rsidP="00916F00">
      <w:pPr>
        <w:numPr>
          <w:ilvl w:val="0"/>
          <w:numId w:val="10"/>
        </w:numPr>
        <w:jc w:val="both"/>
        <w:rPr>
          <w:rFonts w:cstheme="minorHAnsi"/>
          <w:color w:val="auto"/>
        </w:rPr>
      </w:pPr>
      <w:r w:rsidRPr="00AF5BE1">
        <w:rPr>
          <w:rFonts w:cstheme="minorHAnsi"/>
          <w:color w:val="auto"/>
        </w:rPr>
        <w:t xml:space="preserve">Boroughs report there are schemes with 10-50 units currently being progressed by SME builders with an affordable housing component, which has been subject to viability testing. </w:t>
      </w:r>
    </w:p>
    <w:p w14:paraId="180AE43F" w14:textId="77777777" w:rsidR="00916F00" w:rsidRPr="00AF5BE1" w:rsidRDefault="00916F00" w:rsidP="00916F00">
      <w:pPr>
        <w:numPr>
          <w:ilvl w:val="0"/>
          <w:numId w:val="10"/>
        </w:numPr>
        <w:jc w:val="both"/>
        <w:rPr>
          <w:rFonts w:cstheme="minorHAnsi"/>
          <w:color w:val="auto"/>
        </w:rPr>
      </w:pPr>
      <w:r w:rsidRPr="00AF5BE1">
        <w:rPr>
          <w:rFonts w:cstheme="minorHAnsi"/>
          <w:color w:val="auto"/>
        </w:rPr>
        <w:t xml:space="preserve">Boroughs report that it is not just SME builders who develop small sites, but also major national developers.  </w:t>
      </w:r>
    </w:p>
    <w:p w14:paraId="74E2FCC8" w14:textId="77777777" w:rsidR="00916F00" w:rsidRPr="00AF5BE1" w:rsidRDefault="00916F00" w:rsidP="00916F00">
      <w:pPr>
        <w:numPr>
          <w:ilvl w:val="0"/>
          <w:numId w:val="10"/>
        </w:numPr>
        <w:jc w:val="both"/>
        <w:rPr>
          <w:rFonts w:cstheme="minorHAnsi"/>
          <w:color w:val="auto"/>
        </w:rPr>
      </w:pPr>
      <w:r w:rsidRPr="00AF5BE1">
        <w:rPr>
          <w:rFonts w:cstheme="minorHAnsi"/>
          <w:color w:val="auto"/>
        </w:rPr>
        <w:t xml:space="preserve">The implied assumption that affordable housing is necessarily an impediment to development is open to question. For example, the negotiated purchase of the affordable housing component by a housing association or local authority could substantially improve the viability and deliverability of a small scheme.  </w:t>
      </w:r>
    </w:p>
    <w:p w14:paraId="36039E85" w14:textId="77777777" w:rsidR="00916F00" w:rsidRPr="00AF5BE1" w:rsidRDefault="00916F00" w:rsidP="00916F00">
      <w:pPr>
        <w:jc w:val="both"/>
        <w:rPr>
          <w:rFonts w:cstheme="minorHAnsi"/>
          <w:color w:val="auto"/>
        </w:rPr>
      </w:pPr>
      <w:r w:rsidRPr="00AF5BE1">
        <w:rPr>
          <w:rFonts w:cstheme="minorHAnsi"/>
          <w:color w:val="auto"/>
        </w:rPr>
        <w:t xml:space="preserve">The government’s proposals do </w:t>
      </w:r>
      <w:bookmarkStart w:id="15" w:name="_Hlk51757135"/>
      <w:r w:rsidRPr="00AF5BE1">
        <w:rPr>
          <w:rFonts w:cstheme="minorHAnsi"/>
          <w:color w:val="auto"/>
        </w:rPr>
        <w:t xml:space="preserve">not identify criteria for assessing whether the economy has recovered sufficiently to end these temporary arrangements, with the risk they would drift on with no clear trigger point or mechanism for reinstating the current </w:t>
      </w:r>
      <w:proofErr w:type="gramStart"/>
      <w:r w:rsidRPr="00AF5BE1">
        <w:rPr>
          <w:rFonts w:cstheme="minorHAnsi"/>
          <w:color w:val="auto"/>
        </w:rPr>
        <w:t>10 unit</w:t>
      </w:r>
      <w:proofErr w:type="gramEnd"/>
      <w:r w:rsidRPr="00AF5BE1">
        <w:rPr>
          <w:rFonts w:cstheme="minorHAnsi"/>
          <w:color w:val="auto"/>
        </w:rPr>
        <w:t xml:space="preserve"> threshold.   </w:t>
      </w:r>
    </w:p>
    <w:bookmarkEnd w:id="15"/>
    <w:p w14:paraId="4B2284BB" w14:textId="77777777" w:rsidR="00916F00" w:rsidRPr="00833C31" w:rsidRDefault="00916F00" w:rsidP="00833C31">
      <w:pPr>
        <w:rPr>
          <w:rFonts w:cstheme="minorHAnsi"/>
          <w:color w:val="auto"/>
        </w:rPr>
      </w:pPr>
    </w:p>
    <w:p w14:paraId="0882377A" w14:textId="77777777" w:rsidR="00D32386" w:rsidRPr="00D32386" w:rsidRDefault="00DB297C" w:rsidP="00D32386">
      <w:pPr>
        <w:jc w:val="both"/>
        <w:rPr>
          <w:rFonts w:cstheme="minorHAnsi"/>
          <w:b/>
          <w:bCs/>
          <w:color w:val="auto"/>
          <w:sz w:val="24"/>
          <w:szCs w:val="24"/>
        </w:rPr>
      </w:pPr>
      <w:r w:rsidRPr="00105AC0">
        <w:rPr>
          <w:rFonts w:cstheme="minorHAnsi"/>
          <w:b/>
          <w:bCs/>
          <w:color w:val="auto"/>
          <w:sz w:val="24"/>
          <w:szCs w:val="24"/>
        </w:rPr>
        <w:t xml:space="preserve">Question 18:  </w:t>
      </w:r>
      <w:r w:rsidR="00D32386" w:rsidRPr="00D32386">
        <w:rPr>
          <w:rFonts w:cstheme="minorHAnsi"/>
          <w:b/>
          <w:bCs/>
          <w:color w:val="auto"/>
          <w:sz w:val="24"/>
          <w:szCs w:val="24"/>
        </w:rPr>
        <w:t xml:space="preserve">What is the appropriate level of small sites threshold? </w:t>
      </w:r>
    </w:p>
    <w:p w14:paraId="6689F8AB" w14:textId="77777777" w:rsidR="00D32386" w:rsidRPr="00D32386" w:rsidRDefault="00D32386" w:rsidP="00D32386">
      <w:pPr>
        <w:jc w:val="both"/>
        <w:rPr>
          <w:rFonts w:cstheme="minorHAnsi"/>
          <w:b/>
          <w:bCs/>
          <w:color w:val="auto"/>
          <w:sz w:val="24"/>
          <w:szCs w:val="24"/>
        </w:rPr>
      </w:pPr>
      <w:r w:rsidRPr="00D32386">
        <w:rPr>
          <w:rFonts w:cstheme="minorHAnsi"/>
          <w:b/>
          <w:bCs/>
          <w:color w:val="auto"/>
          <w:sz w:val="24"/>
          <w:szCs w:val="24"/>
        </w:rPr>
        <w:t xml:space="preserve">i) Up to 40 homes ii) Up to 50 homes iii) Other (please specify)   </w:t>
      </w:r>
    </w:p>
    <w:p w14:paraId="2312C7E7" w14:textId="5615B866" w:rsidR="00105AC0" w:rsidRPr="00105AC0" w:rsidRDefault="00105AC0" w:rsidP="00975647">
      <w:pPr>
        <w:jc w:val="both"/>
        <w:rPr>
          <w:rFonts w:cstheme="minorHAnsi"/>
          <w:b/>
          <w:bCs/>
          <w:color w:val="auto"/>
          <w:sz w:val="24"/>
          <w:szCs w:val="24"/>
        </w:rPr>
      </w:pPr>
    </w:p>
    <w:p w14:paraId="5E5E2493" w14:textId="77777777" w:rsidR="00724973" w:rsidRPr="00572BAC" w:rsidRDefault="00724973" w:rsidP="000C70CE">
      <w:pPr>
        <w:jc w:val="both"/>
        <w:rPr>
          <w:rFonts w:cstheme="minorHAnsi"/>
          <w:color w:val="auto"/>
        </w:rPr>
      </w:pPr>
      <w:bookmarkStart w:id="16" w:name="_Hlk19708166"/>
      <w:r w:rsidRPr="00572BAC">
        <w:rPr>
          <w:rFonts w:cstheme="minorHAnsi"/>
          <w:b/>
          <w:bCs/>
          <w:color w:val="auto"/>
        </w:rPr>
        <w:t>Response to Question 18:</w:t>
      </w:r>
    </w:p>
    <w:bookmarkEnd w:id="16"/>
    <w:p w14:paraId="371C41BE" w14:textId="692C9399" w:rsidR="006D0CE5" w:rsidRDefault="006D0CE5" w:rsidP="000C70CE">
      <w:pPr>
        <w:jc w:val="both"/>
        <w:rPr>
          <w:rFonts w:cstheme="minorHAnsi"/>
          <w:color w:val="auto"/>
        </w:rPr>
      </w:pPr>
      <w:r>
        <w:rPr>
          <w:rFonts w:cstheme="minorHAnsi"/>
          <w:color w:val="auto"/>
        </w:rPr>
        <w:t xml:space="preserve">We do not support the proposal and </w:t>
      </w:r>
      <w:r w:rsidR="00841E1E">
        <w:rPr>
          <w:rFonts w:cstheme="minorHAnsi"/>
          <w:color w:val="auto"/>
        </w:rPr>
        <w:t xml:space="preserve">would therefore wish to see the existing </w:t>
      </w:r>
      <w:proofErr w:type="gramStart"/>
      <w:r w:rsidR="00841E1E">
        <w:rPr>
          <w:rFonts w:cstheme="minorHAnsi"/>
          <w:color w:val="auto"/>
        </w:rPr>
        <w:t>10 unit</w:t>
      </w:r>
      <w:proofErr w:type="gramEnd"/>
      <w:r w:rsidR="00841E1E">
        <w:rPr>
          <w:rFonts w:cstheme="minorHAnsi"/>
          <w:color w:val="auto"/>
        </w:rPr>
        <w:t xml:space="preserve"> threshold retained. </w:t>
      </w:r>
    </w:p>
    <w:p w14:paraId="2CCED927" w14:textId="3A7FA297" w:rsidR="00724973" w:rsidRPr="00572BAC" w:rsidRDefault="00724973" w:rsidP="000C70CE">
      <w:pPr>
        <w:jc w:val="both"/>
        <w:rPr>
          <w:rFonts w:cstheme="minorHAnsi"/>
          <w:color w:val="auto"/>
        </w:rPr>
      </w:pPr>
    </w:p>
    <w:p w14:paraId="67C3D0EF" w14:textId="08C3AB72" w:rsidR="00DB6EB9" w:rsidRPr="00DB6EB9" w:rsidRDefault="00DB297C" w:rsidP="007F52B1">
      <w:pPr>
        <w:jc w:val="both"/>
        <w:rPr>
          <w:rFonts w:cstheme="minorHAnsi"/>
          <w:b/>
          <w:bCs/>
          <w:color w:val="auto"/>
          <w:sz w:val="24"/>
          <w:szCs w:val="24"/>
        </w:rPr>
      </w:pPr>
      <w:r w:rsidRPr="00DB6EB9">
        <w:rPr>
          <w:rFonts w:cstheme="minorHAnsi"/>
          <w:b/>
          <w:bCs/>
          <w:color w:val="auto"/>
          <w:sz w:val="24"/>
          <w:szCs w:val="24"/>
        </w:rPr>
        <w:t xml:space="preserve">Question 19: </w:t>
      </w:r>
      <w:r w:rsidR="00453B20" w:rsidRPr="00453B20">
        <w:rPr>
          <w:rFonts w:cstheme="minorHAnsi"/>
          <w:b/>
          <w:bCs/>
          <w:color w:val="auto"/>
          <w:sz w:val="24"/>
          <w:szCs w:val="24"/>
        </w:rPr>
        <w:t xml:space="preserve">Do you agree with the proposed approach to the site size threshold?  </w:t>
      </w:r>
      <w:r w:rsidRPr="00DB6EB9">
        <w:rPr>
          <w:rFonts w:cstheme="minorHAnsi"/>
          <w:b/>
          <w:bCs/>
          <w:color w:val="auto"/>
          <w:sz w:val="24"/>
          <w:szCs w:val="24"/>
        </w:rPr>
        <w:t xml:space="preserve"> </w:t>
      </w:r>
    </w:p>
    <w:p w14:paraId="68B73966" w14:textId="5E3340CE" w:rsidR="00DB297C" w:rsidRPr="00572BAC" w:rsidRDefault="00DB297C" w:rsidP="000C70CE">
      <w:pPr>
        <w:jc w:val="both"/>
        <w:rPr>
          <w:rFonts w:cstheme="minorHAnsi"/>
          <w:b/>
          <w:bCs/>
          <w:color w:val="auto"/>
          <w:sz w:val="22"/>
          <w:szCs w:val="22"/>
        </w:rPr>
      </w:pPr>
    </w:p>
    <w:p w14:paraId="709F5D65" w14:textId="13BD1973" w:rsidR="00724973" w:rsidRDefault="00724973" w:rsidP="000C70CE">
      <w:pPr>
        <w:jc w:val="both"/>
        <w:rPr>
          <w:rFonts w:cstheme="minorHAnsi"/>
          <w:b/>
          <w:bCs/>
          <w:color w:val="auto"/>
        </w:rPr>
      </w:pPr>
      <w:bookmarkStart w:id="17" w:name="_Hlk50225771"/>
      <w:r w:rsidRPr="00572BAC">
        <w:rPr>
          <w:rFonts w:cstheme="minorHAnsi"/>
          <w:b/>
          <w:bCs/>
          <w:color w:val="auto"/>
        </w:rPr>
        <w:t>Response to Question 19:</w:t>
      </w:r>
    </w:p>
    <w:p w14:paraId="0C7BA85C" w14:textId="77777777" w:rsidR="0067709B" w:rsidRDefault="00841E1E" w:rsidP="0067709B">
      <w:pPr>
        <w:jc w:val="both"/>
        <w:rPr>
          <w:rFonts w:cstheme="minorHAnsi"/>
          <w:color w:val="auto"/>
        </w:rPr>
      </w:pPr>
      <w:r w:rsidRPr="000B1039">
        <w:rPr>
          <w:rFonts w:cstheme="minorHAnsi"/>
          <w:color w:val="auto"/>
        </w:rPr>
        <w:t>No</w:t>
      </w:r>
      <w:r w:rsidR="0067709B">
        <w:rPr>
          <w:rFonts w:cstheme="minorHAnsi"/>
          <w:color w:val="auto"/>
        </w:rPr>
        <w:t xml:space="preserve">.  </w:t>
      </w:r>
      <w:r w:rsidR="001241FA" w:rsidRPr="000B1039">
        <w:rPr>
          <w:rFonts w:cstheme="minorHAnsi"/>
          <w:color w:val="auto"/>
        </w:rPr>
        <w:t xml:space="preserve"> </w:t>
      </w:r>
      <w:r w:rsidR="0067709B">
        <w:rPr>
          <w:rFonts w:cstheme="minorHAnsi"/>
          <w:color w:val="auto"/>
        </w:rPr>
        <w:t xml:space="preserve">We are strongly opposed to raising the small sites threshold for the reasons given in our response to question 17.  </w:t>
      </w:r>
    </w:p>
    <w:p w14:paraId="7EF67B3A" w14:textId="77777777" w:rsidR="0067709B" w:rsidRDefault="0067709B" w:rsidP="0067709B">
      <w:pPr>
        <w:jc w:val="both"/>
        <w:rPr>
          <w:rFonts w:cstheme="minorHAnsi"/>
          <w:color w:val="auto"/>
        </w:rPr>
      </w:pPr>
    </w:p>
    <w:bookmarkEnd w:id="17"/>
    <w:p w14:paraId="69133286" w14:textId="576593E3" w:rsidR="006E2FF5" w:rsidRPr="006E2FF5" w:rsidRDefault="00DB297C" w:rsidP="00453B20">
      <w:pPr>
        <w:jc w:val="both"/>
        <w:rPr>
          <w:rFonts w:cstheme="minorHAnsi"/>
          <w:b/>
          <w:bCs/>
          <w:color w:val="auto"/>
          <w:sz w:val="24"/>
          <w:szCs w:val="24"/>
        </w:rPr>
      </w:pPr>
      <w:r w:rsidRPr="006E2FF5">
        <w:rPr>
          <w:rFonts w:cstheme="minorHAnsi"/>
          <w:b/>
          <w:bCs/>
          <w:color w:val="auto"/>
          <w:sz w:val="24"/>
          <w:szCs w:val="24"/>
        </w:rPr>
        <w:t xml:space="preserve">Question 20:  </w:t>
      </w:r>
      <w:r w:rsidR="00485DFA" w:rsidRPr="00485DFA">
        <w:rPr>
          <w:rFonts w:cstheme="minorHAnsi"/>
          <w:b/>
          <w:bCs/>
          <w:color w:val="auto"/>
          <w:sz w:val="24"/>
          <w:szCs w:val="24"/>
        </w:rPr>
        <w:t xml:space="preserve">Do you agree with linking the time-limited period to economic recovery and raising the threshold for an initial period of 18 months?   </w:t>
      </w:r>
    </w:p>
    <w:p w14:paraId="2A7143C5" w14:textId="20863E6F" w:rsidR="00724973" w:rsidRPr="006E2FF5" w:rsidRDefault="00724973" w:rsidP="005D16AC">
      <w:pPr>
        <w:jc w:val="both"/>
        <w:rPr>
          <w:rFonts w:cstheme="minorHAnsi"/>
          <w:color w:val="auto"/>
          <w:sz w:val="24"/>
          <w:szCs w:val="24"/>
        </w:rPr>
      </w:pPr>
    </w:p>
    <w:p w14:paraId="4DED4F5C" w14:textId="77416C40" w:rsidR="006E2FF5" w:rsidRPr="00572BAC" w:rsidRDefault="006E2FF5" w:rsidP="006E2FF5">
      <w:pPr>
        <w:jc w:val="both"/>
        <w:rPr>
          <w:rFonts w:cstheme="minorHAnsi"/>
          <w:b/>
          <w:bCs/>
          <w:color w:val="auto"/>
        </w:rPr>
      </w:pPr>
      <w:r w:rsidRPr="00572BAC">
        <w:rPr>
          <w:rFonts w:cstheme="minorHAnsi"/>
          <w:b/>
          <w:bCs/>
          <w:color w:val="auto"/>
        </w:rPr>
        <w:t xml:space="preserve">Response to Question </w:t>
      </w:r>
      <w:r>
        <w:rPr>
          <w:rFonts w:cstheme="minorHAnsi"/>
          <w:b/>
          <w:bCs/>
          <w:color w:val="auto"/>
        </w:rPr>
        <w:t>20</w:t>
      </w:r>
      <w:r w:rsidRPr="00572BAC">
        <w:rPr>
          <w:rFonts w:cstheme="minorHAnsi"/>
          <w:b/>
          <w:bCs/>
          <w:color w:val="auto"/>
        </w:rPr>
        <w:t>:</w:t>
      </w:r>
    </w:p>
    <w:p w14:paraId="47768263" w14:textId="77777777" w:rsidR="00310C70" w:rsidRDefault="00A653A6" w:rsidP="009C0760">
      <w:pPr>
        <w:jc w:val="both"/>
        <w:rPr>
          <w:rFonts w:cstheme="minorHAnsi"/>
          <w:color w:val="auto"/>
        </w:rPr>
      </w:pPr>
      <w:bookmarkStart w:id="18" w:name="_Hlk51789742"/>
      <w:bookmarkStart w:id="19" w:name="_Hlk51789784"/>
      <w:r>
        <w:rPr>
          <w:rFonts w:cstheme="minorHAnsi"/>
          <w:color w:val="auto"/>
        </w:rPr>
        <w:t xml:space="preserve">We are strongly opposed to </w:t>
      </w:r>
      <w:r w:rsidR="00830C14">
        <w:rPr>
          <w:rFonts w:cstheme="minorHAnsi"/>
          <w:color w:val="auto"/>
        </w:rPr>
        <w:t>rais</w:t>
      </w:r>
      <w:r w:rsidR="0085318F">
        <w:rPr>
          <w:rFonts w:cstheme="minorHAnsi"/>
          <w:color w:val="auto"/>
        </w:rPr>
        <w:t>ing the small sites threshold</w:t>
      </w:r>
      <w:r w:rsidR="00BA5770">
        <w:rPr>
          <w:rFonts w:cstheme="minorHAnsi"/>
          <w:color w:val="auto"/>
        </w:rPr>
        <w:t xml:space="preserve"> </w:t>
      </w:r>
      <w:r w:rsidR="00E0006B">
        <w:rPr>
          <w:rFonts w:cstheme="minorHAnsi"/>
          <w:color w:val="auto"/>
        </w:rPr>
        <w:t>f</w:t>
      </w:r>
      <w:r w:rsidR="00BA5770">
        <w:rPr>
          <w:rFonts w:cstheme="minorHAnsi"/>
          <w:color w:val="auto"/>
        </w:rPr>
        <w:t xml:space="preserve">or the reasons given in </w:t>
      </w:r>
      <w:r w:rsidR="00E0006B">
        <w:rPr>
          <w:rFonts w:cstheme="minorHAnsi"/>
          <w:color w:val="auto"/>
        </w:rPr>
        <w:t xml:space="preserve">our </w:t>
      </w:r>
      <w:r w:rsidR="00BA5770">
        <w:rPr>
          <w:rFonts w:cstheme="minorHAnsi"/>
          <w:color w:val="auto"/>
        </w:rPr>
        <w:t>response</w:t>
      </w:r>
      <w:r w:rsidR="00E0006B">
        <w:rPr>
          <w:rFonts w:cstheme="minorHAnsi"/>
          <w:color w:val="auto"/>
        </w:rPr>
        <w:t xml:space="preserve"> to question 1</w:t>
      </w:r>
      <w:r w:rsidR="009D64C5">
        <w:rPr>
          <w:rFonts w:cstheme="minorHAnsi"/>
          <w:color w:val="auto"/>
        </w:rPr>
        <w:t>7</w:t>
      </w:r>
      <w:r w:rsidR="0085318F">
        <w:rPr>
          <w:rFonts w:cstheme="minorHAnsi"/>
          <w:color w:val="auto"/>
        </w:rPr>
        <w:t xml:space="preserve">.  </w:t>
      </w:r>
    </w:p>
    <w:bookmarkEnd w:id="18"/>
    <w:p w14:paraId="2A485DD8" w14:textId="77777777" w:rsidR="00310C70" w:rsidRDefault="00310C70" w:rsidP="009C0760">
      <w:pPr>
        <w:jc w:val="both"/>
        <w:rPr>
          <w:rFonts w:cstheme="minorHAnsi"/>
          <w:color w:val="auto"/>
        </w:rPr>
      </w:pPr>
    </w:p>
    <w:bookmarkEnd w:id="19"/>
    <w:p w14:paraId="2B445C4C" w14:textId="2874F784" w:rsidR="009C0760" w:rsidRPr="00AF5BE1" w:rsidRDefault="0085318F" w:rsidP="009C0760">
      <w:pPr>
        <w:jc w:val="both"/>
        <w:rPr>
          <w:rFonts w:cstheme="minorHAnsi"/>
          <w:color w:val="auto"/>
        </w:rPr>
      </w:pPr>
      <w:r>
        <w:rPr>
          <w:rFonts w:cstheme="minorHAnsi"/>
          <w:color w:val="auto"/>
        </w:rPr>
        <w:t xml:space="preserve">As regards, </w:t>
      </w:r>
      <w:r w:rsidR="00974C35">
        <w:rPr>
          <w:rFonts w:cstheme="minorHAnsi"/>
          <w:color w:val="auto"/>
        </w:rPr>
        <w:t>linking th</w:t>
      </w:r>
      <w:r>
        <w:rPr>
          <w:rFonts w:cstheme="minorHAnsi"/>
          <w:color w:val="auto"/>
        </w:rPr>
        <w:t xml:space="preserve">e </w:t>
      </w:r>
      <w:r w:rsidR="009D64C5">
        <w:rPr>
          <w:rFonts w:cstheme="minorHAnsi"/>
          <w:color w:val="auto"/>
        </w:rPr>
        <w:t xml:space="preserve">time-limited </w:t>
      </w:r>
      <w:r w:rsidR="00974C35">
        <w:rPr>
          <w:rFonts w:cstheme="minorHAnsi"/>
          <w:color w:val="auto"/>
        </w:rPr>
        <w:t>period to eco</w:t>
      </w:r>
      <w:r w:rsidR="009E52A3">
        <w:rPr>
          <w:rFonts w:cstheme="minorHAnsi"/>
          <w:color w:val="auto"/>
        </w:rPr>
        <w:t xml:space="preserve">nomic recovery, clear </w:t>
      </w:r>
      <w:r w:rsidR="009C0760" w:rsidRPr="00AF5BE1">
        <w:rPr>
          <w:rFonts w:cstheme="minorHAnsi"/>
          <w:color w:val="auto"/>
        </w:rPr>
        <w:t>criteria for assessing whether the economy has recovered sufficiently to end these temporary arrangements</w:t>
      </w:r>
      <w:r w:rsidR="00B50B12">
        <w:rPr>
          <w:rFonts w:cstheme="minorHAnsi"/>
          <w:color w:val="auto"/>
        </w:rPr>
        <w:t xml:space="preserve"> would need to be iden</w:t>
      </w:r>
      <w:r w:rsidR="00C155E4">
        <w:rPr>
          <w:rFonts w:cstheme="minorHAnsi"/>
          <w:color w:val="auto"/>
        </w:rPr>
        <w:t>t</w:t>
      </w:r>
      <w:r w:rsidR="00B50B12">
        <w:rPr>
          <w:rFonts w:cstheme="minorHAnsi"/>
          <w:color w:val="auto"/>
        </w:rPr>
        <w:t>ified</w:t>
      </w:r>
      <w:r w:rsidR="009C0760" w:rsidRPr="00AF5BE1">
        <w:rPr>
          <w:rFonts w:cstheme="minorHAnsi"/>
          <w:color w:val="auto"/>
        </w:rPr>
        <w:t xml:space="preserve">, </w:t>
      </w:r>
      <w:r w:rsidR="00C155E4">
        <w:rPr>
          <w:rFonts w:cstheme="minorHAnsi"/>
          <w:color w:val="auto"/>
        </w:rPr>
        <w:t xml:space="preserve">otherwise </w:t>
      </w:r>
      <w:r w:rsidR="00EC7A64">
        <w:rPr>
          <w:rFonts w:cstheme="minorHAnsi"/>
          <w:color w:val="auto"/>
        </w:rPr>
        <w:t xml:space="preserve">there is a clear </w:t>
      </w:r>
      <w:r w:rsidR="009C0760" w:rsidRPr="00AF5BE1">
        <w:rPr>
          <w:rFonts w:cstheme="minorHAnsi"/>
          <w:color w:val="auto"/>
        </w:rPr>
        <w:t xml:space="preserve">risk they would drift on with no trigger point or mechanism for reinstating the current 10 unit threshold.   </w:t>
      </w:r>
      <w:r w:rsidR="00665324">
        <w:rPr>
          <w:rFonts w:cstheme="minorHAnsi"/>
          <w:color w:val="auto"/>
        </w:rPr>
        <w:t xml:space="preserve">A </w:t>
      </w:r>
      <w:r w:rsidR="00310C70">
        <w:rPr>
          <w:rFonts w:cstheme="minorHAnsi"/>
          <w:color w:val="auto"/>
        </w:rPr>
        <w:t xml:space="preserve">clear </w:t>
      </w:r>
      <w:r w:rsidR="00665324">
        <w:rPr>
          <w:rFonts w:cstheme="minorHAnsi"/>
          <w:color w:val="auto"/>
        </w:rPr>
        <w:t>ti</w:t>
      </w:r>
      <w:r w:rsidR="00A867F2">
        <w:rPr>
          <w:rFonts w:cstheme="minorHAnsi"/>
          <w:color w:val="auto"/>
        </w:rPr>
        <w:t xml:space="preserve">me-limited period with a </w:t>
      </w:r>
      <w:r w:rsidR="005C3136">
        <w:rPr>
          <w:rFonts w:cstheme="minorHAnsi"/>
          <w:color w:val="auto"/>
        </w:rPr>
        <w:t xml:space="preserve">fixed end date not exceeding </w:t>
      </w:r>
      <w:r w:rsidR="00310C70">
        <w:rPr>
          <w:rFonts w:cstheme="minorHAnsi"/>
          <w:color w:val="auto"/>
        </w:rPr>
        <w:t xml:space="preserve">18 months </w:t>
      </w:r>
      <w:r w:rsidR="005C3136">
        <w:rPr>
          <w:rFonts w:cstheme="minorHAnsi"/>
          <w:color w:val="auto"/>
        </w:rPr>
        <w:t>would be preferable</w:t>
      </w:r>
      <w:r w:rsidR="00310C70">
        <w:rPr>
          <w:rFonts w:cstheme="minorHAnsi"/>
          <w:color w:val="auto"/>
        </w:rPr>
        <w:t xml:space="preserve">.  </w:t>
      </w:r>
    </w:p>
    <w:p w14:paraId="03D72B2E" w14:textId="7895A7F2" w:rsidR="005D16AC" w:rsidRDefault="005D16AC" w:rsidP="000C70CE">
      <w:pPr>
        <w:jc w:val="both"/>
        <w:rPr>
          <w:rFonts w:cstheme="minorHAnsi"/>
          <w:color w:val="auto"/>
        </w:rPr>
      </w:pPr>
    </w:p>
    <w:p w14:paraId="350339B2" w14:textId="59CE837C" w:rsidR="000C58A8" w:rsidRPr="000C58A8" w:rsidRDefault="00DB297C" w:rsidP="00485DFA">
      <w:pPr>
        <w:jc w:val="both"/>
        <w:rPr>
          <w:rFonts w:cstheme="minorHAnsi"/>
          <w:b/>
          <w:bCs/>
          <w:color w:val="auto"/>
          <w:sz w:val="24"/>
          <w:szCs w:val="24"/>
        </w:rPr>
      </w:pPr>
      <w:r w:rsidRPr="000C58A8">
        <w:rPr>
          <w:rFonts w:cstheme="minorHAnsi"/>
          <w:b/>
          <w:bCs/>
          <w:color w:val="auto"/>
          <w:sz w:val="24"/>
          <w:szCs w:val="24"/>
        </w:rPr>
        <w:t xml:space="preserve">Question 21:  </w:t>
      </w:r>
      <w:r w:rsidR="001D4F38" w:rsidRPr="001D4F38">
        <w:rPr>
          <w:rFonts w:cstheme="minorHAnsi"/>
          <w:b/>
          <w:bCs/>
          <w:color w:val="auto"/>
          <w:sz w:val="24"/>
          <w:szCs w:val="24"/>
        </w:rPr>
        <w:t xml:space="preserve">Do you agree with the proposed approach to minimising threshold effects?  </w:t>
      </w:r>
    </w:p>
    <w:p w14:paraId="069EB44C" w14:textId="57C93BF4" w:rsidR="00DB297C" w:rsidRPr="00AE10A7" w:rsidRDefault="00DB297C" w:rsidP="000C70CE">
      <w:pPr>
        <w:jc w:val="both"/>
        <w:rPr>
          <w:rFonts w:cstheme="minorHAnsi"/>
          <w:b/>
          <w:bCs/>
          <w:color w:val="auto"/>
          <w:sz w:val="22"/>
          <w:szCs w:val="22"/>
        </w:rPr>
      </w:pPr>
    </w:p>
    <w:p w14:paraId="25DD3A6F" w14:textId="0431D829" w:rsidR="00FF6B15" w:rsidRPr="00AE10A7" w:rsidRDefault="00FF6B15" w:rsidP="000C70CE">
      <w:pPr>
        <w:jc w:val="both"/>
        <w:rPr>
          <w:rFonts w:cstheme="minorHAnsi"/>
          <w:b/>
          <w:bCs/>
          <w:color w:val="auto"/>
        </w:rPr>
      </w:pPr>
      <w:bookmarkStart w:id="20" w:name="_Hlk50226058"/>
      <w:r w:rsidRPr="00AE10A7">
        <w:rPr>
          <w:rFonts w:cstheme="minorHAnsi"/>
          <w:b/>
          <w:bCs/>
          <w:color w:val="auto"/>
        </w:rPr>
        <w:t xml:space="preserve">Response </w:t>
      </w:r>
      <w:r w:rsidR="00772092" w:rsidRPr="00AE10A7">
        <w:rPr>
          <w:rFonts w:cstheme="minorHAnsi"/>
          <w:b/>
          <w:bCs/>
          <w:color w:val="auto"/>
        </w:rPr>
        <w:t xml:space="preserve">to </w:t>
      </w:r>
      <w:r w:rsidRPr="00AE10A7">
        <w:rPr>
          <w:rFonts w:cstheme="minorHAnsi"/>
          <w:b/>
          <w:bCs/>
          <w:color w:val="auto"/>
        </w:rPr>
        <w:t>Question 21:</w:t>
      </w:r>
    </w:p>
    <w:bookmarkEnd w:id="20"/>
    <w:p w14:paraId="718FA55E" w14:textId="77777777" w:rsidR="0067709B" w:rsidRDefault="0067709B" w:rsidP="0067709B">
      <w:pPr>
        <w:jc w:val="both"/>
        <w:rPr>
          <w:rFonts w:cstheme="minorHAnsi"/>
          <w:color w:val="auto"/>
        </w:rPr>
      </w:pPr>
      <w:r>
        <w:rPr>
          <w:rFonts w:cstheme="minorHAnsi"/>
          <w:color w:val="auto"/>
        </w:rPr>
        <w:t xml:space="preserve">We are strongly opposed to raising the small sites threshold for the reasons given in our response to question 17.  </w:t>
      </w:r>
    </w:p>
    <w:p w14:paraId="4BE191E0" w14:textId="77777777" w:rsidR="0067709B" w:rsidRDefault="0067709B" w:rsidP="000C70CE">
      <w:pPr>
        <w:jc w:val="both"/>
        <w:rPr>
          <w:rFonts w:cstheme="minorHAnsi"/>
          <w:color w:val="auto"/>
          <w:sz w:val="22"/>
          <w:szCs w:val="22"/>
        </w:rPr>
      </w:pPr>
    </w:p>
    <w:p w14:paraId="15B909B1" w14:textId="77777777" w:rsidR="007121BC" w:rsidRPr="007121BC" w:rsidRDefault="00FF6B15" w:rsidP="007121BC">
      <w:pPr>
        <w:jc w:val="both"/>
        <w:rPr>
          <w:rFonts w:cstheme="minorHAnsi"/>
          <w:b/>
          <w:bCs/>
          <w:color w:val="auto"/>
          <w:sz w:val="24"/>
          <w:szCs w:val="24"/>
        </w:rPr>
      </w:pPr>
      <w:bookmarkStart w:id="21" w:name="_Hlk50226021"/>
      <w:r w:rsidRPr="00567F6C">
        <w:rPr>
          <w:rFonts w:cstheme="minorHAnsi"/>
          <w:b/>
          <w:bCs/>
          <w:color w:val="auto"/>
          <w:sz w:val="24"/>
          <w:szCs w:val="24"/>
        </w:rPr>
        <w:t xml:space="preserve">Question 22: </w:t>
      </w:r>
      <w:r w:rsidR="007121BC" w:rsidRPr="007121BC">
        <w:rPr>
          <w:rFonts w:cstheme="minorHAnsi"/>
          <w:b/>
          <w:bCs/>
          <w:color w:val="auto"/>
          <w:sz w:val="24"/>
          <w:szCs w:val="24"/>
        </w:rPr>
        <w:t xml:space="preserve">Do you agree with the Government’s proposed approach to setting thresholds in rural areas?  </w:t>
      </w:r>
    </w:p>
    <w:p w14:paraId="76B58B96" w14:textId="77777777" w:rsidR="007121BC" w:rsidRPr="007121BC" w:rsidRDefault="007121BC" w:rsidP="007121BC">
      <w:pPr>
        <w:jc w:val="both"/>
        <w:rPr>
          <w:rFonts w:cstheme="minorHAnsi"/>
          <w:b/>
          <w:bCs/>
          <w:color w:val="auto"/>
          <w:sz w:val="24"/>
          <w:szCs w:val="24"/>
        </w:rPr>
      </w:pPr>
      <w:r w:rsidRPr="007121BC">
        <w:rPr>
          <w:rFonts w:cstheme="minorHAnsi"/>
          <w:b/>
          <w:bCs/>
          <w:color w:val="auto"/>
          <w:sz w:val="24"/>
          <w:szCs w:val="24"/>
        </w:rPr>
        <w:t xml:space="preserve"> </w:t>
      </w:r>
    </w:p>
    <w:bookmarkEnd w:id="21"/>
    <w:p w14:paraId="5C4D3E99" w14:textId="42C111C5" w:rsidR="000C58A8" w:rsidRPr="00AE10A7" w:rsidRDefault="000C58A8" w:rsidP="000C58A8">
      <w:pPr>
        <w:jc w:val="both"/>
        <w:rPr>
          <w:rFonts w:cstheme="minorHAnsi"/>
          <w:b/>
          <w:bCs/>
          <w:color w:val="auto"/>
        </w:rPr>
      </w:pPr>
      <w:r w:rsidRPr="00AE10A7">
        <w:rPr>
          <w:rFonts w:cstheme="minorHAnsi"/>
          <w:b/>
          <w:bCs/>
          <w:color w:val="auto"/>
        </w:rPr>
        <w:t>Response to Question 2</w:t>
      </w:r>
      <w:r w:rsidR="00F37E00">
        <w:rPr>
          <w:rFonts w:cstheme="minorHAnsi"/>
          <w:b/>
          <w:bCs/>
          <w:color w:val="auto"/>
        </w:rPr>
        <w:t>2</w:t>
      </w:r>
      <w:r w:rsidRPr="00AE10A7">
        <w:rPr>
          <w:rFonts w:cstheme="minorHAnsi"/>
          <w:b/>
          <w:bCs/>
          <w:color w:val="auto"/>
        </w:rPr>
        <w:t>:</w:t>
      </w:r>
    </w:p>
    <w:p w14:paraId="19DDCD9A" w14:textId="20875D69" w:rsidR="000C58A8" w:rsidRPr="00F44095" w:rsidRDefault="00F44095" w:rsidP="000C58A8">
      <w:pPr>
        <w:jc w:val="both"/>
        <w:rPr>
          <w:rFonts w:cstheme="minorHAnsi"/>
          <w:color w:val="auto"/>
        </w:rPr>
      </w:pPr>
      <w:r>
        <w:rPr>
          <w:rFonts w:cstheme="minorHAnsi"/>
          <w:color w:val="auto"/>
        </w:rPr>
        <w:t>Other stake</w:t>
      </w:r>
      <w:r w:rsidR="00165638">
        <w:rPr>
          <w:rFonts w:cstheme="minorHAnsi"/>
          <w:color w:val="auto"/>
        </w:rPr>
        <w:t xml:space="preserve">holders are better placed to </w:t>
      </w:r>
      <w:r w:rsidRPr="00F44095">
        <w:rPr>
          <w:rFonts w:cstheme="minorHAnsi"/>
          <w:color w:val="auto"/>
        </w:rPr>
        <w:t>comment</w:t>
      </w:r>
      <w:r w:rsidR="00165638">
        <w:rPr>
          <w:rFonts w:cstheme="minorHAnsi"/>
          <w:color w:val="auto"/>
        </w:rPr>
        <w:t>.</w:t>
      </w:r>
    </w:p>
    <w:p w14:paraId="4D415193" w14:textId="5DE341A7" w:rsidR="000C58A8" w:rsidRDefault="000C58A8" w:rsidP="000C58A8">
      <w:pPr>
        <w:jc w:val="both"/>
        <w:rPr>
          <w:rFonts w:cstheme="minorHAnsi"/>
          <w:b/>
          <w:bCs/>
          <w:color w:val="auto"/>
          <w:sz w:val="22"/>
          <w:szCs w:val="22"/>
        </w:rPr>
      </w:pPr>
    </w:p>
    <w:p w14:paraId="7BC390D1" w14:textId="1897AB32" w:rsidR="000C58A8" w:rsidRDefault="000C58A8" w:rsidP="000C58A8">
      <w:pPr>
        <w:jc w:val="both"/>
        <w:rPr>
          <w:rFonts w:cstheme="minorHAnsi"/>
          <w:b/>
          <w:bCs/>
          <w:color w:val="auto"/>
          <w:sz w:val="22"/>
          <w:szCs w:val="22"/>
        </w:rPr>
      </w:pPr>
    </w:p>
    <w:p w14:paraId="77CBF52A" w14:textId="04D23D10" w:rsidR="006901D7" w:rsidRPr="006901D7" w:rsidRDefault="000C58A8" w:rsidP="007121BC">
      <w:pPr>
        <w:jc w:val="both"/>
        <w:rPr>
          <w:rFonts w:cstheme="minorHAnsi"/>
          <w:b/>
          <w:bCs/>
          <w:color w:val="auto"/>
          <w:sz w:val="24"/>
          <w:szCs w:val="24"/>
        </w:rPr>
      </w:pPr>
      <w:r w:rsidRPr="006901D7">
        <w:rPr>
          <w:rFonts w:cstheme="minorHAnsi"/>
          <w:b/>
          <w:bCs/>
          <w:color w:val="auto"/>
          <w:sz w:val="24"/>
          <w:szCs w:val="24"/>
        </w:rPr>
        <w:t>Question 2</w:t>
      </w:r>
      <w:r w:rsidR="007121BC">
        <w:rPr>
          <w:rFonts w:cstheme="minorHAnsi"/>
          <w:b/>
          <w:bCs/>
          <w:color w:val="auto"/>
          <w:sz w:val="24"/>
          <w:szCs w:val="24"/>
        </w:rPr>
        <w:t>3</w:t>
      </w:r>
      <w:r w:rsidRPr="006901D7">
        <w:rPr>
          <w:rFonts w:cstheme="minorHAnsi"/>
          <w:b/>
          <w:bCs/>
          <w:color w:val="auto"/>
          <w:sz w:val="24"/>
          <w:szCs w:val="24"/>
        </w:rPr>
        <w:t xml:space="preserve">:  </w:t>
      </w:r>
      <w:r w:rsidR="00467BCE" w:rsidRPr="00467BCE">
        <w:rPr>
          <w:rFonts w:cstheme="minorHAnsi"/>
          <w:b/>
          <w:bCs/>
          <w:color w:val="auto"/>
          <w:sz w:val="24"/>
          <w:szCs w:val="24"/>
        </w:rPr>
        <w:t xml:space="preserve">Are there any other ways in which the Government can support SME builders to deliver new homes during the economic recovery period?  </w:t>
      </w:r>
    </w:p>
    <w:p w14:paraId="1CE322A1" w14:textId="66894C88" w:rsidR="000C58A8" w:rsidRDefault="000C58A8" w:rsidP="000C58A8">
      <w:pPr>
        <w:jc w:val="both"/>
        <w:rPr>
          <w:rFonts w:cstheme="minorHAnsi"/>
          <w:b/>
          <w:bCs/>
          <w:color w:val="auto"/>
          <w:sz w:val="22"/>
          <w:szCs w:val="22"/>
        </w:rPr>
      </w:pPr>
    </w:p>
    <w:p w14:paraId="405FA51F" w14:textId="560E6999" w:rsidR="000C58A8" w:rsidRPr="00AE10A7" w:rsidRDefault="000C58A8" w:rsidP="000C58A8">
      <w:pPr>
        <w:jc w:val="both"/>
        <w:rPr>
          <w:rFonts w:cstheme="minorHAnsi"/>
          <w:b/>
          <w:bCs/>
          <w:color w:val="auto"/>
        </w:rPr>
      </w:pPr>
      <w:r w:rsidRPr="00AE10A7">
        <w:rPr>
          <w:rFonts w:cstheme="minorHAnsi"/>
          <w:b/>
          <w:bCs/>
          <w:color w:val="auto"/>
        </w:rPr>
        <w:t>Response to Question 2</w:t>
      </w:r>
      <w:r w:rsidR="007121BC">
        <w:rPr>
          <w:rFonts w:cstheme="minorHAnsi"/>
          <w:b/>
          <w:bCs/>
          <w:color w:val="auto"/>
        </w:rPr>
        <w:t>3</w:t>
      </w:r>
      <w:r w:rsidR="00951E4E">
        <w:rPr>
          <w:rFonts w:cstheme="minorHAnsi"/>
          <w:b/>
          <w:bCs/>
          <w:color w:val="auto"/>
        </w:rPr>
        <w:t>:</w:t>
      </w:r>
    </w:p>
    <w:p w14:paraId="29464A82" w14:textId="64459893" w:rsidR="00715508" w:rsidRPr="003152C8" w:rsidRDefault="00715508" w:rsidP="000C58A8">
      <w:pPr>
        <w:jc w:val="both"/>
        <w:rPr>
          <w:rFonts w:cstheme="minorHAnsi"/>
          <w:color w:val="auto"/>
        </w:rPr>
      </w:pPr>
      <w:r w:rsidRPr="003152C8">
        <w:rPr>
          <w:rFonts w:cstheme="minorHAnsi"/>
          <w:color w:val="auto"/>
        </w:rPr>
        <w:t xml:space="preserve">By providing additional funding to councils for affordable </w:t>
      </w:r>
      <w:r w:rsidR="00457BCB" w:rsidRPr="003152C8">
        <w:rPr>
          <w:rFonts w:cstheme="minorHAnsi"/>
          <w:color w:val="auto"/>
        </w:rPr>
        <w:t xml:space="preserve">housing, </w:t>
      </w:r>
      <w:r w:rsidRPr="003152C8">
        <w:rPr>
          <w:rFonts w:cstheme="minorHAnsi"/>
          <w:color w:val="auto"/>
        </w:rPr>
        <w:t>so th</w:t>
      </w:r>
      <w:r w:rsidR="00457BCB" w:rsidRPr="003152C8">
        <w:rPr>
          <w:rFonts w:cstheme="minorHAnsi"/>
          <w:color w:val="auto"/>
        </w:rPr>
        <w:t xml:space="preserve">ey could </w:t>
      </w:r>
      <w:r w:rsidR="00EB3ECF" w:rsidRPr="003152C8">
        <w:rPr>
          <w:rFonts w:cstheme="minorHAnsi"/>
          <w:color w:val="auto"/>
        </w:rPr>
        <w:t xml:space="preserve">better support SME builders by </w:t>
      </w:r>
      <w:r w:rsidR="006F6C48" w:rsidRPr="003152C8">
        <w:rPr>
          <w:rFonts w:cstheme="minorHAnsi"/>
          <w:color w:val="auto"/>
        </w:rPr>
        <w:t xml:space="preserve">arranging to develop or acquire the affordable element of </w:t>
      </w:r>
      <w:r w:rsidR="003152C8" w:rsidRPr="003152C8">
        <w:rPr>
          <w:rFonts w:cstheme="minorHAnsi"/>
          <w:color w:val="auto"/>
        </w:rPr>
        <w:t xml:space="preserve">new developments and/or smaller schemes below 10 units in their entirety.  </w:t>
      </w:r>
      <w:r w:rsidR="00457BCB" w:rsidRPr="003152C8">
        <w:rPr>
          <w:rFonts w:cstheme="minorHAnsi"/>
          <w:color w:val="auto"/>
        </w:rPr>
        <w:t xml:space="preserve"> </w:t>
      </w:r>
    </w:p>
    <w:p w14:paraId="4F2E9FE5" w14:textId="171E0A29" w:rsidR="000C58A8" w:rsidRPr="003152C8" w:rsidRDefault="000C58A8" w:rsidP="000C58A8">
      <w:pPr>
        <w:jc w:val="both"/>
        <w:rPr>
          <w:rFonts w:cstheme="minorHAnsi"/>
          <w:color w:val="auto"/>
        </w:rPr>
      </w:pPr>
    </w:p>
    <w:p w14:paraId="0B236750" w14:textId="77777777" w:rsidR="00656E5B" w:rsidRPr="00656E5B" w:rsidRDefault="000C58A8" w:rsidP="00656E5B">
      <w:pPr>
        <w:jc w:val="both"/>
        <w:rPr>
          <w:rFonts w:cstheme="minorHAnsi"/>
          <w:b/>
          <w:bCs/>
          <w:color w:val="auto"/>
          <w:sz w:val="24"/>
          <w:szCs w:val="24"/>
        </w:rPr>
      </w:pPr>
      <w:r w:rsidRPr="008E1F6E">
        <w:rPr>
          <w:rFonts w:cstheme="minorHAnsi"/>
          <w:b/>
          <w:bCs/>
          <w:color w:val="auto"/>
          <w:sz w:val="24"/>
          <w:szCs w:val="24"/>
        </w:rPr>
        <w:t>Question 2</w:t>
      </w:r>
      <w:r w:rsidR="00467BCE">
        <w:rPr>
          <w:rFonts w:cstheme="minorHAnsi"/>
          <w:b/>
          <w:bCs/>
          <w:color w:val="auto"/>
          <w:sz w:val="24"/>
          <w:szCs w:val="24"/>
        </w:rPr>
        <w:t>4</w:t>
      </w:r>
      <w:r w:rsidRPr="008E1F6E">
        <w:rPr>
          <w:rFonts w:cstheme="minorHAnsi"/>
          <w:b/>
          <w:bCs/>
          <w:color w:val="auto"/>
          <w:sz w:val="24"/>
          <w:szCs w:val="24"/>
        </w:rPr>
        <w:t xml:space="preserve">:  </w:t>
      </w:r>
      <w:r w:rsidR="00656E5B" w:rsidRPr="00656E5B">
        <w:rPr>
          <w:rFonts w:cstheme="minorHAnsi"/>
          <w:b/>
          <w:bCs/>
          <w:color w:val="auto"/>
          <w:sz w:val="24"/>
          <w:szCs w:val="24"/>
        </w:rPr>
        <w:t xml:space="preserve">Do you agree that the new Permission in Principle should remove the restriction on major development?   </w:t>
      </w:r>
    </w:p>
    <w:p w14:paraId="660423BE" w14:textId="683F0C67" w:rsidR="008E1F6E" w:rsidRPr="008E1F6E" w:rsidRDefault="008E1F6E" w:rsidP="00467BCE">
      <w:pPr>
        <w:jc w:val="both"/>
        <w:rPr>
          <w:rFonts w:cstheme="minorHAnsi"/>
          <w:b/>
          <w:bCs/>
          <w:color w:val="auto"/>
          <w:sz w:val="24"/>
          <w:szCs w:val="24"/>
        </w:rPr>
      </w:pPr>
    </w:p>
    <w:p w14:paraId="14DDC896" w14:textId="0AC9B49E" w:rsidR="000C58A8" w:rsidRPr="00AE10A7" w:rsidRDefault="000C58A8" w:rsidP="000C58A8">
      <w:pPr>
        <w:jc w:val="both"/>
        <w:rPr>
          <w:rFonts w:cstheme="minorHAnsi"/>
          <w:b/>
          <w:bCs/>
          <w:color w:val="auto"/>
        </w:rPr>
      </w:pPr>
      <w:r w:rsidRPr="00AE10A7">
        <w:rPr>
          <w:rFonts w:cstheme="minorHAnsi"/>
          <w:b/>
          <w:bCs/>
          <w:color w:val="auto"/>
        </w:rPr>
        <w:t>Response to Question 2</w:t>
      </w:r>
      <w:r w:rsidR="00467BCE">
        <w:rPr>
          <w:rFonts w:cstheme="minorHAnsi"/>
          <w:b/>
          <w:bCs/>
          <w:color w:val="auto"/>
        </w:rPr>
        <w:t>4</w:t>
      </w:r>
      <w:r w:rsidRPr="00AE10A7">
        <w:rPr>
          <w:rFonts w:cstheme="minorHAnsi"/>
          <w:b/>
          <w:bCs/>
          <w:color w:val="auto"/>
        </w:rPr>
        <w:t>:</w:t>
      </w:r>
    </w:p>
    <w:p w14:paraId="565341E3" w14:textId="57F479AC" w:rsidR="005E596C" w:rsidRPr="00113D24" w:rsidRDefault="00CE72A4" w:rsidP="000C58A8">
      <w:pPr>
        <w:jc w:val="both"/>
        <w:rPr>
          <w:rFonts w:cstheme="minorHAnsi"/>
          <w:color w:val="auto"/>
        </w:rPr>
      </w:pPr>
      <w:r w:rsidRPr="00113D24">
        <w:rPr>
          <w:rFonts w:cstheme="minorHAnsi"/>
          <w:color w:val="auto"/>
        </w:rPr>
        <w:t xml:space="preserve">We </w:t>
      </w:r>
      <w:r w:rsidR="00022D3F">
        <w:rPr>
          <w:rFonts w:cstheme="minorHAnsi"/>
          <w:color w:val="auto"/>
        </w:rPr>
        <w:t>h</w:t>
      </w:r>
      <w:r w:rsidRPr="00113D24">
        <w:rPr>
          <w:rFonts w:cstheme="minorHAnsi"/>
          <w:color w:val="auto"/>
        </w:rPr>
        <w:t xml:space="preserve">ave </w:t>
      </w:r>
      <w:proofErr w:type="gramStart"/>
      <w:r w:rsidR="005E596C" w:rsidRPr="00113D24">
        <w:rPr>
          <w:rFonts w:cstheme="minorHAnsi"/>
          <w:color w:val="auto"/>
        </w:rPr>
        <w:t>a number of</w:t>
      </w:r>
      <w:proofErr w:type="gramEnd"/>
      <w:r w:rsidR="005E596C" w:rsidRPr="00113D24">
        <w:rPr>
          <w:rFonts w:cstheme="minorHAnsi"/>
          <w:color w:val="auto"/>
        </w:rPr>
        <w:t xml:space="preserve"> </w:t>
      </w:r>
      <w:r w:rsidRPr="00113D24">
        <w:rPr>
          <w:rFonts w:cstheme="minorHAnsi"/>
          <w:color w:val="auto"/>
        </w:rPr>
        <w:t>reservations about this proposal</w:t>
      </w:r>
      <w:r w:rsidR="00D177D6">
        <w:rPr>
          <w:rFonts w:cstheme="minorHAnsi"/>
          <w:color w:val="auto"/>
        </w:rPr>
        <w:t xml:space="preserve"> as follows</w:t>
      </w:r>
      <w:r w:rsidR="0094750D" w:rsidRPr="00113D24">
        <w:rPr>
          <w:rFonts w:cstheme="minorHAnsi"/>
          <w:color w:val="auto"/>
        </w:rPr>
        <w:t>:</w:t>
      </w:r>
    </w:p>
    <w:p w14:paraId="2262CC0B" w14:textId="6DAA2B24" w:rsidR="00196832" w:rsidRPr="00113D24" w:rsidRDefault="00196832" w:rsidP="00196832">
      <w:pPr>
        <w:pStyle w:val="ListParagraph"/>
        <w:numPr>
          <w:ilvl w:val="0"/>
          <w:numId w:val="14"/>
        </w:numPr>
        <w:jc w:val="both"/>
        <w:rPr>
          <w:rFonts w:cstheme="minorHAnsi"/>
          <w:color w:val="auto"/>
        </w:rPr>
      </w:pPr>
      <w:r w:rsidRPr="00113D24">
        <w:rPr>
          <w:rFonts w:cstheme="minorHAnsi"/>
          <w:color w:val="auto"/>
        </w:rPr>
        <w:t xml:space="preserve">Boroughs would be </w:t>
      </w:r>
      <w:r w:rsidR="00127E07" w:rsidRPr="00113D24">
        <w:rPr>
          <w:rFonts w:cstheme="minorHAnsi"/>
          <w:color w:val="auto"/>
        </w:rPr>
        <w:t xml:space="preserve">required </w:t>
      </w:r>
      <w:r w:rsidRPr="00113D24">
        <w:rPr>
          <w:rFonts w:cstheme="minorHAnsi"/>
          <w:color w:val="auto"/>
        </w:rPr>
        <w:t xml:space="preserve">to quickly </w:t>
      </w:r>
      <w:r w:rsidR="00127E07" w:rsidRPr="00113D24">
        <w:rPr>
          <w:rFonts w:cstheme="minorHAnsi"/>
          <w:color w:val="auto"/>
        </w:rPr>
        <w:t xml:space="preserve">assess </w:t>
      </w:r>
      <w:r w:rsidRPr="00113D24">
        <w:rPr>
          <w:rFonts w:cstheme="minorHAnsi"/>
          <w:color w:val="auto"/>
        </w:rPr>
        <w:t xml:space="preserve">major development proposals </w:t>
      </w:r>
      <w:r w:rsidR="000730E2">
        <w:rPr>
          <w:rFonts w:cstheme="minorHAnsi"/>
          <w:color w:val="auto"/>
        </w:rPr>
        <w:t>(</w:t>
      </w:r>
      <w:r w:rsidRPr="00113D24">
        <w:rPr>
          <w:rFonts w:cstheme="minorHAnsi"/>
          <w:color w:val="auto"/>
        </w:rPr>
        <w:t xml:space="preserve">which are often </w:t>
      </w:r>
      <w:r w:rsidR="00D516EB" w:rsidRPr="00113D24">
        <w:rPr>
          <w:rFonts w:cstheme="minorHAnsi"/>
          <w:color w:val="auto"/>
        </w:rPr>
        <w:t xml:space="preserve">more </w:t>
      </w:r>
      <w:r w:rsidRPr="00113D24">
        <w:rPr>
          <w:rFonts w:cstheme="minorHAnsi"/>
          <w:color w:val="auto"/>
        </w:rPr>
        <w:t>complex</w:t>
      </w:r>
      <w:r w:rsidR="001F4F66" w:rsidRPr="00113D24">
        <w:rPr>
          <w:rFonts w:cstheme="minorHAnsi"/>
          <w:color w:val="auto"/>
        </w:rPr>
        <w:t xml:space="preserve">, </w:t>
      </w:r>
      <w:r w:rsidRPr="00113D24">
        <w:rPr>
          <w:rFonts w:cstheme="minorHAnsi"/>
          <w:color w:val="auto"/>
        </w:rPr>
        <w:t>controversial with local communities</w:t>
      </w:r>
      <w:r w:rsidR="001F4F66" w:rsidRPr="00113D24">
        <w:rPr>
          <w:rFonts w:cstheme="minorHAnsi"/>
          <w:color w:val="auto"/>
        </w:rPr>
        <w:t xml:space="preserve"> and pose greater risks</w:t>
      </w:r>
      <w:r w:rsidR="000730E2">
        <w:rPr>
          <w:rFonts w:cstheme="minorHAnsi"/>
          <w:color w:val="auto"/>
        </w:rPr>
        <w:t>) at a time of limited reso</w:t>
      </w:r>
      <w:r w:rsidR="00B9042D">
        <w:rPr>
          <w:rFonts w:cstheme="minorHAnsi"/>
          <w:color w:val="auto"/>
        </w:rPr>
        <w:t>urces</w:t>
      </w:r>
      <w:r w:rsidRPr="00113D24">
        <w:rPr>
          <w:rFonts w:cstheme="minorHAnsi"/>
          <w:color w:val="auto"/>
        </w:rPr>
        <w:t xml:space="preserve">. </w:t>
      </w:r>
    </w:p>
    <w:p w14:paraId="1FC434CE" w14:textId="2D179D15" w:rsidR="004C0B79" w:rsidRPr="00113D24" w:rsidRDefault="004C0B79" w:rsidP="004C0B79">
      <w:pPr>
        <w:pStyle w:val="ListParagraph"/>
        <w:numPr>
          <w:ilvl w:val="0"/>
          <w:numId w:val="14"/>
        </w:numPr>
        <w:jc w:val="both"/>
        <w:rPr>
          <w:rFonts w:cstheme="minorHAnsi"/>
          <w:color w:val="auto"/>
        </w:rPr>
      </w:pPr>
      <w:r w:rsidRPr="00113D24">
        <w:rPr>
          <w:rFonts w:cstheme="minorHAnsi"/>
          <w:color w:val="auto"/>
        </w:rPr>
        <w:t xml:space="preserve">The public consultation periods proposed are very short, particularly given the </w:t>
      </w:r>
      <w:r w:rsidR="009F7959">
        <w:rPr>
          <w:rFonts w:cstheme="minorHAnsi"/>
          <w:color w:val="auto"/>
        </w:rPr>
        <w:t>potenti</w:t>
      </w:r>
      <w:r w:rsidR="00C63570">
        <w:rPr>
          <w:rFonts w:cstheme="minorHAnsi"/>
          <w:color w:val="auto"/>
        </w:rPr>
        <w:t xml:space="preserve">al </w:t>
      </w:r>
      <w:r w:rsidRPr="00113D24">
        <w:rPr>
          <w:rFonts w:cstheme="minorHAnsi"/>
          <w:color w:val="auto"/>
        </w:rPr>
        <w:t xml:space="preserve">scale of development and should be extended.  </w:t>
      </w:r>
    </w:p>
    <w:p w14:paraId="0FC59264" w14:textId="2B9FA5ED" w:rsidR="004C0B79" w:rsidRPr="00113D24" w:rsidRDefault="004C0B79" w:rsidP="002A41F0">
      <w:pPr>
        <w:pStyle w:val="ListParagraph"/>
        <w:numPr>
          <w:ilvl w:val="0"/>
          <w:numId w:val="14"/>
        </w:numPr>
        <w:jc w:val="both"/>
        <w:rPr>
          <w:rFonts w:cstheme="minorHAnsi"/>
          <w:color w:val="auto"/>
        </w:rPr>
      </w:pPr>
      <w:r w:rsidRPr="00113D24">
        <w:rPr>
          <w:rFonts w:cstheme="minorHAnsi"/>
          <w:color w:val="auto"/>
        </w:rPr>
        <w:t xml:space="preserve">Major developments will often involve schemes </w:t>
      </w:r>
      <w:r w:rsidR="006744B8">
        <w:rPr>
          <w:rFonts w:cstheme="minorHAnsi"/>
          <w:color w:val="auto"/>
        </w:rPr>
        <w:t xml:space="preserve">which include </w:t>
      </w:r>
      <w:r w:rsidRPr="00113D24">
        <w:rPr>
          <w:rFonts w:cstheme="minorHAnsi"/>
          <w:color w:val="auto"/>
        </w:rPr>
        <w:t xml:space="preserve">taller buildings and a height parameter of 18 metres to coincide with fire safety regulation should be applied. </w:t>
      </w:r>
    </w:p>
    <w:p w14:paraId="7B4B7923" w14:textId="35C5241B" w:rsidR="00CE72A4" w:rsidRPr="00113D24" w:rsidRDefault="00BD2145" w:rsidP="00B839B9">
      <w:pPr>
        <w:pStyle w:val="ListParagraph"/>
        <w:numPr>
          <w:ilvl w:val="0"/>
          <w:numId w:val="14"/>
        </w:numPr>
        <w:jc w:val="both"/>
        <w:rPr>
          <w:rFonts w:cstheme="minorHAnsi"/>
          <w:color w:val="auto"/>
        </w:rPr>
      </w:pPr>
      <w:r w:rsidRPr="00113D24">
        <w:rPr>
          <w:rFonts w:cstheme="minorHAnsi"/>
          <w:color w:val="auto"/>
        </w:rPr>
        <w:t>Boroughs w</w:t>
      </w:r>
      <w:r w:rsidR="009B7618" w:rsidRPr="00113D24">
        <w:rPr>
          <w:rFonts w:cstheme="minorHAnsi"/>
          <w:color w:val="auto"/>
        </w:rPr>
        <w:t xml:space="preserve">ould </w:t>
      </w:r>
      <w:r w:rsidR="00FA7BC4" w:rsidRPr="00113D24">
        <w:rPr>
          <w:rFonts w:cstheme="minorHAnsi"/>
          <w:color w:val="auto"/>
        </w:rPr>
        <w:t xml:space="preserve">need </w:t>
      </w:r>
      <w:r w:rsidR="00FD152E">
        <w:rPr>
          <w:rFonts w:cstheme="minorHAnsi"/>
          <w:color w:val="auto"/>
        </w:rPr>
        <w:t>easier/</w:t>
      </w:r>
      <w:r w:rsidR="009B7618" w:rsidRPr="00113D24">
        <w:rPr>
          <w:rFonts w:cstheme="minorHAnsi"/>
          <w:color w:val="auto"/>
        </w:rPr>
        <w:t xml:space="preserve">more timely </w:t>
      </w:r>
      <w:r w:rsidRPr="00113D24">
        <w:rPr>
          <w:rFonts w:cstheme="minorHAnsi"/>
          <w:color w:val="auto"/>
        </w:rPr>
        <w:t xml:space="preserve">access to the </w:t>
      </w:r>
      <w:r w:rsidR="00264A61" w:rsidRPr="00113D24">
        <w:rPr>
          <w:rFonts w:cstheme="minorHAnsi"/>
          <w:color w:val="auto"/>
        </w:rPr>
        <w:t>data</w:t>
      </w:r>
      <w:r w:rsidR="001B3B49" w:rsidRPr="00113D24">
        <w:rPr>
          <w:rFonts w:cstheme="minorHAnsi"/>
          <w:color w:val="auto"/>
        </w:rPr>
        <w:t xml:space="preserve">/information </w:t>
      </w:r>
      <w:r w:rsidR="00264A61" w:rsidRPr="00113D24">
        <w:rPr>
          <w:rFonts w:cstheme="minorHAnsi"/>
          <w:color w:val="auto"/>
        </w:rPr>
        <w:t xml:space="preserve">required to assess </w:t>
      </w:r>
      <w:r w:rsidR="005569AA" w:rsidRPr="00113D24">
        <w:rPr>
          <w:rFonts w:cstheme="minorHAnsi"/>
          <w:color w:val="auto"/>
        </w:rPr>
        <w:t xml:space="preserve">such applications, for example, </w:t>
      </w:r>
      <w:r w:rsidR="00FA7BC4" w:rsidRPr="00113D24">
        <w:rPr>
          <w:rFonts w:cstheme="minorHAnsi"/>
          <w:color w:val="auto"/>
        </w:rPr>
        <w:t xml:space="preserve">in respect of </w:t>
      </w:r>
      <w:r w:rsidR="009B7618" w:rsidRPr="00113D24">
        <w:rPr>
          <w:rFonts w:cstheme="minorHAnsi"/>
          <w:color w:val="auto"/>
        </w:rPr>
        <w:t xml:space="preserve">infrastructure </w:t>
      </w:r>
      <w:r w:rsidR="00A028FA" w:rsidRPr="00113D24">
        <w:rPr>
          <w:rFonts w:cstheme="minorHAnsi"/>
          <w:color w:val="auto"/>
        </w:rPr>
        <w:t xml:space="preserve">capacity and constraints. </w:t>
      </w:r>
    </w:p>
    <w:p w14:paraId="3E411461" w14:textId="6398D883" w:rsidR="004C636F" w:rsidRPr="00113D24" w:rsidRDefault="004C636F" w:rsidP="00B839B9">
      <w:pPr>
        <w:pStyle w:val="ListParagraph"/>
        <w:numPr>
          <w:ilvl w:val="0"/>
          <w:numId w:val="14"/>
        </w:numPr>
        <w:jc w:val="both"/>
        <w:rPr>
          <w:rFonts w:cstheme="minorHAnsi"/>
          <w:color w:val="auto"/>
        </w:rPr>
      </w:pPr>
      <w:r w:rsidRPr="00113D24">
        <w:rPr>
          <w:rFonts w:cstheme="minorHAnsi"/>
          <w:color w:val="auto"/>
        </w:rPr>
        <w:t>The fee str</w:t>
      </w:r>
      <w:r w:rsidR="003B713C" w:rsidRPr="00113D24">
        <w:rPr>
          <w:rFonts w:cstheme="minorHAnsi"/>
          <w:color w:val="auto"/>
        </w:rPr>
        <w:t>ucture should mirror the fees for a full application</w:t>
      </w:r>
      <w:r w:rsidR="001B3B49" w:rsidRPr="00113D24">
        <w:rPr>
          <w:rFonts w:cstheme="minorHAnsi"/>
          <w:color w:val="auto"/>
        </w:rPr>
        <w:t xml:space="preserve"> given </w:t>
      </w:r>
      <w:r w:rsidR="004E4F3B" w:rsidRPr="00113D24">
        <w:rPr>
          <w:rFonts w:cstheme="minorHAnsi"/>
          <w:color w:val="auto"/>
        </w:rPr>
        <w:t xml:space="preserve">the need to deal with complex issues at </w:t>
      </w:r>
      <w:r w:rsidR="00FA7BC4" w:rsidRPr="00113D24">
        <w:rPr>
          <w:rFonts w:cstheme="minorHAnsi"/>
          <w:color w:val="auto"/>
        </w:rPr>
        <w:t>pace</w:t>
      </w:r>
      <w:r w:rsidR="003B713C" w:rsidRPr="00113D24">
        <w:rPr>
          <w:rFonts w:cstheme="minorHAnsi"/>
          <w:color w:val="auto"/>
        </w:rPr>
        <w:t xml:space="preserve">. </w:t>
      </w:r>
    </w:p>
    <w:p w14:paraId="2F8F0D11" w14:textId="1DF51C52" w:rsidR="000C58A8" w:rsidRPr="00113D24" w:rsidRDefault="000C58A8" w:rsidP="000C58A8">
      <w:pPr>
        <w:jc w:val="both"/>
        <w:rPr>
          <w:rFonts w:cstheme="minorHAnsi"/>
          <w:b/>
          <w:bCs/>
          <w:color w:val="auto"/>
        </w:rPr>
      </w:pPr>
    </w:p>
    <w:p w14:paraId="43DB42A7" w14:textId="64447A88" w:rsidR="00DF2FC0" w:rsidRDefault="000C58A8" w:rsidP="00656E5B">
      <w:pPr>
        <w:jc w:val="both"/>
        <w:rPr>
          <w:rFonts w:cstheme="minorHAnsi"/>
          <w:b/>
          <w:bCs/>
          <w:color w:val="auto"/>
          <w:sz w:val="24"/>
          <w:szCs w:val="24"/>
        </w:rPr>
      </w:pPr>
      <w:r w:rsidRPr="00DF2FC0">
        <w:rPr>
          <w:rFonts w:cstheme="minorHAnsi"/>
          <w:b/>
          <w:bCs/>
          <w:color w:val="auto"/>
          <w:sz w:val="24"/>
          <w:szCs w:val="24"/>
        </w:rPr>
        <w:t>Question 2</w:t>
      </w:r>
      <w:r w:rsidR="00656E5B">
        <w:rPr>
          <w:rFonts w:cstheme="minorHAnsi"/>
          <w:b/>
          <w:bCs/>
          <w:color w:val="auto"/>
          <w:sz w:val="24"/>
          <w:szCs w:val="24"/>
        </w:rPr>
        <w:t>5</w:t>
      </w:r>
      <w:r w:rsidRPr="00DF2FC0">
        <w:rPr>
          <w:rFonts w:cstheme="minorHAnsi"/>
          <w:b/>
          <w:bCs/>
          <w:color w:val="auto"/>
          <w:sz w:val="24"/>
          <w:szCs w:val="24"/>
        </w:rPr>
        <w:t xml:space="preserve">:  </w:t>
      </w:r>
      <w:r w:rsidR="008F19E2" w:rsidRPr="008F19E2">
        <w:rPr>
          <w:rFonts w:cstheme="minorHAnsi"/>
          <w:b/>
          <w:bCs/>
          <w:color w:val="auto"/>
          <w:sz w:val="24"/>
          <w:szCs w:val="24"/>
        </w:rPr>
        <w:t>Should the new Permission in Principle for major development set any limit on the amount of commercial development (providing housing still occupies the majority of the floorspace of the overall scheme)? Please provide any comments in support of your views.</w:t>
      </w:r>
    </w:p>
    <w:p w14:paraId="2105D2B1" w14:textId="7770A68A" w:rsidR="00656E5B" w:rsidRDefault="00656E5B" w:rsidP="00656E5B">
      <w:pPr>
        <w:jc w:val="both"/>
        <w:rPr>
          <w:rFonts w:cstheme="minorHAnsi"/>
          <w:b/>
          <w:bCs/>
          <w:color w:val="auto"/>
          <w:sz w:val="24"/>
          <w:szCs w:val="24"/>
        </w:rPr>
      </w:pPr>
    </w:p>
    <w:p w14:paraId="1531CF49" w14:textId="367CCC34" w:rsidR="000C58A8" w:rsidRPr="00AE10A7" w:rsidRDefault="000C58A8" w:rsidP="000C58A8">
      <w:pPr>
        <w:jc w:val="both"/>
        <w:rPr>
          <w:rFonts w:cstheme="minorHAnsi"/>
          <w:b/>
          <w:bCs/>
          <w:color w:val="auto"/>
        </w:rPr>
      </w:pPr>
      <w:r w:rsidRPr="00AE10A7">
        <w:rPr>
          <w:rFonts w:cstheme="minorHAnsi"/>
          <w:b/>
          <w:bCs/>
          <w:color w:val="auto"/>
        </w:rPr>
        <w:t>Response to Question 2</w:t>
      </w:r>
      <w:r w:rsidR="00656E5B">
        <w:rPr>
          <w:rFonts w:cstheme="minorHAnsi"/>
          <w:b/>
          <w:bCs/>
          <w:color w:val="auto"/>
        </w:rPr>
        <w:t>5</w:t>
      </w:r>
      <w:r w:rsidRPr="00AE10A7">
        <w:rPr>
          <w:rFonts w:cstheme="minorHAnsi"/>
          <w:b/>
          <w:bCs/>
          <w:color w:val="auto"/>
        </w:rPr>
        <w:t>:</w:t>
      </w:r>
    </w:p>
    <w:p w14:paraId="4C9A4C59" w14:textId="3EDEEAB2" w:rsidR="000C58A8" w:rsidRPr="00D47327" w:rsidRDefault="00022D3F" w:rsidP="000C58A8">
      <w:pPr>
        <w:jc w:val="both"/>
        <w:rPr>
          <w:rFonts w:cstheme="minorHAnsi"/>
          <w:color w:val="auto"/>
        </w:rPr>
      </w:pPr>
      <w:bookmarkStart w:id="22" w:name="_Hlk51835029"/>
      <w:r w:rsidRPr="00D47327">
        <w:rPr>
          <w:rFonts w:cstheme="minorHAnsi"/>
          <w:color w:val="auto"/>
        </w:rPr>
        <w:t xml:space="preserve">Our comments on </w:t>
      </w:r>
      <w:r w:rsidR="007E0D7D" w:rsidRPr="00D47327">
        <w:rPr>
          <w:rFonts w:cstheme="minorHAnsi"/>
          <w:color w:val="auto"/>
        </w:rPr>
        <w:t xml:space="preserve">the new Permission in Principle are summarised in </w:t>
      </w:r>
      <w:r w:rsidR="00D47327" w:rsidRPr="00D47327">
        <w:rPr>
          <w:rFonts w:cstheme="minorHAnsi"/>
          <w:color w:val="auto"/>
        </w:rPr>
        <w:t xml:space="preserve">our response to question 24. </w:t>
      </w:r>
    </w:p>
    <w:bookmarkEnd w:id="22"/>
    <w:p w14:paraId="1BD2D052" w14:textId="77777777" w:rsidR="000C58A8" w:rsidRPr="00572BAC" w:rsidRDefault="000C58A8" w:rsidP="000C58A8">
      <w:pPr>
        <w:jc w:val="both"/>
        <w:rPr>
          <w:rFonts w:cstheme="minorHAnsi"/>
          <w:b/>
          <w:bCs/>
          <w:color w:val="auto"/>
          <w:sz w:val="22"/>
          <w:szCs w:val="22"/>
        </w:rPr>
      </w:pPr>
    </w:p>
    <w:p w14:paraId="0FC83369" w14:textId="77777777" w:rsidR="002C439E" w:rsidRPr="00572BAC" w:rsidRDefault="002C439E" w:rsidP="002C439E">
      <w:pPr>
        <w:ind w:left="360"/>
        <w:jc w:val="both"/>
        <w:rPr>
          <w:rFonts w:cstheme="minorHAnsi"/>
          <w:color w:val="auto"/>
          <w:sz w:val="22"/>
          <w:szCs w:val="22"/>
        </w:rPr>
      </w:pPr>
    </w:p>
    <w:p w14:paraId="566255E3" w14:textId="77777777" w:rsidR="002C5B0A" w:rsidRPr="002C5B0A" w:rsidRDefault="00FF6B15" w:rsidP="002C5B0A">
      <w:pPr>
        <w:jc w:val="both"/>
        <w:rPr>
          <w:rFonts w:cstheme="minorHAnsi"/>
          <w:b/>
          <w:bCs/>
          <w:color w:val="auto"/>
          <w:sz w:val="24"/>
          <w:szCs w:val="24"/>
        </w:rPr>
      </w:pPr>
      <w:r w:rsidRPr="00264BF3">
        <w:rPr>
          <w:rFonts w:cstheme="minorHAnsi"/>
          <w:b/>
          <w:bCs/>
          <w:color w:val="auto"/>
          <w:sz w:val="24"/>
          <w:szCs w:val="24"/>
        </w:rPr>
        <w:t>Question 2</w:t>
      </w:r>
      <w:r w:rsidR="008F19E2">
        <w:rPr>
          <w:rFonts w:cstheme="minorHAnsi"/>
          <w:b/>
          <w:bCs/>
          <w:color w:val="auto"/>
          <w:sz w:val="24"/>
          <w:szCs w:val="24"/>
        </w:rPr>
        <w:t>6</w:t>
      </w:r>
      <w:r w:rsidRPr="00264BF3">
        <w:rPr>
          <w:rFonts w:cstheme="minorHAnsi"/>
          <w:b/>
          <w:bCs/>
          <w:color w:val="auto"/>
          <w:sz w:val="24"/>
          <w:szCs w:val="24"/>
        </w:rPr>
        <w:t xml:space="preserve">:  </w:t>
      </w:r>
      <w:r w:rsidR="002C5B0A" w:rsidRPr="002C5B0A">
        <w:rPr>
          <w:rFonts w:cstheme="minorHAnsi"/>
          <w:b/>
          <w:bCs/>
          <w:color w:val="auto"/>
          <w:sz w:val="24"/>
          <w:szCs w:val="24"/>
        </w:rPr>
        <w:t xml:space="preserve">Do you agree with our proposal that information requirements for Permission in Principle by application for major development should broadly remain unchanged? If you disagree, what changes would you suggest and why? </w:t>
      </w:r>
    </w:p>
    <w:p w14:paraId="1585DA95" w14:textId="77777777" w:rsidR="002C5B0A" w:rsidRPr="002C5B0A" w:rsidRDefault="002C5B0A" w:rsidP="002C5B0A">
      <w:pPr>
        <w:jc w:val="both"/>
        <w:rPr>
          <w:rFonts w:cstheme="minorHAnsi"/>
          <w:b/>
          <w:bCs/>
          <w:color w:val="auto"/>
          <w:sz w:val="24"/>
          <w:szCs w:val="24"/>
        </w:rPr>
      </w:pPr>
      <w:r w:rsidRPr="002C5B0A">
        <w:rPr>
          <w:rFonts w:cstheme="minorHAnsi"/>
          <w:b/>
          <w:bCs/>
          <w:color w:val="auto"/>
          <w:sz w:val="24"/>
          <w:szCs w:val="24"/>
        </w:rPr>
        <w:t xml:space="preserve"> </w:t>
      </w:r>
    </w:p>
    <w:p w14:paraId="53A45CB0" w14:textId="67379110" w:rsidR="00FF6B15" w:rsidRPr="00572BAC" w:rsidRDefault="00FF6B15" w:rsidP="000C70CE">
      <w:pPr>
        <w:jc w:val="both"/>
        <w:rPr>
          <w:rFonts w:cstheme="minorHAnsi"/>
          <w:color w:val="auto"/>
        </w:rPr>
      </w:pPr>
      <w:r w:rsidRPr="00572BAC">
        <w:rPr>
          <w:rFonts w:cstheme="minorHAnsi"/>
          <w:b/>
          <w:bCs/>
          <w:color w:val="auto"/>
        </w:rPr>
        <w:t xml:space="preserve">Response </w:t>
      </w:r>
      <w:r w:rsidR="00772092" w:rsidRPr="00572BAC">
        <w:rPr>
          <w:rFonts w:cstheme="minorHAnsi"/>
          <w:b/>
          <w:bCs/>
          <w:color w:val="auto"/>
        </w:rPr>
        <w:t xml:space="preserve">to </w:t>
      </w:r>
      <w:r w:rsidRPr="00572BAC">
        <w:rPr>
          <w:rFonts w:cstheme="minorHAnsi"/>
          <w:b/>
          <w:bCs/>
          <w:color w:val="auto"/>
        </w:rPr>
        <w:t>Question</w:t>
      </w:r>
      <w:r w:rsidR="00DF2FC0">
        <w:rPr>
          <w:rFonts w:cstheme="minorHAnsi"/>
          <w:b/>
          <w:bCs/>
          <w:color w:val="auto"/>
        </w:rPr>
        <w:t xml:space="preserve"> </w:t>
      </w:r>
      <w:r w:rsidRPr="00572BAC">
        <w:rPr>
          <w:rFonts w:cstheme="minorHAnsi"/>
          <w:b/>
          <w:bCs/>
          <w:color w:val="auto"/>
        </w:rPr>
        <w:t>2</w:t>
      </w:r>
      <w:r w:rsidR="002C5B0A">
        <w:rPr>
          <w:rFonts w:cstheme="minorHAnsi"/>
          <w:b/>
          <w:bCs/>
          <w:color w:val="auto"/>
        </w:rPr>
        <w:t>6</w:t>
      </w:r>
      <w:r w:rsidRPr="00572BAC">
        <w:rPr>
          <w:rFonts w:cstheme="minorHAnsi"/>
          <w:b/>
          <w:bCs/>
          <w:color w:val="auto"/>
        </w:rPr>
        <w:t>:</w:t>
      </w:r>
    </w:p>
    <w:p w14:paraId="79CBEADF" w14:textId="77777777" w:rsidR="00D47327" w:rsidRPr="00D47327" w:rsidRDefault="00D47327" w:rsidP="00D47327">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18AC95B5" w14:textId="2FF7F68E" w:rsidR="00DF2FC0" w:rsidRDefault="00DF2FC0" w:rsidP="000C70CE">
      <w:pPr>
        <w:jc w:val="both"/>
        <w:rPr>
          <w:rFonts w:cstheme="minorHAnsi"/>
          <w:color w:val="7030A0"/>
        </w:rPr>
      </w:pPr>
    </w:p>
    <w:p w14:paraId="1CC07DE1" w14:textId="77777777" w:rsidR="00DF2FC0" w:rsidRPr="00572BAC" w:rsidRDefault="00DF2FC0" w:rsidP="000C70CE">
      <w:pPr>
        <w:jc w:val="both"/>
        <w:rPr>
          <w:rFonts w:cstheme="minorHAnsi"/>
          <w:color w:val="7030A0"/>
        </w:rPr>
      </w:pPr>
    </w:p>
    <w:p w14:paraId="6A2F9266" w14:textId="61CFC2D5" w:rsidR="00B71763" w:rsidRPr="00B71763" w:rsidRDefault="00FF6B15" w:rsidP="002C5B0A">
      <w:pPr>
        <w:jc w:val="both"/>
        <w:rPr>
          <w:rFonts w:cstheme="minorHAnsi"/>
          <w:b/>
          <w:bCs/>
          <w:color w:val="auto"/>
          <w:sz w:val="24"/>
          <w:szCs w:val="24"/>
        </w:rPr>
      </w:pPr>
      <w:r w:rsidRPr="00264BF3">
        <w:rPr>
          <w:rFonts w:cstheme="minorHAnsi"/>
          <w:b/>
          <w:bCs/>
          <w:color w:val="auto"/>
          <w:sz w:val="24"/>
          <w:szCs w:val="24"/>
        </w:rPr>
        <w:t>Question 2</w:t>
      </w:r>
      <w:r w:rsidR="002C5B0A">
        <w:rPr>
          <w:rFonts w:cstheme="minorHAnsi"/>
          <w:b/>
          <w:bCs/>
          <w:color w:val="auto"/>
          <w:sz w:val="24"/>
          <w:szCs w:val="24"/>
        </w:rPr>
        <w:t>7</w:t>
      </w:r>
      <w:r w:rsidRPr="00264BF3">
        <w:rPr>
          <w:rFonts w:cstheme="minorHAnsi"/>
          <w:b/>
          <w:bCs/>
          <w:color w:val="auto"/>
          <w:sz w:val="24"/>
          <w:szCs w:val="24"/>
        </w:rPr>
        <w:t xml:space="preserve">:  </w:t>
      </w:r>
      <w:r w:rsidR="0075764C" w:rsidRPr="0075764C">
        <w:rPr>
          <w:rFonts w:cstheme="minorHAnsi"/>
          <w:b/>
          <w:bCs/>
          <w:color w:val="auto"/>
          <w:sz w:val="24"/>
          <w:szCs w:val="24"/>
        </w:rPr>
        <w:t xml:space="preserve">Should there be an additional height parameter for Permission in Principle?  Please provide comments in support of your views.  </w:t>
      </w:r>
    </w:p>
    <w:p w14:paraId="0E04DC00" w14:textId="77777777" w:rsidR="000673C6" w:rsidRPr="00572BAC" w:rsidRDefault="000673C6" w:rsidP="000C70CE">
      <w:pPr>
        <w:jc w:val="both"/>
        <w:rPr>
          <w:rFonts w:cstheme="minorHAnsi"/>
          <w:color w:val="auto"/>
          <w:sz w:val="22"/>
          <w:szCs w:val="22"/>
        </w:rPr>
      </w:pPr>
    </w:p>
    <w:p w14:paraId="1DCB6FA3" w14:textId="08D4FF9A" w:rsidR="00FF6B15" w:rsidRPr="00572BAC" w:rsidRDefault="00FF6B15" w:rsidP="000C70CE">
      <w:pPr>
        <w:jc w:val="both"/>
        <w:rPr>
          <w:rFonts w:cstheme="minorHAnsi"/>
          <w:b/>
          <w:bCs/>
          <w:color w:val="auto"/>
        </w:rPr>
      </w:pPr>
      <w:bookmarkStart w:id="23" w:name="_Hlk50226614"/>
      <w:r w:rsidRPr="00572BAC">
        <w:rPr>
          <w:rFonts w:cstheme="minorHAnsi"/>
          <w:b/>
          <w:bCs/>
          <w:color w:val="auto"/>
        </w:rPr>
        <w:t xml:space="preserve">Response </w:t>
      </w:r>
      <w:r w:rsidR="00772092" w:rsidRPr="00572BAC">
        <w:rPr>
          <w:rFonts w:cstheme="minorHAnsi"/>
          <w:b/>
          <w:bCs/>
          <w:color w:val="auto"/>
        </w:rPr>
        <w:t xml:space="preserve">to </w:t>
      </w:r>
      <w:r w:rsidRPr="00572BAC">
        <w:rPr>
          <w:rFonts w:cstheme="minorHAnsi"/>
          <w:b/>
          <w:bCs/>
          <w:color w:val="auto"/>
        </w:rPr>
        <w:t>Question 2</w:t>
      </w:r>
      <w:r w:rsidR="0075764C">
        <w:rPr>
          <w:rFonts w:cstheme="minorHAnsi"/>
          <w:b/>
          <w:bCs/>
          <w:color w:val="auto"/>
        </w:rPr>
        <w:t>7</w:t>
      </w:r>
      <w:r w:rsidRPr="00572BAC">
        <w:rPr>
          <w:rFonts w:cstheme="minorHAnsi"/>
          <w:b/>
          <w:bCs/>
          <w:color w:val="auto"/>
        </w:rPr>
        <w:t xml:space="preserve">:   </w:t>
      </w:r>
    </w:p>
    <w:bookmarkEnd w:id="23"/>
    <w:p w14:paraId="359F530E" w14:textId="7163D152" w:rsidR="00B64418" w:rsidRPr="00B64418" w:rsidRDefault="00B64418" w:rsidP="000C70CE">
      <w:pPr>
        <w:jc w:val="both"/>
        <w:rPr>
          <w:rFonts w:cstheme="minorHAnsi"/>
          <w:color w:val="auto"/>
        </w:rPr>
      </w:pPr>
      <w:r w:rsidRPr="00B64418">
        <w:rPr>
          <w:rFonts w:cstheme="minorHAnsi"/>
          <w:color w:val="auto"/>
        </w:rPr>
        <w:t xml:space="preserve">We </w:t>
      </w:r>
      <w:r w:rsidR="001445B2">
        <w:rPr>
          <w:rFonts w:cstheme="minorHAnsi"/>
          <w:color w:val="auto"/>
        </w:rPr>
        <w:t xml:space="preserve">consider that a height parameter of 18 metres should be set to coincide with </w:t>
      </w:r>
      <w:r w:rsidR="001F6276">
        <w:rPr>
          <w:rFonts w:cstheme="minorHAnsi"/>
          <w:color w:val="auto"/>
        </w:rPr>
        <w:t xml:space="preserve">building </w:t>
      </w:r>
      <w:r w:rsidR="001445B2">
        <w:rPr>
          <w:rFonts w:cstheme="minorHAnsi"/>
          <w:color w:val="auto"/>
        </w:rPr>
        <w:t>safety regulation</w:t>
      </w:r>
      <w:r w:rsidR="001F6276">
        <w:rPr>
          <w:rFonts w:cstheme="minorHAnsi"/>
          <w:color w:val="auto"/>
        </w:rPr>
        <w:t>s</w:t>
      </w:r>
      <w:r w:rsidR="001445B2">
        <w:rPr>
          <w:rFonts w:cstheme="minorHAnsi"/>
          <w:color w:val="auto"/>
        </w:rPr>
        <w:t xml:space="preserve">. </w:t>
      </w:r>
    </w:p>
    <w:p w14:paraId="44605D21" w14:textId="3FE19820" w:rsidR="00264BF3" w:rsidRDefault="00264BF3" w:rsidP="000C70CE">
      <w:pPr>
        <w:jc w:val="both"/>
        <w:rPr>
          <w:rFonts w:cstheme="minorHAnsi"/>
          <w:b/>
          <w:bCs/>
          <w:color w:val="auto"/>
        </w:rPr>
      </w:pPr>
    </w:p>
    <w:p w14:paraId="1829ED3B" w14:textId="1B7EB79E" w:rsidR="00264BF3" w:rsidRDefault="00264BF3" w:rsidP="000C70CE">
      <w:pPr>
        <w:jc w:val="both"/>
        <w:rPr>
          <w:rFonts w:cstheme="minorHAnsi"/>
          <w:b/>
          <w:bCs/>
          <w:color w:val="auto"/>
        </w:rPr>
      </w:pPr>
    </w:p>
    <w:p w14:paraId="6F1442E9" w14:textId="77777777" w:rsidR="00750B20" w:rsidRPr="00750B20" w:rsidRDefault="00264BF3" w:rsidP="00750B20">
      <w:pPr>
        <w:jc w:val="both"/>
        <w:rPr>
          <w:rFonts w:cstheme="minorHAnsi"/>
          <w:b/>
          <w:bCs/>
          <w:color w:val="auto"/>
          <w:sz w:val="24"/>
          <w:szCs w:val="24"/>
        </w:rPr>
      </w:pPr>
      <w:r w:rsidRPr="00264BF3">
        <w:rPr>
          <w:rFonts w:cstheme="minorHAnsi"/>
          <w:b/>
          <w:bCs/>
          <w:color w:val="auto"/>
          <w:sz w:val="24"/>
          <w:szCs w:val="24"/>
        </w:rPr>
        <w:t>Question 2</w:t>
      </w:r>
      <w:r w:rsidR="0075764C">
        <w:rPr>
          <w:rFonts w:cstheme="minorHAnsi"/>
          <w:b/>
          <w:bCs/>
          <w:color w:val="auto"/>
          <w:sz w:val="24"/>
          <w:szCs w:val="24"/>
        </w:rPr>
        <w:t>8</w:t>
      </w:r>
      <w:r w:rsidRPr="00264BF3">
        <w:rPr>
          <w:rFonts w:cstheme="minorHAnsi"/>
          <w:b/>
          <w:bCs/>
          <w:color w:val="auto"/>
          <w:sz w:val="24"/>
          <w:szCs w:val="24"/>
        </w:rPr>
        <w:t xml:space="preserve">:  </w:t>
      </w:r>
      <w:r w:rsidR="00750B20" w:rsidRPr="00750B20">
        <w:rPr>
          <w:rFonts w:cstheme="minorHAnsi"/>
          <w:b/>
          <w:bCs/>
          <w:color w:val="auto"/>
          <w:sz w:val="24"/>
          <w:szCs w:val="24"/>
        </w:rPr>
        <w:t xml:space="preserve">Do you agree that publicity arrangements for Permission in Principle by application should be extended for large developments? If so, should </w:t>
      </w:r>
      <w:proofErr w:type="gramStart"/>
      <w:r w:rsidR="00750B20" w:rsidRPr="00750B20">
        <w:rPr>
          <w:rFonts w:cstheme="minorHAnsi"/>
          <w:b/>
          <w:bCs/>
          <w:color w:val="auto"/>
          <w:sz w:val="24"/>
          <w:szCs w:val="24"/>
        </w:rPr>
        <w:t>local</w:t>
      </w:r>
      <w:proofErr w:type="gramEnd"/>
      <w:r w:rsidR="00750B20" w:rsidRPr="00750B20">
        <w:rPr>
          <w:rFonts w:cstheme="minorHAnsi"/>
          <w:b/>
          <w:bCs/>
          <w:color w:val="auto"/>
          <w:sz w:val="24"/>
          <w:szCs w:val="24"/>
        </w:rPr>
        <w:t xml:space="preserve"> planning authorities be:  </w:t>
      </w:r>
    </w:p>
    <w:p w14:paraId="7B5F15C8" w14:textId="77777777" w:rsidR="00750B20" w:rsidRPr="00750B20" w:rsidRDefault="00750B20" w:rsidP="00750B20">
      <w:pPr>
        <w:jc w:val="both"/>
        <w:rPr>
          <w:rFonts w:cstheme="minorHAnsi"/>
          <w:b/>
          <w:bCs/>
          <w:color w:val="auto"/>
          <w:sz w:val="24"/>
          <w:szCs w:val="24"/>
        </w:rPr>
      </w:pPr>
      <w:r w:rsidRPr="00750B20">
        <w:rPr>
          <w:rFonts w:cstheme="minorHAnsi"/>
          <w:b/>
          <w:bCs/>
          <w:color w:val="auto"/>
          <w:sz w:val="24"/>
          <w:szCs w:val="24"/>
        </w:rPr>
        <w:t xml:space="preserve">i) required to publish a notice in a local newspaper?   ii) subject to a general requirement to publicise the application </w:t>
      </w:r>
      <w:proofErr w:type="gramStart"/>
      <w:r w:rsidRPr="00750B20">
        <w:rPr>
          <w:rFonts w:cstheme="minorHAnsi"/>
          <w:b/>
          <w:bCs/>
          <w:color w:val="auto"/>
          <w:sz w:val="24"/>
          <w:szCs w:val="24"/>
        </w:rPr>
        <w:t>or  iii</w:t>
      </w:r>
      <w:proofErr w:type="gramEnd"/>
      <w:r w:rsidRPr="00750B20">
        <w:rPr>
          <w:rFonts w:cstheme="minorHAnsi"/>
          <w:b/>
          <w:bCs/>
          <w:color w:val="auto"/>
          <w:sz w:val="24"/>
          <w:szCs w:val="24"/>
        </w:rPr>
        <w:t xml:space="preserve">) both?  iv) disagree </w:t>
      </w:r>
    </w:p>
    <w:p w14:paraId="7258E237" w14:textId="77777777" w:rsidR="0034742D" w:rsidRPr="0034742D" w:rsidRDefault="0034742D" w:rsidP="0034742D">
      <w:pPr>
        <w:jc w:val="both"/>
        <w:rPr>
          <w:rFonts w:cstheme="minorHAnsi"/>
          <w:b/>
          <w:bCs/>
          <w:color w:val="auto"/>
          <w:sz w:val="24"/>
          <w:szCs w:val="24"/>
        </w:rPr>
      </w:pPr>
      <w:r w:rsidRPr="0034742D">
        <w:rPr>
          <w:rFonts w:cstheme="minorHAnsi"/>
          <w:b/>
          <w:bCs/>
          <w:color w:val="auto"/>
          <w:sz w:val="24"/>
          <w:szCs w:val="24"/>
        </w:rPr>
        <w:t xml:space="preserve">If you disagree, please state your reasons. </w:t>
      </w:r>
    </w:p>
    <w:p w14:paraId="3AD3B945" w14:textId="4AFD0295" w:rsidR="00264BF3" w:rsidRPr="00264BF3" w:rsidRDefault="00264BF3" w:rsidP="00264BF3">
      <w:pPr>
        <w:jc w:val="both"/>
        <w:rPr>
          <w:rFonts w:cstheme="minorHAnsi"/>
          <w:b/>
          <w:bCs/>
          <w:color w:val="auto"/>
          <w:sz w:val="24"/>
          <w:szCs w:val="24"/>
        </w:rPr>
      </w:pPr>
    </w:p>
    <w:p w14:paraId="01C7C1BB" w14:textId="5023FDB5" w:rsidR="00633EC4" w:rsidRPr="00572BAC" w:rsidRDefault="00633EC4" w:rsidP="00633EC4">
      <w:pPr>
        <w:jc w:val="both"/>
        <w:rPr>
          <w:rFonts w:cstheme="minorHAnsi"/>
          <w:b/>
          <w:bCs/>
          <w:color w:val="auto"/>
        </w:rPr>
      </w:pPr>
      <w:r w:rsidRPr="00572BAC">
        <w:rPr>
          <w:rFonts w:cstheme="minorHAnsi"/>
          <w:b/>
          <w:bCs/>
          <w:color w:val="auto"/>
        </w:rPr>
        <w:t>Response to Question 2</w:t>
      </w:r>
      <w:r w:rsidR="0075764C">
        <w:rPr>
          <w:rFonts w:cstheme="minorHAnsi"/>
          <w:b/>
          <w:bCs/>
          <w:color w:val="auto"/>
        </w:rPr>
        <w:t>8</w:t>
      </w:r>
      <w:r w:rsidRPr="00572BAC">
        <w:rPr>
          <w:rFonts w:cstheme="minorHAnsi"/>
          <w:b/>
          <w:bCs/>
          <w:color w:val="auto"/>
        </w:rPr>
        <w:t xml:space="preserve">:   </w:t>
      </w:r>
    </w:p>
    <w:p w14:paraId="41527603" w14:textId="63192F64" w:rsidR="001445B2" w:rsidRPr="0083154D" w:rsidRDefault="001445B2" w:rsidP="000C70CE">
      <w:pPr>
        <w:jc w:val="both"/>
        <w:rPr>
          <w:rFonts w:cstheme="minorHAnsi"/>
          <w:color w:val="auto"/>
        </w:rPr>
      </w:pPr>
      <w:r w:rsidRPr="0083154D">
        <w:rPr>
          <w:rFonts w:cstheme="minorHAnsi"/>
          <w:color w:val="auto"/>
        </w:rPr>
        <w:t xml:space="preserve">We </w:t>
      </w:r>
      <w:r w:rsidR="00D47327">
        <w:rPr>
          <w:rFonts w:cstheme="minorHAnsi"/>
          <w:color w:val="auto"/>
        </w:rPr>
        <w:t xml:space="preserve">suggest </w:t>
      </w:r>
      <w:r w:rsidRPr="0083154D">
        <w:rPr>
          <w:rFonts w:cstheme="minorHAnsi"/>
          <w:color w:val="auto"/>
        </w:rPr>
        <w:t xml:space="preserve">that </w:t>
      </w:r>
      <w:r w:rsidR="0083154D" w:rsidRPr="0083154D">
        <w:rPr>
          <w:rFonts w:cstheme="minorHAnsi"/>
          <w:color w:val="auto"/>
        </w:rPr>
        <w:t>the publicity arrangements should mirror those for a full application</w:t>
      </w:r>
      <w:r w:rsidR="00D47327">
        <w:rPr>
          <w:rFonts w:cstheme="minorHAnsi"/>
          <w:color w:val="auto"/>
        </w:rPr>
        <w:t>.</w:t>
      </w:r>
      <w:r w:rsidR="0083154D" w:rsidRPr="0083154D">
        <w:rPr>
          <w:rFonts w:cstheme="minorHAnsi"/>
          <w:color w:val="auto"/>
        </w:rPr>
        <w:t xml:space="preserve"> </w:t>
      </w:r>
    </w:p>
    <w:p w14:paraId="12832D4C" w14:textId="76D3337B" w:rsidR="00264BF3" w:rsidRDefault="00264BF3" w:rsidP="000C70CE">
      <w:pPr>
        <w:jc w:val="both"/>
        <w:rPr>
          <w:rFonts w:cstheme="minorHAnsi"/>
          <w:b/>
          <w:bCs/>
          <w:color w:val="auto"/>
        </w:rPr>
      </w:pPr>
    </w:p>
    <w:p w14:paraId="7DD8C67A" w14:textId="00432106" w:rsidR="00264BF3" w:rsidRDefault="00264BF3" w:rsidP="000C70CE">
      <w:pPr>
        <w:jc w:val="both"/>
        <w:rPr>
          <w:rFonts w:cstheme="minorHAnsi"/>
          <w:b/>
          <w:bCs/>
          <w:color w:val="auto"/>
        </w:rPr>
      </w:pPr>
    </w:p>
    <w:p w14:paraId="096D24BF" w14:textId="3EAD8ED4" w:rsidR="00BC5DE9" w:rsidRPr="00BC5DE9" w:rsidRDefault="00264BF3" w:rsidP="00B95F80">
      <w:pPr>
        <w:jc w:val="both"/>
        <w:rPr>
          <w:rFonts w:cstheme="minorHAnsi"/>
          <w:b/>
          <w:bCs/>
          <w:color w:val="auto"/>
          <w:sz w:val="24"/>
          <w:szCs w:val="24"/>
        </w:rPr>
      </w:pPr>
      <w:r w:rsidRPr="00264BF3">
        <w:rPr>
          <w:rFonts w:cstheme="minorHAnsi"/>
          <w:b/>
          <w:bCs/>
          <w:color w:val="auto"/>
          <w:sz w:val="24"/>
          <w:szCs w:val="24"/>
        </w:rPr>
        <w:t>Question 2</w:t>
      </w:r>
      <w:r w:rsidR="00B95F80">
        <w:rPr>
          <w:rFonts w:cstheme="minorHAnsi"/>
          <w:b/>
          <w:bCs/>
          <w:color w:val="auto"/>
          <w:sz w:val="24"/>
          <w:szCs w:val="24"/>
        </w:rPr>
        <w:t>9</w:t>
      </w:r>
      <w:r w:rsidRPr="00264BF3">
        <w:rPr>
          <w:rFonts w:cstheme="minorHAnsi"/>
          <w:b/>
          <w:bCs/>
          <w:color w:val="auto"/>
          <w:sz w:val="24"/>
          <w:szCs w:val="24"/>
        </w:rPr>
        <w:t xml:space="preserve">:  </w:t>
      </w:r>
      <w:r w:rsidR="00333934" w:rsidRPr="00333934">
        <w:rPr>
          <w:rFonts w:cstheme="minorHAnsi"/>
          <w:b/>
          <w:bCs/>
          <w:color w:val="auto"/>
          <w:sz w:val="24"/>
          <w:szCs w:val="24"/>
        </w:rPr>
        <w:t xml:space="preserve">Do you agree with our proposal for a banded fee structure based on a flat fee per hectarage, with a maximum fee cap?   </w:t>
      </w:r>
    </w:p>
    <w:p w14:paraId="6777671A" w14:textId="3B276F1B" w:rsidR="00264BF3" w:rsidRPr="00264BF3" w:rsidRDefault="00264BF3" w:rsidP="00264BF3">
      <w:pPr>
        <w:jc w:val="both"/>
        <w:rPr>
          <w:rFonts w:cstheme="minorHAnsi"/>
          <w:b/>
          <w:bCs/>
          <w:color w:val="auto"/>
          <w:sz w:val="24"/>
          <w:szCs w:val="24"/>
        </w:rPr>
      </w:pPr>
    </w:p>
    <w:p w14:paraId="675FD6DB" w14:textId="50FE99B2" w:rsidR="00633EC4" w:rsidRPr="00572BAC" w:rsidRDefault="00633EC4" w:rsidP="00633EC4">
      <w:pPr>
        <w:jc w:val="both"/>
        <w:rPr>
          <w:rFonts w:cstheme="minorHAnsi"/>
          <w:b/>
          <w:bCs/>
          <w:color w:val="auto"/>
        </w:rPr>
      </w:pPr>
      <w:r w:rsidRPr="00572BAC">
        <w:rPr>
          <w:rFonts w:cstheme="minorHAnsi"/>
          <w:b/>
          <w:bCs/>
          <w:color w:val="auto"/>
        </w:rPr>
        <w:t>Response to Question 2</w:t>
      </w:r>
      <w:r w:rsidR="00B95F80">
        <w:rPr>
          <w:rFonts w:cstheme="minorHAnsi"/>
          <w:b/>
          <w:bCs/>
          <w:color w:val="auto"/>
        </w:rPr>
        <w:t>9</w:t>
      </w:r>
      <w:r w:rsidRPr="00572BAC">
        <w:rPr>
          <w:rFonts w:cstheme="minorHAnsi"/>
          <w:b/>
          <w:bCs/>
          <w:color w:val="auto"/>
        </w:rPr>
        <w:t xml:space="preserve">:   </w:t>
      </w:r>
    </w:p>
    <w:p w14:paraId="0EC7901E" w14:textId="77777777" w:rsidR="004F0276" w:rsidRPr="00D47327" w:rsidRDefault="004F0276" w:rsidP="004F0276">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2855AA51" w14:textId="7973ACC1" w:rsidR="00264BF3" w:rsidRDefault="00264BF3" w:rsidP="000C70CE">
      <w:pPr>
        <w:jc w:val="both"/>
        <w:rPr>
          <w:rFonts w:cstheme="minorHAnsi"/>
          <w:b/>
          <w:bCs/>
          <w:color w:val="auto"/>
        </w:rPr>
      </w:pPr>
    </w:p>
    <w:p w14:paraId="4D6E5F04" w14:textId="4AF91ECF" w:rsidR="00DA6681" w:rsidRPr="00DA6681" w:rsidRDefault="00264BF3" w:rsidP="00333934">
      <w:pPr>
        <w:jc w:val="both"/>
        <w:rPr>
          <w:rFonts w:cstheme="minorHAnsi"/>
          <w:b/>
          <w:bCs/>
          <w:color w:val="auto"/>
          <w:sz w:val="24"/>
          <w:szCs w:val="24"/>
        </w:rPr>
      </w:pPr>
      <w:bookmarkStart w:id="24" w:name="_Hlk50226898"/>
      <w:r w:rsidRPr="00264BF3">
        <w:rPr>
          <w:rFonts w:cstheme="minorHAnsi"/>
          <w:b/>
          <w:bCs/>
          <w:color w:val="auto"/>
          <w:sz w:val="24"/>
          <w:szCs w:val="24"/>
        </w:rPr>
        <w:t xml:space="preserve">Question </w:t>
      </w:r>
      <w:r w:rsidR="00333934">
        <w:rPr>
          <w:rFonts w:cstheme="minorHAnsi"/>
          <w:b/>
          <w:bCs/>
          <w:color w:val="auto"/>
          <w:sz w:val="24"/>
          <w:szCs w:val="24"/>
        </w:rPr>
        <w:t>30</w:t>
      </w:r>
      <w:r w:rsidRPr="00264BF3">
        <w:rPr>
          <w:rFonts w:cstheme="minorHAnsi"/>
          <w:b/>
          <w:bCs/>
          <w:color w:val="auto"/>
          <w:sz w:val="24"/>
          <w:szCs w:val="24"/>
        </w:rPr>
        <w:t>:</w:t>
      </w:r>
      <w:bookmarkEnd w:id="24"/>
      <w:r w:rsidRPr="00264BF3">
        <w:rPr>
          <w:rFonts w:cstheme="minorHAnsi"/>
          <w:b/>
          <w:bCs/>
          <w:color w:val="auto"/>
          <w:sz w:val="24"/>
          <w:szCs w:val="24"/>
        </w:rPr>
        <w:t xml:space="preserve">  </w:t>
      </w:r>
      <w:r w:rsidR="00467471" w:rsidRPr="00467471">
        <w:rPr>
          <w:rFonts w:cstheme="minorHAnsi"/>
          <w:b/>
          <w:bCs/>
          <w:color w:val="auto"/>
          <w:sz w:val="24"/>
          <w:szCs w:val="24"/>
        </w:rPr>
        <w:t>What level of flat fee do you consider appropriate, and why?</w:t>
      </w:r>
    </w:p>
    <w:p w14:paraId="6ABB44E2" w14:textId="1E3FFD7D" w:rsidR="00264BF3" w:rsidRPr="00264BF3" w:rsidRDefault="00264BF3" w:rsidP="00264BF3">
      <w:pPr>
        <w:jc w:val="both"/>
        <w:rPr>
          <w:rFonts w:cstheme="minorHAnsi"/>
          <w:b/>
          <w:bCs/>
          <w:color w:val="auto"/>
          <w:sz w:val="24"/>
          <w:szCs w:val="24"/>
        </w:rPr>
      </w:pPr>
    </w:p>
    <w:p w14:paraId="7DD24FE5" w14:textId="3A107CB5" w:rsidR="00633EC4" w:rsidRPr="00572BAC" w:rsidRDefault="00633EC4" w:rsidP="00633EC4">
      <w:pPr>
        <w:jc w:val="both"/>
        <w:rPr>
          <w:rFonts w:cstheme="minorHAnsi"/>
          <w:b/>
          <w:bCs/>
          <w:color w:val="auto"/>
        </w:rPr>
      </w:pPr>
      <w:bookmarkStart w:id="25" w:name="_Hlk50226949"/>
      <w:r w:rsidRPr="00572BAC">
        <w:rPr>
          <w:rFonts w:cstheme="minorHAnsi"/>
          <w:b/>
          <w:bCs/>
          <w:color w:val="auto"/>
        </w:rPr>
        <w:t xml:space="preserve">Response to Question </w:t>
      </w:r>
      <w:r w:rsidR="00333934">
        <w:rPr>
          <w:rFonts w:cstheme="minorHAnsi"/>
          <w:b/>
          <w:bCs/>
          <w:color w:val="auto"/>
        </w:rPr>
        <w:t>30</w:t>
      </w:r>
      <w:r w:rsidRPr="00572BAC">
        <w:rPr>
          <w:rFonts w:cstheme="minorHAnsi"/>
          <w:b/>
          <w:bCs/>
          <w:color w:val="auto"/>
        </w:rPr>
        <w:t xml:space="preserve">:   </w:t>
      </w:r>
    </w:p>
    <w:bookmarkEnd w:id="25"/>
    <w:p w14:paraId="0E55BFB7" w14:textId="77777777" w:rsidR="004F0276" w:rsidRPr="00D47327" w:rsidRDefault="004F0276" w:rsidP="004F0276">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722A4AA9" w14:textId="5B7F1F1E" w:rsidR="00264BF3" w:rsidRDefault="00264BF3" w:rsidP="000C70CE">
      <w:pPr>
        <w:jc w:val="both"/>
        <w:rPr>
          <w:rFonts w:cstheme="minorHAnsi"/>
          <w:b/>
          <w:bCs/>
          <w:color w:val="auto"/>
        </w:rPr>
      </w:pPr>
    </w:p>
    <w:p w14:paraId="4DAD7BF0" w14:textId="772F5FEF" w:rsidR="00EF4C4D" w:rsidRPr="00EF4C4D" w:rsidRDefault="00DA6681" w:rsidP="008D3495">
      <w:pPr>
        <w:jc w:val="both"/>
        <w:rPr>
          <w:rFonts w:cstheme="minorHAnsi"/>
          <w:b/>
          <w:bCs/>
          <w:color w:val="auto"/>
          <w:sz w:val="24"/>
          <w:szCs w:val="24"/>
        </w:rPr>
      </w:pPr>
      <w:r w:rsidRPr="00264BF3">
        <w:rPr>
          <w:rFonts w:cstheme="minorHAnsi"/>
          <w:b/>
          <w:bCs/>
          <w:color w:val="auto"/>
          <w:sz w:val="24"/>
          <w:szCs w:val="24"/>
        </w:rPr>
        <w:t xml:space="preserve">Question </w:t>
      </w:r>
      <w:r w:rsidR="00467471">
        <w:rPr>
          <w:rFonts w:cstheme="minorHAnsi"/>
          <w:b/>
          <w:bCs/>
          <w:color w:val="auto"/>
          <w:sz w:val="24"/>
          <w:szCs w:val="24"/>
        </w:rPr>
        <w:t>31:</w:t>
      </w:r>
      <w:r w:rsidR="00EF4C4D">
        <w:rPr>
          <w:rFonts w:cstheme="minorHAnsi"/>
          <w:b/>
          <w:bCs/>
          <w:color w:val="auto"/>
          <w:sz w:val="24"/>
          <w:szCs w:val="24"/>
        </w:rPr>
        <w:t xml:space="preserve">  </w:t>
      </w:r>
      <w:r w:rsidR="008E4DF6" w:rsidRPr="008E4DF6">
        <w:rPr>
          <w:rFonts w:cstheme="minorHAnsi"/>
          <w:b/>
          <w:bCs/>
          <w:color w:val="auto"/>
          <w:sz w:val="24"/>
          <w:szCs w:val="24"/>
        </w:rPr>
        <w:t>Do you agree that any brownfield site that is granted Permission in Principle through the application process should be included in Part 2 of the Brownfield Land Register? If you disagree, please state why.</w:t>
      </w:r>
    </w:p>
    <w:p w14:paraId="6B7C3CA6" w14:textId="13788281" w:rsidR="00264BF3" w:rsidRDefault="00EF4C4D" w:rsidP="000C70CE">
      <w:pPr>
        <w:jc w:val="both"/>
        <w:rPr>
          <w:rFonts w:cstheme="minorHAnsi"/>
          <w:b/>
          <w:bCs/>
          <w:color w:val="auto"/>
        </w:rPr>
      </w:pPr>
      <w:r>
        <w:rPr>
          <w:rFonts w:cstheme="minorHAnsi"/>
          <w:b/>
          <w:bCs/>
          <w:color w:val="auto"/>
          <w:sz w:val="24"/>
          <w:szCs w:val="24"/>
        </w:rPr>
        <w:t xml:space="preserve"> </w:t>
      </w:r>
    </w:p>
    <w:p w14:paraId="362531AD" w14:textId="068CB976" w:rsidR="00DA6681" w:rsidRPr="00572BAC" w:rsidRDefault="00DA6681" w:rsidP="00DA6681">
      <w:pPr>
        <w:jc w:val="both"/>
        <w:rPr>
          <w:rFonts w:cstheme="minorHAnsi"/>
          <w:b/>
          <w:bCs/>
          <w:color w:val="auto"/>
        </w:rPr>
      </w:pPr>
      <w:r w:rsidRPr="00572BAC">
        <w:rPr>
          <w:rFonts w:cstheme="minorHAnsi"/>
          <w:b/>
          <w:bCs/>
          <w:color w:val="auto"/>
        </w:rPr>
        <w:t xml:space="preserve">Response to Question </w:t>
      </w:r>
      <w:r w:rsidR="00467471">
        <w:rPr>
          <w:rFonts w:cstheme="minorHAnsi"/>
          <w:b/>
          <w:bCs/>
          <w:color w:val="auto"/>
        </w:rPr>
        <w:t>31</w:t>
      </w:r>
      <w:r w:rsidR="008D3495">
        <w:rPr>
          <w:rFonts w:cstheme="minorHAnsi"/>
          <w:b/>
          <w:bCs/>
          <w:color w:val="auto"/>
        </w:rPr>
        <w:t>:</w:t>
      </w:r>
      <w:r w:rsidRPr="00572BAC">
        <w:rPr>
          <w:rFonts w:cstheme="minorHAnsi"/>
          <w:b/>
          <w:bCs/>
          <w:color w:val="auto"/>
        </w:rPr>
        <w:t xml:space="preserve">   </w:t>
      </w:r>
    </w:p>
    <w:p w14:paraId="7D7AC5D5" w14:textId="77777777" w:rsidR="004F0276" w:rsidRPr="00D47327" w:rsidRDefault="004F0276" w:rsidP="004F0276">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1B6B4D25" w14:textId="7E7B5835" w:rsidR="00DA6681" w:rsidRDefault="00DA6681" w:rsidP="000C70CE">
      <w:pPr>
        <w:jc w:val="both"/>
        <w:rPr>
          <w:rFonts w:cstheme="minorHAnsi"/>
          <w:b/>
          <w:bCs/>
          <w:color w:val="auto"/>
        </w:rPr>
      </w:pPr>
    </w:p>
    <w:p w14:paraId="3A73D274" w14:textId="085D847C" w:rsidR="00DA6681" w:rsidRDefault="00DA6681" w:rsidP="000C70CE">
      <w:pPr>
        <w:jc w:val="both"/>
        <w:rPr>
          <w:rFonts w:cstheme="minorHAnsi"/>
          <w:b/>
          <w:bCs/>
          <w:color w:val="auto"/>
        </w:rPr>
      </w:pPr>
    </w:p>
    <w:p w14:paraId="42B430E6" w14:textId="2B6872BB" w:rsidR="00453BE9" w:rsidRPr="00453BE9" w:rsidRDefault="00DA6681" w:rsidP="008E4DF6">
      <w:pPr>
        <w:jc w:val="both"/>
        <w:rPr>
          <w:rFonts w:cstheme="minorHAnsi"/>
          <w:b/>
          <w:bCs/>
          <w:color w:val="auto"/>
          <w:sz w:val="24"/>
          <w:szCs w:val="24"/>
        </w:rPr>
      </w:pPr>
      <w:bookmarkStart w:id="26" w:name="_Hlk50227103"/>
      <w:r w:rsidRPr="00264BF3">
        <w:rPr>
          <w:rFonts w:cstheme="minorHAnsi"/>
          <w:b/>
          <w:bCs/>
          <w:color w:val="auto"/>
          <w:sz w:val="24"/>
          <w:szCs w:val="24"/>
        </w:rPr>
        <w:t xml:space="preserve">Question </w:t>
      </w:r>
      <w:r w:rsidR="008E4DF6">
        <w:rPr>
          <w:rFonts w:cstheme="minorHAnsi"/>
          <w:b/>
          <w:bCs/>
          <w:color w:val="auto"/>
          <w:sz w:val="24"/>
          <w:szCs w:val="24"/>
        </w:rPr>
        <w:t>32</w:t>
      </w:r>
      <w:r w:rsidRPr="00264BF3">
        <w:rPr>
          <w:rFonts w:cstheme="minorHAnsi"/>
          <w:b/>
          <w:bCs/>
          <w:color w:val="auto"/>
          <w:sz w:val="24"/>
          <w:szCs w:val="24"/>
        </w:rPr>
        <w:t>:</w:t>
      </w:r>
      <w:r w:rsidR="00453BE9">
        <w:rPr>
          <w:rFonts w:cstheme="minorHAnsi"/>
          <w:b/>
          <w:bCs/>
          <w:color w:val="auto"/>
          <w:sz w:val="24"/>
          <w:szCs w:val="24"/>
        </w:rPr>
        <w:t xml:space="preserve">  </w:t>
      </w:r>
      <w:bookmarkEnd w:id="26"/>
      <w:r w:rsidR="008E1C0E" w:rsidRPr="008E1C0E">
        <w:rPr>
          <w:rFonts w:cstheme="minorHAnsi"/>
          <w:b/>
          <w:bCs/>
          <w:color w:val="auto"/>
          <w:sz w:val="24"/>
          <w:szCs w:val="24"/>
        </w:rPr>
        <w:t>What guidance would help support applicants and local planning authorities to make decisions about Permission in Principle? Where possible, please set out any areas of guidance you consider are currently lacking and would assist stakeholders.</w:t>
      </w:r>
    </w:p>
    <w:p w14:paraId="500C1177" w14:textId="15C4B6AF" w:rsidR="00DA6681" w:rsidRDefault="00453BE9" w:rsidP="00DA6681">
      <w:pPr>
        <w:jc w:val="both"/>
        <w:rPr>
          <w:rFonts w:cstheme="minorHAnsi"/>
          <w:b/>
          <w:bCs/>
          <w:color w:val="auto"/>
        </w:rPr>
      </w:pPr>
      <w:r>
        <w:rPr>
          <w:rFonts w:cstheme="minorHAnsi"/>
          <w:b/>
          <w:bCs/>
          <w:color w:val="auto"/>
          <w:sz w:val="24"/>
          <w:szCs w:val="24"/>
        </w:rPr>
        <w:t xml:space="preserve"> </w:t>
      </w:r>
    </w:p>
    <w:p w14:paraId="4EE5D77D" w14:textId="2CFB50BA" w:rsidR="00DA6681" w:rsidRPr="00572BAC" w:rsidRDefault="00DA6681" w:rsidP="00DA6681">
      <w:pPr>
        <w:jc w:val="both"/>
        <w:rPr>
          <w:rFonts w:cstheme="minorHAnsi"/>
          <w:b/>
          <w:bCs/>
          <w:color w:val="auto"/>
        </w:rPr>
      </w:pPr>
      <w:bookmarkStart w:id="27" w:name="_Hlk50227118"/>
      <w:r w:rsidRPr="00572BAC">
        <w:rPr>
          <w:rFonts w:cstheme="minorHAnsi"/>
          <w:b/>
          <w:bCs/>
          <w:color w:val="auto"/>
        </w:rPr>
        <w:t xml:space="preserve">Response to Question </w:t>
      </w:r>
      <w:r w:rsidR="008E4DF6">
        <w:rPr>
          <w:rFonts w:cstheme="minorHAnsi"/>
          <w:b/>
          <w:bCs/>
          <w:color w:val="auto"/>
        </w:rPr>
        <w:t>32</w:t>
      </w:r>
      <w:r w:rsidRPr="00572BAC">
        <w:rPr>
          <w:rFonts w:cstheme="minorHAnsi"/>
          <w:b/>
          <w:bCs/>
          <w:color w:val="auto"/>
        </w:rPr>
        <w:t xml:space="preserve">:   </w:t>
      </w:r>
    </w:p>
    <w:bookmarkEnd w:id="27"/>
    <w:p w14:paraId="38D87605" w14:textId="77777777" w:rsidR="003146EB" w:rsidRPr="00D47327" w:rsidRDefault="003146EB" w:rsidP="003146EB">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745E7166" w14:textId="78C18243" w:rsidR="00DA6681" w:rsidRDefault="00DA6681" w:rsidP="000C70CE">
      <w:pPr>
        <w:jc w:val="both"/>
        <w:rPr>
          <w:rFonts w:cstheme="minorHAnsi"/>
          <w:b/>
          <w:bCs/>
          <w:color w:val="auto"/>
        </w:rPr>
      </w:pPr>
    </w:p>
    <w:p w14:paraId="3897309D" w14:textId="1B30C916" w:rsidR="00DA6681" w:rsidRDefault="00DA6681" w:rsidP="000C70CE">
      <w:pPr>
        <w:jc w:val="both"/>
        <w:rPr>
          <w:rFonts w:cstheme="minorHAnsi"/>
          <w:b/>
          <w:bCs/>
          <w:color w:val="auto"/>
        </w:rPr>
      </w:pPr>
    </w:p>
    <w:p w14:paraId="399F007F" w14:textId="588758B2" w:rsidR="00DA6681" w:rsidRDefault="00453BE9" w:rsidP="000C70CE">
      <w:pPr>
        <w:jc w:val="both"/>
        <w:rPr>
          <w:rFonts w:cstheme="minorHAnsi"/>
          <w:b/>
          <w:bCs/>
          <w:color w:val="auto"/>
          <w:sz w:val="24"/>
          <w:szCs w:val="24"/>
        </w:rPr>
      </w:pPr>
      <w:bookmarkStart w:id="28" w:name="_Hlk50284737"/>
      <w:r w:rsidRPr="00264BF3">
        <w:rPr>
          <w:rFonts w:cstheme="minorHAnsi"/>
          <w:b/>
          <w:bCs/>
          <w:color w:val="auto"/>
          <w:sz w:val="24"/>
          <w:szCs w:val="24"/>
        </w:rPr>
        <w:t xml:space="preserve">Question </w:t>
      </w:r>
      <w:r w:rsidR="008E1C0E">
        <w:rPr>
          <w:rFonts w:cstheme="minorHAnsi"/>
          <w:b/>
          <w:bCs/>
          <w:color w:val="auto"/>
          <w:sz w:val="24"/>
          <w:szCs w:val="24"/>
        </w:rPr>
        <w:t>33</w:t>
      </w:r>
      <w:r w:rsidR="00D61489">
        <w:rPr>
          <w:rFonts w:cstheme="minorHAnsi"/>
          <w:b/>
          <w:bCs/>
          <w:color w:val="auto"/>
          <w:sz w:val="24"/>
          <w:szCs w:val="24"/>
        </w:rPr>
        <w:t>:</w:t>
      </w:r>
      <w:r>
        <w:rPr>
          <w:rFonts w:cstheme="minorHAnsi"/>
          <w:b/>
          <w:bCs/>
          <w:color w:val="auto"/>
          <w:sz w:val="24"/>
          <w:szCs w:val="24"/>
        </w:rPr>
        <w:t xml:space="preserve"> </w:t>
      </w:r>
      <w:bookmarkEnd w:id="28"/>
      <w:r>
        <w:rPr>
          <w:rFonts w:cstheme="minorHAnsi"/>
          <w:b/>
          <w:bCs/>
          <w:color w:val="auto"/>
          <w:sz w:val="24"/>
          <w:szCs w:val="24"/>
        </w:rPr>
        <w:t xml:space="preserve"> </w:t>
      </w:r>
      <w:r w:rsidR="00E23582" w:rsidRPr="00E23582">
        <w:rPr>
          <w:rFonts w:cstheme="minorHAnsi"/>
          <w:b/>
          <w:bCs/>
          <w:color w:val="auto"/>
          <w:sz w:val="24"/>
          <w:szCs w:val="24"/>
        </w:rPr>
        <w:t xml:space="preserve">What costs and benefits do you envisage the proposed scheme would cause?  Where you have identified drawbacks, how might these be overcome?   </w:t>
      </w:r>
    </w:p>
    <w:p w14:paraId="46E2C69B" w14:textId="04E9F869" w:rsidR="00D61489" w:rsidRDefault="00D61489" w:rsidP="000C70CE">
      <w:pPr>
        <w:jc w:val="both"/>
        <w:rPr>
          <w:rFonts w:cstheme="minorHAnsi"/>
          <w:b/>
          <w:bCs/>
          <w:color w:val="auto"/>
          <w:sz w:val="24"/>
          <w:szCs w:val="24"/>
        </w:rPr>
      </w:pPr>
    </w:p>
    <w:p w14:paraId="488A74B5" w14:textId="51BFA567" w:rsidR="00453BE9" w:rsidRPr="00572BAC" w:rsidRDefault="00453BE9" w:rsidP="00453BE9">
      <w:pPr>
        <w:jc w:val="both"/>
        <w:rPr>
          <w:rFonts w:cstheme="minorHAnsi"/>
          <w:b/>
          <w:bCs/>
          <w:color w:val="auto"/>
        </w:rPr>
      </w:pPr>
      <w:bookmarkStart w:id="29" w:name="_Hlk50284842"/>
      <w:r w:rsidRPr="00572BAC">
        <w:rPr>
          <w:rFonts w:cstheme="minorHAnsi"/>
          <w:b/>
          <w:bCs/>
          <w:color w:val="auto"/>
        </w:rPr>
        <w:t xml:space="preserve">Response to Question </w:t>
      </w:r>
      <w:r w:rsidR="00E23582">
        <w:rPr>
          <w:rFonts w:cstheme="minorHAnsi"/>
          <w:b/>
          <w:bCs/>
          <w:color w:val="auto"/>
        </w:rPr>
        <w:t>33</w:t>
      </w:r>
      <w:r w:rsidRPr="00572BAC">
        <w:rPr>
          <w:rFonts w:cstheme="minorHAnsi"/>
          <w:b/>
          <w:bCs/>
          <w:color w:val="auto"/>
        </w:rPr>
        <w:t xml:space="preserve">:   </w:t>
      </w:r>
    </w:p>
    <w:bookmarkEnd w:id="29"/>
    <w:p w14:paraId="4332A118" w14:textId="77777777" w:rsidR="00351FAD" w:rsidRPr="00D47327" w:rsidRDefault="00351FAD" w:rsidP="00351FAD">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614E4C38" w14:textId="13CEFA08" w:rsidR="00DA6681" w:rsidRDefault="00DA6681" w:rsidP="000C70CE">
      <w:pPr>
        <w:jc w:val="both"/>
        <w:rPr>
          <w:rFonts w:cstheme="minorHAnsi"/>
          <w:b/>
          <w:bCs/>
          <w:color w:val="auto"/>
        </w:rPr>
      </w:pPr>
    </w:p>
    <w:p w14:paraId="065AB7C9" w14:textId="61495A4E" w:rsidR="00DA6681" w:rsidRDefault="00DA6681" w:rsidP="000C70CE">
      <w:pPr>
        <w:jc w:val="both"/>
        <w:rPr>
          <w:rFonts w:cstheme="minorHAnsi"/>
          <w:b/>
          <w:bCs/>
          <w:color w:val="auto"/>
        </w:rPr>
      </w:pPr>
    </w:p>
    <w:p w14:paraId="561A5CB1" w14:textId="066D6E48" w:rsidR="00DA6681" w:rsidRDefault="00E23582" w:rsidP="000C70CE">
      <w:pPr>
        <w:jc w:val="both"/>
        <w:rPr>
          <w:rFonts w:cstheme="minorHAnsi"/>
          <w:b/>
          <w:bCs/>
          <w:color w:val="auto"/>
          <w:sz w:val="24"/>
          <w:szCs w:val="24"/>
        </w:rPr>
      </w:pPr>
      <w:r w:rsidRPr="00264BF3">
        <w:rPr>
          <w:rFonts w:cstheme="minorHAnsi"/>
          <w:b/>
          <w:bCs/>
          <w:color w:val="auto"/>
          <w:sz w:val="24"/>
          <w:szCs w:val="24"/>
        </w:rPr>
        <w:t xml:space="preserve">Question </w:t>
      </w:r>
      <w:r>
        <w:rPr>
          <w:rFonts w:cstheme="minorHAnsi"/>
          <w:b/>
          <w:bCs/>
          <w:color w:val="auto"/>
          <w:sz w:val="24"/>
          <w:szCs w:val="24"/>
        </w:rPr>
        <w:t>3</w:t>
      </w:r>
      <w:r w:rsidR="000A52E8">
        <w:rPr>
          <w:rFonts w:cstheme="minorHAnsi"/>
          <w:b/>
          <w:bCs/>
          <w:color w:val="auto"/>
          <w:sz w:val="24"/>
          <w:szCs w:val="24"/>
        </w:rPr>
        <w:t>4</w:t>
      </w:r>
      <w:r>
        <w:rPr>
          <w:rFonts w:cstheme="minorHAnsi"/>
          <w:b/>
          <w:bCs/>
          <w:color w:val="auto"/>
          <w:sz w:val="24"/>
          <w:szCs w:val="24"/>
        </w:rPr>
        <w:t>:</w:t>
      </w:r>
      <w:r w:rsidR="00621F5D">
        <w:rPr>
          <w:rFonts w:cstheme="minorHAnsi"/>
          <w:b/>
          <w:bCs/>
          <w:color w:val="auto"/>
          <w:sz w:val="24"/>
          <w:szCs w:val="24"/>
        </w:rPr>
        <w:t xml:space="preserve">  </w:t>
      </w:r>
      <w:r w:rsidR="00621F5D" w:rsidRPr="00621F5D">
        <w:rPr>
          <w:rFonts w:cstheme="minorHAnsi"/>
          <w:b/>
          <w:bCs/>
          <w:color w:val="auto"/>
          <w:sz w:val="24"/>
          <w:szCs w:val="24"/>
        </w:rPr>
        <w:t xml:space="preserve">To what extent do you consider landowners and developers are likely to use the proposed measure?  Please provide evidence where possible.   </w:t>
      </w:r>
    </w:p>
    <w:p w14:paraId="2F2C6A7E" w14:textId="55FE2F4D" w:rsidR="00F47DB6" w:rsidRDefault="00F47DB6" w:rsidP="000C70CE">
      <w:pPr>
        <w:jc w:val="both"/>
        <w:rPr>
          <w:rFonts w:cstheme="minorHAnsi"/>
          <w:b/>
          <w:bCs/>
          <w:color w:val="auto"/>
          <w:sz w:val="24"/>
          <w:szCs w:val="24"/>
        </w:rPr>
      </w:pPr>
    </w:p>
    <w:p w14:paraId="3293AB7A" w14:textId="627F6303" w:rsidR="00F47DB6" w:rsidRPr="00572BAC" w:rsidRDefault="00F47DB6" w:rsidP="00F47DB6">
      <w:pPr>
        <w:jc w:val="both"/>
        <w:rPr>
          <w:rFonts w:cstheme="minorHAnsi"/>
          <w:b/>
          <w:bCs/>
          <w:color w:val="auto"/>
        </w:rPr>
      </w:pPr>
      <w:bookmarkStart w:id="30" w:name="_Hlk50284905"/>
      <w:r w:rsidRPr="00572BAC">
        <w:rPr>
          <w:rFonts w:cstheme="minorHAnsi"/>
          <w:b/>
          <w:bCs/>
          <w:color w:val="auto"/>
        </w:rPr>
        <w:t xml:space="preserve">Response to Question </w:t>
      </w:r>
      <w:r>
        <w:rPr>
          <w:rFonts w:cstheme="minorHAnsi"/>
          <w:b/>
          <w:bCs/>
          <w:color w:val="auto"/>
        </w:rPr>
        <w:t>34</w:t>
      </w:r>
      <w:r w:rsidRPr="00572BAC">
        <w:rPr>
          <w:rFonts w:cstheme="minorHAnsi"/>
          <w:b/>
          <w:bCs/>
          <w:color w:val="auto"/>
        </w:rPr>
        <w:t xml:space="preserve">:   </w:t>
      </w:r>
    </w:p>
    <w:bookmarkEnd w:id="30"/>
    <w:p w14:paraId="085AE4B2" w14:textId="77777777" w:rsidR="00351FAD" w:rsidRPr="00D47327" w:rsidRDefault="00351FAD" w:rsidP="00351FAD">
      <w:pPr>
        <w:jc w:val="both"/>
        <w:rPr>
          <w:rFonts w:cstheme="minorHAnsi"/>
          <w:color w:val="auto"/>
        </w:rPr>
      </w:pPr>
      <w:r w:rsidRPr="00D47327">
        <w:rPr>
          <w:rFonts w:cstheme="minorHAnsi"/>
          <w:color w:val="auto"/>
        </w:rPr>
        <w:t xml:space="preserve">Our comments on the new Permission in Principle are summarised in our response to question 24. </w:t>
      </w:r>
    </w:p>
    <w:p w14:paraId="52BE40F0" w14:textId="67CE1765" w:rsidR="00F47DB6" w:rsidRDefault="00F47DB6" w:rsidP="000C70CE">
      <w:pPr>
        <w:jc w:val="both"/>
        <w:rPr>
          <w:rFonts w:cstheme="minorHAnsi"/>
          <w:b/>
          <w:bCs/>
          <w:color w:val="auto"/>
          <w:sz w:val="24"/>
          <w:szCs w:val="24"/>
        </w:rPr>
      </w:pPr>
    </w:p>
    <w:p w14:paraId="54EE7EB2" w14:textId="77777777" w:rsidR="008778FB" w:rsidRPr="008778FB" w:rsidRDefault="00E23582" w:rsidP="008778FB">
      <w:pPr>
        <w:jc w:val="both"/>
        <w:rPr>
          <w:rFonts w:cstheme="minorHAnsi"/>
          <w:b/>
          <w:bCs/>
          <w:color w:val="auto"/>
          <w:sz w:val="24"/>
          <w:szCs w:val="24"/>
        </w:rPr>
      </w:pPr>
      <w:r w:rsidRPr="00264BF3">
        <w:rPr>
          <w:rFonts w:cstheme="minorHAnsi"/>
          <w:b/>
          <w:bCs/>
          <w:color w:val="auto"/>
          <w:sz w:val="24"/>
          <w:szCs w:val="24"/>
        </w:rPr>
        <w:t xml:space="preserve">Question </w:t>
      </w:r>
      <w:r>
        <w:rPr>
          <w:rFonts w:cstheme="minorHAnsi"/>
          <w:b/>
          <w:bCs/>
          <w:color w:val="auto"/>
          <w:sz w:val="24"/>
          <w:szCs w:val="24"/>
        </w:rPr>
        <w:t>3</w:t>
      </w:r>
      <w:r w:rsidR="000A52E8">
        <w:rPr>
          <w:rFonts w:cstheme="minorHAnsi"/>
          <w:b/>
          <w:bCs/>
          <w:color w:val="auto"/>
          <w:sz w:val="24"/>
          <w:szCs w:val="24"/>
        </w:rPr>
        <w:t>5</w:t>
      </w:r>
      <w:r>
        <w:rPr>
          <w:rFonts w:cstheme="minorHAnsi"/>
          <w:b/>
          <w:bCs/>
          <w:color w:val="auto"/>
          <w:sz w:val="24"/>
          <w:szCs w:val="24"/>
        </w:rPr>
        <w:t>:</w:t>
      </w:r>
      <w:r w:rsidR="008778FB">
        <w:rPr>
          <w:rFonts w:cstheme="minorHAnsi"/>
          <w:b/>
          <w:bCs/>
          <w:color w:val="auto"/>
          <w:sz w:val="24"/>
          <w:szCs w:val="24"/>
        </w:rPr>
        <w:t xml:space="preserve">  </w:t>
      </w:r>
      <w:r w:rsidR="008778FB" w:rsidRPr="008778FB">
        <w:rPr>
          <w:rFonts w:cstheme="minorHAnsi"/>
          <w:b/>
          <w:bCs/>
          <w:color w:val="auto"/>
          <w:sz w:val="24"/>
          <w:szCs w:val="24"/>
        </w:rPr>
        <w:t xml:space="preserve">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  </w:t>
      </w:r>
    </w:p>
    <w:p w14:paraId="5C7F52F2" w14:textId="77777777" w:rsidR="008778FB" w:rsidRPr="008778FB" w:rsidRDefault="008778FB" w:rsidP="008778FB">
      <w:pPr>
        <w:jc w:val="both"/>
        <w:rPr>
          <w:rFonts w:cstheme="minorHAnsi"/>
          <w:b/>
          <w:bCs/>
          <w:color w:val="auto"/>
          <w:sz w:val="24"/>
          <w:szCs w:val="24"/>
        </w:rPr>
      </w:pPr>
      <w:r w:rsidRPr="008778FB">
        <w:rPr>
          <w:rFonts w:cstheme="minorHAnsi"/>
          <w:b/>
          <w:bCs/>
          <w:color w:val="auto"/>
          <w:sz w:val="24"/>
          <w:szCs w:val="24"/>
        </w:rPr>
        <w:t xml:space="preserve"> </w:t>
      </w:r>
    </w:p>
    <w:p w14:paraId="1B9DF76A" w14:textId="77777777" w:rsidR="008778FB" w:rsidRPr="008778FB" w:rsidRDefault="008778FB" w:rsidP="008778FB">
      <w:pPr>
        <w:jc w:val="both"/>
        <w:rPr>
          <w:rFonts w:cstheme="minorHAnsi"/>
          <w:b/>
          <w:bCs/>
          <w:color w:val="auto"/>
          <w:sz w:val="24"/>
          <w:szCs w:val="24"/>
        </w:rPr>
      </w:pPr>
      <w:r w:rsidRPr="008778FB">
        <w:rPr>
          <w:rFonts w:cstheme="minorHAnsi"/>
          <w:b/>
          <w:bCs/>
          <w:color w:val="auto"/>
          <w:sz w:val="24"/>
          <w:szCs w:val="24"/>
        </w:rPr>
        <w:t xml:space="preserve">If so, please specify the proposal and explain the impact. If there is an impact – are there any actions which the department could take to mitigate that impact? </w:t>
      </w:r>
    </w:p>
    <w:p w14:paraId="16296DC2" w14:textId="77777777" w:rsidR="008778FB" w:rsidRPr="008778FB" w:rsidRDefault="008778FB" w:rsidP="008778FB">
      <w:pPr>
        <w:jc w:val="both"/>
        <w:rPr>
          <w:rFonts w:cstheme="minorHAnsi"/>
          <w:b/>
          <w:bCs/>
          <w:color w:val="auto"/>
          <w:sz w:val="24"/>
          <w:szCs w:val="24"/>
        </w:rPr>
      </w:pPr>
      <w:r w:rsidRPr="008778FB">
        <w:rPr>
          <w:rFonts w:cstheme="minorHAnsi"/>
          <w:b/>
          <w:bCs/>
          <w:color w:val="auto"/>
          <w:sz w:val="24"/>
          <w:szCs w:val="24"/>
        </w:rPr>
        <w:t xml:space="preserve"> </w:t>
      </w:r>
    </w:p>
    <w:p w14:paraId="3047812B" w14:textId="3DFD7B8D" w:rsidR="008778FB" w:rsidRPr="00572BAC" w:rsidRDefault="008778FB" w:rsidP="008778FB">
      <w:pPr>
        <w:jc w:val="both"/>
        <w:rPr>
          <w:rFonts w:cstheme="minorHAnsi"/>
          <w:b/>
          <w:bCs/>
          <w:color w:val="auto"/>
        </w:rPr>
      </w:pPr>
      <w:r w:rsidRPr="00572BAC">
        <w:rPr>
          <w:rFonts w:cstheme="minorHAnsi"/>
          <w:b/>
          <w:bCs/>
          <w:color w:val="auto"/>
        </w:rPr>
        <w:t xml:space="preserve">Response to Question </w:t>
      </w:r>
      <w:r>
        <w:rPr>
          <w:rFonts w:cstheme="minorHAnsi"/>
          <w:b/>
          <w:bCs/>
          <w:color w:val="auto"/>
        </w:rPr>
        <w:t>35</w:t>
      </w:r>
      <w:r w:rsidRPr="00572BAC">
        <w:rPr>
          <w:rFonts w:cstheme="minorHAnsi"/>
          <w:b/>
          <w:bCs/>
          <w:color w:val="auto"/>
        </w:rPr>
        <w:t xml:space="preserve">:   </w:t>
      </w:r>
    </w:p>
    <w:p w14:paraId="3ACC0CC5" w14:textId="1D4240FA" w:rsidR="00A62795" w:rsidRPr="0089239E" w:rsidRDefault="0089239E" w:rsidP="000C70CE">
      <w:pPr>
        <w:jc w:val="both"/>
        <w:rPr>
          <w:rFonts w:cstheme="minorHAnsi"/>
          <w:color w:val="auto"/>
        </w:rPr>
      </w:pPr>
      <w:r w:rsidRPr="0089239E">
        <w:rPr>
          <w:rFonts w:cstheme="minorHAnsi"/>
          <w:color w:val="auto"/>
        </w:rPr>
        <w:t xml:space="preserve">We are </w:t>
      </w:r>
      <w:r>
        <w:rPr>
          <w:rFonts w:cstheme="minorHAnsi"/>
          <w:color w:val="auto"/>
        </w:rPr>
        <w:t xml:space="preserve">concerned </w:t>
      </w:r>
      <w:r w:rsidR="0050562B">
        <w:rPr>
          <w:rFonts w:cstheme="minorHAnsi"/>
          <w:color w:val="auto"/>
        </w:rPr>
        <w:t xml:space="preserve">that </w:t>
      </w:r>
      <w:r w:rsidR="009C7ED7">
        <w:rPr>
          <w:rFonts w:cstheme="minorHAnsi"/>
          <w:color w:val="auto"/>
        </w:rPr>
        <w:t xml:space="preserve">proposals </w:t>
      </w:r>
      <w:r w:rsidR="00013CCD">
        <w:rPr>
          <w:rFonts w:cstheme="minorHAnsi"/>
          <w:color w:val="auto"/>
        </w:rPr>
        <w:t xml:space="preserve">in this consultation will significantly reduce </w:t>
      </w:r>
      <w:r w:rsidR="009C7ED7">
        <w:rPr>
          <w:rFonts w:cstheme="minorHAnsi"/>
          <w:color w:val="auto"/>
        </w:rPr>
        <w:t xml:space="preserve">the delivery of affordable housing, </w:t>
      </w:r>
      <w:proofErr w:type="gramStart"/>
      <w:r w:rsidR="009C7ED7">
        <w:rPr>
          <w:rFonts w:cstheme="minorHAnsi"/>
          <w:color w:val="auto"/>
        </w:rPr>
        <w:t>in particular sub-</w:t>
      </w:r>
      <w:proofErr w:type="gramEnd"/>
      <w:r w:rsidR="009C7ED7">
        <w:rPr>
          <w:rFonts w:cstheme="minorHAnsi"/>
          <w:color w:val="auto"/>
        </w:rPr>
        <w:t>market rented housing</w:t>
      </w:r>
      <w:r w:rsidR="00800BEB">
        <w:rPr>
          <w:rFonts w:cstheme="minorHAnsi"/>
          <w:color w:val="auto"/>
        </w:rPr>
        <w:t xml:space="preserve">, </w:t>
      </w:r>
      <w:r w:rsidR="00013CCD">
        <w:rPr>
          <w:rFonts w:cstheme="minorHAnsi"/>
          <w:color w:val="auto"/>
        </w:rPr>
        <w:t xml:space="preserve">with </w:t>
      </w:r>
      <w:r w:rsidR="0017304C">
        <w:rPr>
          <w:rFonts w:cstheme="minorHAnsi"/>
          <w:color w:val="auto"/>
        </w:rPr>
        <w:t xml:space="preserve">a negative </w:t>
      </w:r>
      <w:r w:rsidR="00800BEB">
        <w:rPr>
          <w:rFonts w:cstheme="minorHAnsi"/>
          <w:color w:val="auto"/>
        </w:rPr>
        <w:t>impact on the disadva</w:t>
      </w:r>
      <w:r w:rsidR="00A613BF">
        <w:rPr>
          <w:rFonts w:cstheme="minorHAnsi"/>
          <w:color w:val="auto"/>
        </w:rPr>
        <w:t xml:space="preserve">ntaged groups who disproportionately require such accommodation.  </w:t>
      </w:r>
      <w:r w:rsidR="00ED1102">
        <w:rPr>
          <w:rFonts w:cstheme="minorHAnsi"/>
          <w:color w:val="auto"/>
        </w:rPr>
        <w:t xml:space="preserve">The over-representation of </w:t>
      </w:r>
      <w:r w:rsidR="00021B9C">
        <w:rPr>
          <w:rFonts w:cstheme="minorHAnsi"/>
          <w:color w:val="auto"/>
        </w:rPr>
        <w:t xml:space="preserve">disadvantaged groups amongst homeless </w:t>
      </w:r>
      <w:r w:rsidR="0022377C">
        <w:rPr>
          <w:rFonts w:cstheme="minorHAnsi"/>
          <w:color w:val="auto"/>
        </w:rPr>
        <w:t xml:space="preserve">people </w:t>
      </w:r>
      <w:r w:rsidR="00021B9C">
        <w:rPr>
          <w:rFonts w:cstheme="minorHAnsi"/>
          <w:color w:val="auto"/>
        </w:rPr>
        <w:t xml:space="preserve">and </w:t>
      </w:r>
      <w:r w:rsidR="00B6421A">
        <w:rPr>
          <w:rFonts w:cstheme="minorHAnsi"/>
          <w:color w:val="auto"/>
        </w:rPr>
        <w:t xml:space="preserve">other </w:t>
      </w:r>
      <w:r w:rsidR="00021B9C">
        <w:rPr>
          <w:rFonts w:cstheme="minorHAnsi"/>
          <w:color w:val="auto"/>
        </w:rPr>
        <w:t xml:space="preserve">lower income </w:t>
      </w:r>
      <w:r w:rsidR="0022377C">
        <w:rPr>
          <w:rFonts w:cstheme="minorHAnsi"/>
          <w:color w:val="auto"/>
        </w:rPr>
        <w:t>households is well established</w:t>
      </w:r>
      <w:r w:rsidR="00DF29FD">
        <w:rPr>
          <w:rFonts w:cstheme="minorHAnsi"/>
          <w:color w:val="auto"/>
        </w:rPr>
        <w:t xml:space="preserve">.  </w:t>
      </w:r>
      <w:r w:rsidR="009C7846">
        <w:rPr>
          <w:rFonts w:cstheme="minorHAnsi"/>
          <w:color w:val="auto"/>
        </w:rPr>
        <w:t>Therefore</w:t>
      </w:r>
      <w:r w:rsidR="00F019D5">
        <w:rPr>
          <w:rFonts w:cstheme="minorHAnsi"/>
          <w:color w:val="auto"/>
        </w:rPr>
        <w:t xml:space="preserve">, an </w:t>
      </w:r>
      <w:r w:rsidR="00B161ED">
        <w:rPr>
          <w:rFonts w:cstheme="minorHAnsi"/>
          <w:color w:val="auto"/>
        </w:rPr>
        <w:t xml:space="preserve">Equalities Impact Assessment which compares </w:t>
      </w:r>
      <w:r w:rsidR="002973DA">
        <w:rPr>
          <w:rFonts w:cstheme="minorHAnsi"/>
          <w:color w:val="auto"/>
        </w:rPr>
        <w:t xml:space="preserve">the </w:t>
      </w:r>
      <w:r w:rsidR="00961C28">
        <w:rPr>
          <w:rFonts w:cstheme="minorHAnsi"/>
          <w:color w:val="auto"/>
        </w:rPr>
        <w:t xml:space="preserve">impact of </w:t>
      </w:r>
      <w:r w:rsidR="00025191">
        <w:rPr>
          <w:rFonts w:cstheme="minorHAnsi"/>
          <w:color w:val="auto"/>
        </w:rPr>
        <w:t>the government</w:t>
      </w:r>
      <w:r w:rsidR="004F03EF">
        <w:rPr>
          <w:rFonts w:cstheme="minorHAnsi"/>
          <w:color w:val="auto"/>
        </w:rPr>
        <w:t xml:space="preserve">’s </w:t>
      </w:r>
      <w:r w:rsidR="002973DA">
        <w:rPr>
          <w:rFonts w:cstheme="minorHAnsi"/>
          <w:color w:val="auto"/>
        </w:rPr>
        <w:t xml:space="preserve">‘First Homes’ and </w:t>
      </w:r>
      <w:r w:rsidR="00961C28">
        <w:rPr>
          <w:rFonts w:cstheme="minorHAnsi"/>
          <w:color w:val="auto"/>
        </w:rPr>
        <w:t>small sites threshold p</w:t>
      </w:r>
      <w:r w:rsidR="00AF6327">
        <w:rPr>
          <w:rFonts w:cstheme="minorHAnsi"/>
          <w:color w:val="auto"/>
        </w:rPr>
        <w:t>r</w:t>
      </w:r>
      <w:r w:rsidR="009B363A">
        <w:rPr>
          <w:rFonts w:cstheme="minorHAnsi"/>
          <w:color w:val="auto"/>
        </w:rPr>
        <w:t xml:space="preserve">oposals </w:t>
      </w:r>
      <w:r w:rsidR="00E11F1E">
        <w:rPr>
          <w:rFonts w:cstheme="minorHAnsi"/>
          <w:color w:val="auto"/>
        </w:rPr>
        <w:t xml:space="preserve">with </w:t>
      </w:r>
      <w:r w:rsidR="004F03EF">
        <w:rPr>
          <w:rFonts w:cstheme="minorHAnsi"/>
          <w:color w:val="auto"/>
        </w:rPr>
        <w:t xml:space="preserve">a </w:t>
      </w:r>
      <w:r w:rsidR="009B363A">
        <w:rPr>
          <w:rFonts w:cstheme="minorHAnsi"/>
          <w:color w:val="auto"/>
        </w:rPr>
        <w:t>‘</w:t>
      </w:r>
      <w:r w:rsidR="00EB2D6B">
        <w:rPr>
          <w:rFonts w:cstheme="minorHAnsi"/>
          <w:color w:val="auto"/>
        </w:rPr>
        <w:t>no change</w:t>
      </w:r>
      <w:r w:rsidR="009B363A">
        <w:rPr>
          <w:rFonts w:cstheme="minorHAnsi"/>
          <w:color w:val="auto"/>
        </w:rPr>
        <w:t>’ option</w:t>
      </w:r>
      <w:r w:rsidR="00E65C5D">
        <w:rPr>
          <w:rFonts w:cstheme="minorHAnsi"/>
          <w:color w:val="auto"/>
        </w:rPr>
        <w:t xml:space="preserve"> would be appropriate</w:t>
      </w:r>
      <w:r w:rsidR="00EB2D6B">
        <w:rPr>
          <w:rFonts w:cstheme="minorHAnsi"/>
          <w:color w:val="auto"/>
        </w:rPr>
        <w:t xml:space="preserve">.  We </w:t>
      </w:r>
      <w:r w:rsidR="006C5DF2">
        <w:rPr>
          <w:rFonts w:cstheme="minorHAnsi"/>
          <w:color w:val="auto"/>
        </w:rPr>
        <w:t xml:space="preserve">suggest </w:t>
      </w:r>
      <w:r w:rsidR="00EB2D6B">
        <w:rPr>
          <w:rFonts w:cstheme="minorHAnsi"/>
          <w:color w:val="auto"/>
        </w:rPr>
        <w:t xml:space="preserve">that BAME households, people with </w:t>
      </w:r>
      <w:r w:rsidR="0075658C">
        <w:rPr>
          <w:rFonts w:cstheme="minorHAnsi"/>
          <w:color w:val="auto"/>
        </w:rPr>
        <w:t>disabilities and</w:t>
      </w:r>
      <w:r w:rsidR="0026118C">
        <w:rPr>
          <w:rFonts w:cstheme="minorHAnsi"/>
          <w:color w:val="auto"/>
        </w:rPr>
        <w:t xml:space="preserve"> other groups </w:t>
      </w:r>
      <w:r w:rsidR="006C5DF2">
        <w:rPr>
          <w:rFonts w:cstheme="minorHAnsi"/>
          <w:color w:val="auto"/>
        </w:rPr>
        <w:t>are likely to b</w:t>
      </w:r>
      <w:r w:rsidR="0026118C">
        <w:rPr>
          <w:rFonts w:cstheme="minorHAnsi"/>
          <w:color w:val="auto"/>
        </w:rPr>
        <w:t xml:space="preserve">e significantly </w:t>
      </w:r>
      <w:r w:rsidR="006C5DF2">
        <w:rPr>
          <w:rFonts w:cstheme="minorHAnsi"/>
          <w:color w:val="auto"/>
        </w:rPr>
        <w:t>disadvantaged</w:t>
      </w:r>
      <w:r w:rsidR="00306DAA">
        <w:rPr>
          <w:rFonts w:cstheme="minorHAnsi"/>
          <w:color w:val="auto"/>
        </w:rPr>
        <w:t xml:space="preserve"> by these proposals</w:t>
      </w:r>
      <w:r w:rsidR="006C5DF2">
        <w:rPr>
          <w:rFonts w:cstheme="minorHAnsi"/>
          <w:color w:val="auto"/>
        </w:rPr>
        <w:t xml:space="preserve">.  </w:t>
      </w:r>
      <w:r w:rsidR="0026118C">
        <w:rPr>
          <w:rFonts w:cstheme="minorHAnsi"/>
          <w:color w:val="auto"/>
        </w:rPr>
        <w:t xml:space="preserve"> </w:t>
      </w:r>
    </w:p>
    <w:p w14:paraId="43D233E7" w14:textId="721DFA2F" w:rsidR="00E23582" w:rsidRDefault="00E23582" w:rsidP="000C70CE">
      <w:pPr>
        <w:jc w:val="both"/>
        <w:rPr>
          <w:rFonts w:cstheme="minorHAnsi"/>
          <w:b/>
          <w:bCs/>
          <w:color w:val="auto"/>
          <w:sz w:val="24"/>
          <w:szCs w:val="24"/>
        </w:rPr>
      </w:pPr>
    </w:p>
    <w:p w14:paraId="4DB1DFE4" w14:textId="559E7F89" w:rsidR="005E3E00" w:rsidRPr="00572BAC" w:rsidRDefault="005E3E00" w:rsidP="000C70CE">
      <w:pPr>
        <w:jc w:val="both"/>
        <w:rPr>
          <w:rFonts w:cstheme="minorHAnsi"/>
          <w:b/>
          <w:bCs/>
          <w:color w:val="auto"/>
          <w:sz w:val="24"/>
          <w:szCs w:val="24"/>
        </w:rPr>
      </w:pPr>
      <w:r w:rsidRPr="00572BAC">
        <w:rPr>
          <w:rFonts w:cstheme="minorHAnsi"/>
          <w:b/>
          <w:bCs/>
          <w:color w:val="auto"/>
          <w:sz w:val="24"/>
          <w:szCs w:val="24"/>
        </w:rPr>
        <w:t>Conclusions</w:t>
      </w:r>
    </w:p>
    <w:p w14:paraId="7317D929" w14:textId="51E78C37" w:rsidR="00AE10A7" w:rsidRDefault="00AE10A7" w:rsidP="000C70CE">
      <w:pPr>
        <w:jc w:val="both"/>
        <w:rPr>
          <w:rFonts w:cstheme="minorHAnsi"/>
          <w:color w:val="auto"/>
        </w:rPr>
      </w:pPr>
    </w:p>
    <w:p w14:paraId="3713FCAE" w14:textId="77777777" w:rsidR="009941BB" w:rsidRDefault="009941BB" w:rsidP="00342388">
      <w:pPr>
        <w:jc w:val="both"/>
      </w:pPr>
      <w:r>
        <w:t>From our review of the proposals in this consultation we have reached the following conclusions:</w:t>
      </w:r>
    </w:p>
    <w:p w14:paraId="43517711" w14:textId="77777777" w:rsidR="009941BB" w:rsidRDefault="009941BB" w:rsidP="00342388">
      <w:pPr>
        <w:jc w:val="both"/>
      </w:pPr>
    </w:p>
    <w:p w14:paraId="06C8F346" w14:textId="0EA9075A" w:rsidR="008A0664" w:rsidRDefault="00342388" w:rsidP="00667FBB">
      <w:pPr>
        <w:pStyle w:val="ListParagraph"/>
        <w:numPr>
          <w:ilvl w:val="0"/>
          <w:numId w:val="10"/>
        </w:numPr>
        <w:jc w:val="both"/>
      </w:pPr>
      <w:r>
        <w:t>The proposed changes to the standard method for assessing housing need, risk creating unrealistic housing targets for London</w:t>
      </w:r>
      <w:r w:rsidR="002B3D01">
        <w:t>,</w:t>
      </w:r>
      <w:r>
        <w:t xml:space="preserve"> substantially above those now set in the London Plan. </w:t>
      </w:r>
    </w:p>
    <w:p w14:paraId="0AA0D154" w14:textId="77777777" w:rsidR="008A0664" w:rsidRDefault="00342388" w:rsidP="00667FBB">
      <w:pPr>
        <w:pStyle w:val="ListParagraph"/>
        <w:numPr>
          <w:ilvl w:val="0"/>
          <w:numId w:val="10"/>
        </w:numPr>
        <w:jc w:val="both"/>
      </w:pPr>
      <w:r>
        <w:t xml:space="preserve">The proposals for ‘First Homes’ raise affordability concerns for this tenure in London and devoting the first 25% of the affordable housing component on sites to ‘First Homes’ would displace other affordable tenures better suited to tackling the housing crisis in London.  </w:t>
      </w:r>
    </w:p>
    <w:p w14:paraId="350608BE" w14:textId="4ACD6C81" w:rsidR="008A0664" w:rsidRDefault="00342388" w:rsidP="00667FBB">
      <w:pPr>
        <w:pStyle w:val="ListParagraph"/>
        <w:numPr>
          <w:ilvl w:val="0"/>
          <w:numId w:val="10"/>
        </w:numPr>
        <w:jc w:val="both"/>
      </w:pPr>
      <w:r>
        <w:t xml:space="preserve">The temporary increase in site thresholds for affordable housing being proposed to support SME builders is not justified with evidence and would curtail or severely reduce affordable housing delivery in London. </w:t>
      </w:r>
    </w:p>
    <w:p w14:paraId="265577BB" w14:textId="568B31E5" w:rsidR="00342388" w:rsidRDefault="00342388" w:rsidP="00667FBB">
      <w:pPr>
        <w:pStyle w:val="ListParagraph"/>
        <w:numPr>
          <w:ilvl w:val="0"/>
          <w:numId w:val="10"/>
        </w:numPr>
        <w:jc w:val="both"/>
      </w:pPr>
      <w:r>
        <w:t xml:space="preserve">For these reasons, we call on the government to fundamentally rethink these proposals, particularly as they affect the capital, in consultation with London government.      </w:t>
      </w:r>
    </w:p>
    <w:p w14:paraId="3AFB0D39" w14:textId="4C37051E" w:rsidR="00997D29" w:rsidRDefault="00997D29" w:rsidP="000C70CE">
      <w:pPr>
        <w:jc w:val="both"/>
        <w:rPr>
          <w:rFonts w:cstheme="minorHAnsi"/>
          <w:color w:val="auto"/>
        </w:rPr>
      </w:pPr>
    </w:p>
    <w:p w14:paraId="75CC3FB0" w14:textId="37B44371" w:rsidR="00997D29" w:rsidRDefault="00997D29" w:rsidP="000C70CE">
      <w:pPr>
        <w:jc w:val="both"/>
        <w:rPr>
          <w:rFonts w:cstheme="minorHAnsi"/>
          <w:color w:val="auto"/>
        </w:rPr>
      </w:pPr>
    </w:p>
    <w:p w14:paraId="198C0D4F" w14:textId="2CE75F93" w:rsidR="00997D29" w:rsidRDefault="00997D29" w:rsidP="000C70CE">
      <w:pPr>
        <w:jc w:val="both"/>
        <w:rPr>
          <w:rFonts w:cstheme="minorHAnsi"/>
          <w:color w:val="auto"/>
        </w:rPr>
      </w:pPr>
    </w:p>
    <w:p w14:paraId="434A5601" w14:textId="15D248C5" w:rsidR="00997D29" w:rsidRDefault="00997D29" w:rsidP="000C70CE">
      <w:pPr>
        <w:jc w:val="both"/>
        <w:rPr>
          <w:rFonts w:cstheme="minorHAnsi"/>
          <w:color w:val="auto"/>
        </w:rPr>
      </w:pPr>
    </w:p>
    <w:p w14:paraId="3F3E7054" w14:textId="59681A49" w:rsidR="00997D29" w:rsidRDefault="00997D29" w:rsidP="000C70CE">
      <w:pPr>
        <w:jc w:val="both"/>
        <w:rPr>
          <w:rFonts w:cstheme="minorHAnsi"/>
          <w:color w:val="auto"/>
        </w:rPr>
      </w:pPr>
    </w:p>
    <w:p w14:paraId="09C53F36" w14:textId="77777777" w:rsidR="00997D29" w:rsidRDefault="00997D29" w:rsidP="000C70CE">
      <w:pPr>
        <w:jc w:val="both"/>
        <w:rPr>
          <w:rFonts w:cstheme="minorHAnsi"/>
          <w:color w:val="auto"/>
        </w:rPr>
      </w:pPr>
    </w:p>
    <w:sectPr w:rsidR="00997D29" w:rsidSect="00873023">
      <w:headerReference w:type="even" r:id="rId13"/>
      <w:headerReference w:type="default" r:id="rId14"/>
      <w:footerReference w:type="even" r:id="rId15"/>
      <w:footerReference w:type="default" r:id="rId16"/>
      <w:headerReference w:type="first" r:id="rId17"/>
      <w:footerReference w:type="first" r:id="rId18"/>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5CE8" w14:textId="77777777" w:rsidR="00127D8A" w:rsidRDefault="00127D8A" w:rsidP="00BA3ADD">
      <w:pPr>
        <w:spacing w:line="240" w:lineRule="auto"/>
      </w:pPr>
      <w:r>
        <w:separator/>
      </w:r>
    </w:p>
  </w:endnote>
  <w:endnote w:type="continuationSeparator" w:id="0">
    <w:p w14:paraId="40990E88" w14:textId="77777777" w:rsidR="00127D8A" w:rsidRDefault="00127D8A"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2C4E" w14:textId="77777777" w:rsidR="00985DF0" w:rsidRDefault="0098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B26B22" w14:paraId="24497599" w14:textId="77777777" w:rsidTr="006062EB">
      <w:trPr>
        <w:cantSplit/>
        <w:trHeight w:hRule="exact" w:val="907"/>
      </w:trPr>
      <w:tc>
        <w:tcPr>
          <w:tcW w:w="7943" w:type="dxa"/>
          <w:vAlign w:val="bottom"/>
        </w:tcPr>
        <w:p w14:paraId="4733195A" w14:textId="77777777" w:rsidR="00B26B22" w:rsidRPr="00B91EA0" w:rsidRDefault="00B26B22"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0E606D30" w14:textId="77777777" w:rsidR="00B26B22" w:rsidRPr="00B91EA0" w:rsidRDefault="00B26B22" w:rsidP="006062EB">
          <w:pPr>
            <w:pStyle w:val="Footer"/>
            <w:jc w:val="right"/>
            <w:rPr>
              <w:b/>
              <w:color w:val="522380" w:themeColor="accent1"/>
              <w:sz w:val="22"/>
            </w:rPr>
          </w:pPr>
          <w:r>
            <w:rPr>
              <w:b/>
              <w:noProof/>
              <w:color w:val="522380" w:themeColor="accent1"/>
              <w:sz w:val="22"/>
              <w:lang w:eastAsia="en-GB"/>
            </w:rPr>
            <w:drawing>
              <wp:inline distT="0" distB="0" distL="0" distR="0" wp14:anchorId="416ADA00" wp14:editId="3B39FFA0">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1313A09" w14:textId="77777777" w:rsidR="00B26B22" w:rsidRDefault="00B2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B26B22" w14:paraId="7302495B" w14:textId="77777777" w:rsidTr="000958C2">
      <w:trPr>
        <w:cantSplit/>
        <w:trHeight w:hRule="exact" w:val="907"/>
      </w:trPr>
      <w:tc>
        <w:tcPr>
          <w:tcW w:w="7943" w:type="dxa"/>
          <w:vAlign w:val="bottom"/>
        </w:tcPr>
        <w:p w14:paraId="793FE005" w14:textId="77777777" w:rsidR="00B26B22" w:rsidRPr="00B91EA0" w:rsidRDefault="00B26B22" w:rsidP="000958C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2282123C" w14:textId="77777777" w:rsidR="00B26B22" w:rsidRPr="00B91EA0" w:rsidRDefault="00B26B22" w:rsidP="000958C2">
          <w:pPr>
            <w:pStyle w:val="Footer"/>
            <w:jc w:val="right"/>
            <w:rPr>
              <w:b/>
              <w:color w:val="522380" w:themeColor="accent1"/>
              <w:sz w:val="22"/>
            </w:rPr>
          </w:pPr>
          <w:r>
            <w:rPr>
              <w:b/>
              <w:noProof/>
              <w:color w:val="522380" w:themeColor="accent1"/>
              <w:sz w:val="22"/>
              <w:lang w:eastAsia="en-GB"/>
            </w:rPr>
            <w:drawing>
              <wp:inline distT="0" distB="0" distL="0" distR="0" wp14:anchorId="3B107DDC" wp14:editId="02B92782">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9C525CA" w14:textId="77777777" w:rsidR="00B26B22" w:rsidRDefault="00B2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2FD9" w14:textId="77777777" w:rsidR="00127D8A" w:rsidRPr="002C64EC" w:rsidRDefault="00127D8A" w:rsidP="00BA3ADD">
      <w:pPr>
        <w:spacing w:line="240" w:lineRule="auto"/>
        <w:rPr>
          <w:color w:val="E1DCEB" w:themeColor="accent2"/>
        </w:rPr>
      </w:pPr>
      <w:r w:rsidRPr="002C64EC">
        <w:rPr>
          <w:color w:val="E1DCEB" w:themeColor="accent2"/>
        </w:rPr>
        <w:separator/>
      </w:r>
    </w:p>
  </w:footnote>
  <w:footnote w:type="continuationSeparator" w:id="0">
    <w:p w14:paraId="0C809B00" w14:textId="77777777" w:rsidR="00127D8A" w:rsidRPr="002C64EC" w:rsidRDefault="00127D8A" w:rsidP="00BA3ADD">
      <w:pPr>
        <w:spacing w:line="240" w:lineRule="auto"/>
        <w:rPr>
          <w:color w:val="E1DCEB" w:themeColor="accent2"/>
        </w:rPr>
      </w:pPr>
      <w:r w:rsidRPr="002C64EC">
        <w:rPr>
          <w:color w:val="E1DCEB" w:themeColor="accent2"/>
        </w:rPr>
        <w:continuationSeparator/>
      </w:r>
    </w:p>
  </w:footnote>
  <w:footnote w:type="continuationNotice" w:id="1">
    <w:p w14:paraId="3CA5123D" w14:textId="77777777" w:rsidR="00127D8A" w:rsidRDefault="00127D8A">
      <w:pPr>
        <w:spacing w:line="240" w:lineRule="auto"/>
      </w:pPr>
    </w:p>
  </w:footnote>
  <w:footnote w:id="2">
    <w:p w14:paraId="6D13FEFE" w14:textId="77777777" w:rsidR="00585016" w:rsidRPr="004449D1" w:rsidRDefault="00585016" w:rsidP="00585016">
      <w:pPr>
        <w:spacing w:line="240" w:lineRule="auto"/>
        <w:ind w:left="360" w:hanging="360"/>
        <w:rPr>
          <w:rFonts w:ascii="Verdana" w:hAnsi="Verdana"/>
          <w:color w:val="auto"/>
          <w:sz w:val="12"/>
          <w:szCs w:val="12"/>
        </w:rPr>
      </w:pPr>
      <w:r w:rsidRPr="004449D1">
        <w:rPr>
          <w:rStyle w:val="FootnoteReference"/>
          <w:rFonts w:ascii="Verdana" w:hAnsi="Verdana"/>
          <w:color w:val="auto"/>
          <w:sz w:val="12"/>
          <w:szCs w:val="12"/>
        </w:rPr>
        <w:footnoteRef/>
      </w:r>
      <w:r w:rsidRPr="004449D1">
        <w:rPr>
          <w:rFonts w:ascii="Verdana" w:hAnsi="Verdana"/>
          <w:color w:val="auto"/>
          <w:sz w:val="12"/>
          <w:szCs w:val="12"/>
        </w:rPr>
        <w:t xml:space="preserve"> </w:t>
      </w:r>
      <w:r w:rsidRPr="004449D1">
        <w:rPr>
          <w:rFonts w:ascii="Verdana" w:eastAsia="Times New Roman" w:hAnsi="Verdana"/>
          <w:color w:val="auto"/>
          <w:sz w:val="12"/>
          <w:szCs w:val="12"/>
        </w:rPr>
        <w:t>Royal College of Nursing Survey IES report 2017.</w:t>
      </w:r>
    </w:p>
  </w:footnote>
  <w:footnote w:id="3">
    <w:p w14:paraId="332A477E" w14:textId="77777777" w:rsidR="00585016" w:rsidRPr="004449D1" w:rsidRDefault="00585016" w:rsidP="00585016">
      <w:pPr>
        <w:pStyle w:val="FootnoteText"/>
        <w:spacing w:before="0"/>
        <w:rPr>
          <w:rFonts w:ascii="Verdana" w:hAnsi="Verdana"/>
          <w:color w:val="auto"/>
          <w:sz w:val="12"/>
          <w:szCs w:val="12"/>
        </w:rPr>
      </w:pPr>
      <w:r w:rsidRPr="004449D1">
        <w:rPr>
          <w:rStyle w:val="FootnoteReference"/>
          <w:rFonts w:ascii="Verdana" w:hAnsi="Verdana"/>
          <w:color w:val="auto"/>
          <w:sz w:val="12"/>
          <w:szCs w:val="12"/>
        </w:rPr>
        <w:footnoteRef/>
      </w:r>
      <w:r w:rsidRPr="004449D1">
        <w:rPr>
          <w:rFonts w:ascii="Verdana" w:hAnsi="Verdana"/>
          <w:color w:val="auto"/>
          <w:sz w:val="12"/>
          <w:szCs w:val="12"/>
        </w:rPr>
        <w:t xml:space="preserve"> </w:t>
      </w:r>
      <w:hyperlink r:id="rId1" w:history="1">
        <w:r w:rsidRPr="004449D1">
          <w:rPr>
            <w:rStyle w:val="Hyperlink"/>
            <w:rFonts w:ascii="Verdana" w:hAnsi="Verdana"/>
            <w:color w:val="auto"/>
            <w:sz w:val="12"/>
            <w:szCs w:val="12"/>
          </w:rPr>
          <w:t>https://www.gov.uk/government/news/uk-house-price-index-for-september-2019</w:t>
        </w:r>
      </w:hyperlink>
    </w:p>
  </w:footnote>
  <w:footnote w:id="4">
    <w:p w14:paraId="780571EE" w14:textId="77777777" w:rsidR="00585016" w:rsidRPr="004449D1" w:rsidRDefault="00585016" w:rsidP="00585016">
      <w:pPr>
        <w:pStyle w:val="FootnoteText"/>
        <w:rPr>
          <w:rFonts w:ascii="Verdana" w:hAnsi="Verdana"/>
          <w:sz w:val="12"/>
          <w:szCs w:val="12"/>
        </w:rPr>
      </w:pPr>
      <w:r w:rsidRPr="004449D1">
        <w:rPr>
          <w:rStyle w:val="FootnoteReference"/>
          <w:rFonts w:ascii="Verdana" w:hAnsi="Verdana"/>
          <w:sz w:val="12"/>
          <w:szCs w:val="12"/>
        </w:rPr>
        <w:footnoteRef/>
      </w:r>
      <w:r w:rsidRPr="004449D1">
        <w:rPr>
          <w:rFonts w:ascii="Verdana" w:hAnsi="Verdana"/>
          <w:sz w:val="12"/>
          <w:szCs w:val="12"/>
        </w:rPr>
        <w:t xml:space="preserve"> Based on calculations of an average home in London, a 5% deposit, and a mortgage 4 times that of income. </w:t>
      </w:r>
    </w:p>
  </w:footnote>
  <w:footnote w:id="5">
    <w:p w14:paraId="29C0C022" w14:textId="77777777" w:rsidR="009942F8" w:rsidRPr="004449D1" w:rsidRDefault="009942F8" w:rsidP="009942F8">
      <w:pPr>
        <w:spacing w:line="240" w:lineRule="auto"/>
        <w:ind w:left="360" w:hanging="360"/>
        <w:rPr>
          <w:rFonts w:ascii="Verdana" w:hAnsi="Verdana"/>
          <w:color w:val="auto"/>
          <w:sz w:val="12"/>
          <w:szCs w:val="12"/>
        </w:rPr>
      </w:pPr>
      <w:r w:rsidRPr="004449D1">
        <w:rPr>
          <w:rStyle w:val="FootnoteReference"/>
          <w:rFonts w:ascii="Verdana" w:hAnsi="Verdana"/>
          <w:color w:val="auto"/>
          <w:sz w:val="12"/>
          <w:szCs w:val="12"/>
        </w:rPr>
        <w:footnoteRef/>
      </w:r>
      <w:r w:rsidRPr="004449D1">
        <w:rPr>
          <w:rFonts w:ascii="Verdana" w:hAnsi="Verdana"/>
          <w:color w:val="auto"/>
          <w:sz w:val="12"/>
          <w:szCs w:val="12"/>
        </w:rPr>
        <w:t xml:space="preserve"> </w:t>
      </w:r>
      <w:r w:rsidRPr="004449D1">
        <w:rPr>
          <w:rFonts w:ascii="Verdana" w:eastAsia="Times New Roman" w:hAnsi="Verdana"/>
          <w:color w:val="auto"/>
          <w:sz w:val="12"/>
          <w:szCs w:val="12"/>
        </w:rPr>
        <w:t>Royal College of Nursing Survey IES report 2017.</w:t>
      </w:r>
    </w:p>
  </w:footnote>
  <w:footnote w:id="6">
    <w:p w14:paraId="6297A1A1" w14:textId="77777777" w:rsidR="009942F8" w:rsidRPr="004449D1" w:rsidRDefault="009942F8" w:rsidP="009942F8">
      <w:pPr>
        <w:pStyle w:val="FootnoteText"/>
        <w:spacing w:before="0"/>
        <w:rPr>
          <w:rFonts w:ascii="Verdana" w:hAnsi="Verdana"/>
          <w:color w:val="auto"/>
          <w:sz w:val="12"/>
          <w:szCs w:val="12"/>
        </w:rPr>
      </w:pPr>
      <w:r w:rsidRPr="004449D1">
        <w:rPr>
          <w:rStyle w:val="FootnoteReference"/>
          <w:rFonts w:ascii="Verdana" w:hAnsi="Verdana"/>
          <w:color w:val="auto"/>
          <w:sz w:val="12"/>
          <w:szCs w:val="12"/>
        </w:rPr>
        <w:footnoteRef/>
      </w:r>
      <w:r w:rsidRPr="004449D1">
        <w:rPr>
          <w:rFonts w:ascii="Verdana" w:hAnsi="Verdana"/>
          <w:color w:val="auto"/>
          <w:sz w:val="12"/>
          <w:szCs w:val="12"/>
        </w:rPr>
        <w:t xml:space="preserve"> </w:t>
      </w:r>
      <w:hyperlink r:id="rId2" w:history="1">
        <w:r w:rsidRPr="004449D1">
          <w:rPr>
            <w:rStyle w:val="Hyperlink"/>
            <w:rFonts w:ascii="Verdana" w:hAnsi="Verdana"/>
            <w:color w:val="auto"/>
            <w:sz w:val="12"/>
            <w:szCs w:val="12"/>
          </w:rPr>
          <w:t>https://www.gov.uk/government/news/uk-house-price-index-for-september-2019</w:t>
        </w:r>
      </w:hyperlink>
    </w:p>
  </w:footnote>
  <w:footnote w:id="7">
    <w:p w14:paraId="6E20900D" w14:textId="77777777" w:rsidR="009942F8" w:rsidRPr="004449D1" w:rsidRDefault="009942F8" w:rsidP="009942F8">
      <w:pPr>
        <w:pStyle w:val="FootnoteText"/>
        <w:rPr>
          <w:rFonts w:ascii="Verdana" w:hAnsi="Verdana"/>
          <w:sz w:val="12"/>
          <w:szCs w:val="12"/>
        </w:rPr>
      </w:pPr>
      <w:r w:rsidRPr="004449D1">
        <w:rPr>
          <w:rStyle w:val="FootnoteReference"/>
          <w:rFonts w:ascii="Verdana" w:hAnsi="Verdana"/>
          <w:sz w:val="12"/>
          <w:szCs w:val="12"/>
        </w:rPr>
        <w:footnoteRef/>
      </w:r>
      <w:r w:rsidRPr="004449D1">
        <w:rPr>
          <w:rFonts w:ascii="Verdana" w:hAnsi="Verdana"/>
          <w:sz w:val="12"/>
          <w:szCs w:val="12"/>
        </w:rPr>
        <w:t xml:space="preserve"> Based on calculations of an average home in London, a 5% deposit, and a mortgage 4 times that of income.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DD0C" w14:textId="77777777" w:rsidR="00985DF0" w:rsidRDefault="00985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B26B22" w14:paraId="55BA1064" w14:textId="77777777" w:rsidTr="00E253CF">
      <w:trPr>
        <w:cantSplit/>
        <w:trHeight w:val="624"/>
      </w:trPr>
      <w:tc>
        <w:tcPr>
          <w:tcW w:w="10148" w:type="dxa"/>
          <w:gridSpan w:val="2"/>
          <w:shd w:val="clear" w:color="auto" w:fill="522380" w:themeFill="accent1"/>
          <w:vAlign w:val="bottom"/>
        </w:tcPr>
        <w:p w14:paraId="5B2280F5" w14:textId="6CF0C339" w:rsidR="00B26B22" w:rsidRPr="004F1C42" w:rsidRDefault="00B26B22"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1F6276">
            <w:rPr>
              <w:noProof/>
              <w:color w:val="FFFFFF" w:themeColor="background1"/>
              <w:sz w:val="22"/>
            </w:rPr>
            <w:t>Thursday 24 September 2020</w:t>
          </w:r>
          <w:r>
            <w:rPr>
              <w:color w:val="FFFFFF" w:themeColor="background1"/>
              <w:sz w:val="22"/>
            </w:rPr>
            <w:fldChar w:fldCharType="end"/>
          </w:r>
        </w:p>
      </w:tc>
    </w:tr>
    <w:tr w:rsidR="00B26B22" w14:paraId="4E366E9A" w14:textId="77777777" w:rsidTr="00554B6B">
      <w:trPr>
        <w:cantSplit/>
        <w:trHeight w:val="312"/>
      </w:trPr>
      <w:tc>
        <w:tcPr>
          <w:tcW w:w="8080" w:type="dxa"/>
          <w:vAlign w:val="bottom"/>
        </w:tcPr>
        <w:p w14:paraId="5E13C0EA" w14:textId="6970C58C" w:rsidR="00B26B22" w:rsidRPr="005373FE" w:rsidRDefault="00B26B22"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1F6276">
            <w:rPr>
              <w:b/>
              <w:noProof/>
              <w:color w:val="EC098D" w:themeColor="accent3"/>
              <w:sz w:val="24"/>
            </w:rPr>
            <w:t>MHCLG consultation on Changes to the Current Planning System</w:t>
          </w:r>
          <w:r w:rsidRPr="005373FE">
            <w:rPr>
              <w:b/>
              <w:color w:val="EC098D" w:themeColor="accent3"/>
              <w:sz w:val="24"/>
            </w:rPr>
            <w:fldChar w:fldCharType="end"/>
          </w:r>
        </w:p>
      </w:tc>
      <w:tc>
        <w:tcPr>
          <w:tcW w:w="2068" w:type="dxa"/>
          <w:vAlign w:val="bottom"/>
        </w:tcPr>
        <w:p w14:paraId="36DCC320" w14:textId="77777777" w:rsidR="00B26B22" w:rsidRPr="005373FE" w:rsidRDefault="00B26B22" w:rsidP="005373FE">
          <w:pPr>
            <w:pStyle w:val="Header"/>
            <w:jc w:val="right"/>
            <w:rPr>
              <w:b/>
              <w:color w:val="522380" w:themeColor="accent1"/>
              <w:sz w:val="24"/>
            </w:rPr>
          </w:pPr>
          <w:r w:rsidRPr="005373FE">
            <w:rPr>
              <w:b/>
              <w:color w:val="522380" w:themeColor="accent1"/>
              <w:sz w:val="24"/>
            </w:rPr>
            <w:t>London Councils</w:t>
          </w:r>
        </w:p>
      </w:tc>
    </w:tr>
    <w:tr w:rsidR="00B26B22" w14:paraId="77669B88" w14:textId="77777777" w:rsidTr="000958C2">
      <w:trPr>
        <w:cantSplit/>
        <w:trHeight w:hRule="exact" w:val="567"/>
      </w:trPr>
      <w:tc>
        <w:tcPr>
          <w:tcW w:w="10148" w:type="dxa"/>
          <w:gridSpan w:val="2"/>
          <w:vAlign w:val="bottom"/>
        </w:tcPr>
        <w:p w14:paraId="193DEAD5" w14:textId="77777777" w:rsidR="00B26B22" w:rsidRPr="005373FE" w:rsidRDefault="00B26B22" w:rsidP="00C13F09">
          <w:pPr>
            <w:pStyle w:val="NoSpacing"/>
            <w:rPr>
              <w:color w:val="522380" w:themeColor="accent1"/>
            </w:rPr>
          </w:pPr>
        </w:p>
      </w:tc>
    </w:tr>
  </w:tbl>
  <w:p w14:paraId="3669AC6A" w14:textId="689F1B95" w:rsidR="00B26B22" w:rsidRDefault="00B26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B26B22" w14:paraId="147FDEC8" w14:textId="77777777" w:rsidTr="00E253CF">
      <w:trPr>
        <w:cantSplit/>
        <w:trHeight w:val="624"/>
      </w:trPr>
      <w:tc>
        <w:tcPr>
          <w:tcW w:w="10148" w:type="dxa"/>
          <w:gridSpan w:val="2"/>
          <w:shd w:val="clear" w:color="auto" w:fill="522380" w:themeFill="accent1"/>
          <w:vAlign w:val="bottom"/>
        </w:tcPr>
        <w:p w14:paraId="47C2BAAA" w14:textId="5812DA02" w:rsidR="00B26B22" w:rsidRPr="004F1C42" w:rsidRDefault="00B26B22" w:rsidP="000958C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1F6276">
            <w:rPr>
              <w:noProof/>
              <w:color w:val="FFFFFF" w:themeColor="background1"/>
              <w:sz w:val="22"/>
            </w:rPr>
            <w:t>Thursday 24 September 2020</w:t>
          </w:r>
          <w:r>
            <w:rPr>
              <w:color w:val="FFFFFF" w:themeColor="background1"/>
              <w:sz w:val="22"/>
            </w:rPr>
            <w:fldChar w:fldCharType="end"/>
          </w:r>
        </w:p>
      </w:tc>
    </w:tr>
    <w:tr w:rsidR="00B26B22" w14:paraId="6506BD22" w14:textId="77777777" w:rsidTr="00514B1B">
      <w:trPr>
        <w:cantSplit/>
        <w:trHeight w:hRule="exact" w:val="312"/>
      </w:trPr>
      <w:tc>
        <w:tcPr>
          <w:tcW w:w="8080" w:type="dxa"/>
          <w:vAlign w:val="bottom"/>
        </w:tcPr>
        <w:p w14:paraId="08925C07" w14:textId="77777777" w:rsidR="00B26B22" w:rsidRPr="005373FE" w:rsidRDefault="00B26B22" w:rsidP="000958C2">
          <w:pPr>
            <w:pStyle w:val="Header"/>
            <w:rPr>
              <w:b/>
              <w:color w:val="EC098D" w:themeColor="accent3"/>
              <w:sz w:val="24"/>
            </w:rPr>
          </w:pPr>
        </w:p>
      </w:tc>
      <w:tc>
        <w:tcPr>
          <w:tcW w:w="2063" w:type="dxa"/>
          <w:vAlign w:val="bottom"/>
        </w:tcPr>
        <w:p w14:paraId="71E122F3" w14:textId="77777777" w:rsidR="00B26B22" w:rsidRPr="005373FE" w:rsidRDefault="00B26B22" w:rsidP="000958C2">
          <w:pPr>
            <w:pStyle w:val="Header"/>
            <w:jc w:val="right"/>
            <w:rPr>
              <w:b/>
              <w:color w:val="522380" w:themeColor="accent1"/>
              <w:sz w:val="24"/>
            </w:rPr>
          </w:pPr>
          <w:r w:rsidRPr="005373FE">
            <w:rPr>
              <w:b/>
              <w:color w:val="522380" w:themeColor="accent1"/>
              <w:sz w:val="24"/>
            </w:rPr>
            <w:t>London Councils</w:t>
          </w:r>
        </w:p>
      </w:tc>
    </w:tr>
  </w:tbl>
  <w:p w14:paraId="4E92C11B" w14:textId="77777777" w:rsidR="00B26B22" w:rsidRDefault="00B26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876"/>
    <w:multiLevelType w:val="hybridMultilevel"/>
    <w:tmpl w:val="9C1C77D0"/>
    <w:lvl w:ilvl="0" w:tplc="F49E065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F2A25"/>
    <w:multiLevelType w:val="hybridMultilevel"/>
    <w:tmpl w:val="4972131C"/>
    <w:lvl w:ilvl="0" w:tplc="052269B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D6805"/>
    <w:multiLevelType w:val="hybridMultilevel"/>
    <w:tmpl w:val="6B6A4376"/>
    <w:lvl w:ilvl="0" w:tplc="DAEAFE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6095"/>
    <w:multiLevelType w:val="hybridMultilevel"/>
    <w:tmpl w:val="DE46D160"/>
    <w:lvl w:ilvl="0" w:tplc="10003544">
      <w:start w:val="1"/>
      <w:numFmt w:val="lowerRoman"/>
      <w:lvlText w:val="%1)"/>
      <w:lvlJc w:val="left"/>
      <w:pPr>
        <w:ind w:left="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5EA5C94">
      <w:start w:val="1"/>
      <w:numFmt w:val="lowerLetter"/>
      <w:lvlText w:val="%2"/>
      <w:lvlJc w:val="left"/>
      <w:pPr>
        <w:ind w:left="1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E500EEA">
      <w:start w:val="1"/>
      <w:numFmt w:val="lowerRoman"/>
      <w:lvlText w:val="%3"/>
      <w:lvlJc w:val="left"/>
      <w:pPr>
        <w:ind w:left="1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CAE8972">
      <w:start w:val="1"/>
      <w:numFmt w:val="decimal"/>
      <w:lvlText w:val="%4"/>
      <w:lvlJc w:val="left"/>
      <w:pPr>
        <w:ind w:left="26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F4448E">
      <w:start w:val="1"/>
      <w:numFmt w:val="lowerLetter"/>
      <w:lvlText w:val="%5"/>
      <w:lvlJc w:val="left"/>
      <w:pPr>
        <w:ind w:left="33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DFC0E84">
      <w:start w:val="1"/>
      <w:numFmt w:val="lowerRoman"/>
      <w:lvlText w:val="%6"/>
      <w:lvlJc w:val="left"/>
      <w:pPr>
        <w:ind w:left="41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BE2D4E">
      <w:start w:val="1"/>
      <w:numFmt w:val="decimal"/>
      <w:lvlText w:val="%7"/>
      <w:lvlJc w:val="left"/>
      <w:pPr>
        <w:ind w:left="48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C2DE88">
      <w:start w:val="1"/>
      <w:numFmt w:val="lowerLetter"/>
      <w:lvlText w:val="%8"/>
      <w:lvlJc w:val="left"/>
      <w:pPr>
        <w:ind w:left="5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B6CA1E">
      <w:start w:val="1"/>
      <w:numFmt w:val="lowerRoman"/>
      <w:lvlText w:val="%9"/>
      <w:lvlJc w:val="left"/>
      <w:pPr>
        <w:ind w:left="6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6" w15:restartNumberingAfterBreak="0">
    <w:nsid w:val="4B5258DE"/>
    <w:multiLevelType w:val="hybridMultilevel"/>
    <w:tmpl w:val="3A485A46"/>
    <w:lvl w:ilvl="0" w:tplc="086EE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627B4F"/>
    <w:multiLevelType w:val="hybridMultilevel"/>
    <w:tmpl w:val="3A485A46"/>
    <w:lvl w:ilvl="0" w:tplc="086EE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411679"/>
    <w:multiLevelType w:val="hybridMultilevel"/>
    <w:tmpl w:val="1A4AF61E"/>
    <w:lvl w:ilvl="0" w:tplc="51DCED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0"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798D7559"/>
    <w:multiLevelType w:val="hybridMultilevel"/>
    <w:tmpl w:val="2C62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96907"/>
    <w:multiLevelType w:val="hybridMultilevel"/>
    <w:tmpl w:val="CEF06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B6FBC"/>
    <w:multiLevelType w:val="hybridMultilevel"/>
    <w:tmpl w:val="DB36274A"/>
    <w:lvl w:ilvl="0" w:tplc="0AC460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9"/>
  </w:num>
  <w:num w:numId="6">
    <w:abstractNumId w:val="3"/>
  </w:num>
  <w:num w:numId="7">
    <w:abstractNumId w:val="13"/>
  </w:num>
  <w:num w:numId="8">
    <w:abstractNumId w:val="1"/>
  </w:num>
  <w:num w:numId="9">
    <w:abstractNumId w:val="14"/>
  </w:num>
  <w:num w:numId="10">
    <w:abstractNumId w:val="0"/>
  </w:num>
  <w:num w:numId="11">
    <w:abstractNumId w:val="12"/>
  </w:num>
  <w:num w:numId="12">
    <w:abstractNumId w:val="7"/>
  </w:num>
  <w:num w:numId="13">
    <w:abstractNumId w:val="6"/>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C"/>
    <w:rsid w:val="000018EB"/>
    <w:rsid w:val="00002063"/>
    <w:rsid w:val="00003154"/>
    <w:rsid w:val="0000432D"/>
    <w:rsid w:val="00004C03"/>
    <w:rsid w:val="00007D97"/>
    <w:rsid w:val="000102F9"/>
    <w:rsid w:val="000104DD"/>
    <w:rsid w:val="000107DE"/>
    <w:rsid w:val="00010E2E"/>
    <w:rsid w:val="000115A2"/>
    <w:rsid w:val="000115F4"/>
    <w:rsid w:val="00011945"/>
    <w:rsid w:val="00012477"/>
    <w:rsid w:val="000132B6"/>
    <w:rsid w:val="00013CCD"/>
    <w:rsid w:val="000143B4"/>
    <w:rsid w:val="0001462E"/>
    <w:rsid w:val="00015B55"/>
    <w:rsid w:val="00015D1C"/>
    <w:rsid w:val="0001603D"/>
    <w:rsid w:val="0001605D"/>
    <w:rsid w:val="00016759"/>
    <w:rsid w:val="0002104B"/>
    <w:rsid w:val="00021B9C"/>
    <w:rsid w:val="00022D3F"/>
    <w:rsid w:val="000239FB"/>
    <w:rsid w:val="00025191"/>
    <w:rsid w:val="0002522A"/>
    <w:rsid w:val="00025B07"/>
    <w:rsid w:val="00030E5F"/>
    <w:rsid w:val="00033C63"/>
    <w:rsid w:val="00034FBE"/>
    <w:rsid w:val="00037ACB"/>
    <w:rsid w:val="00037F27"/>
    <w:rsid w:val="00040014"/>
    <w:rsid w:val="0004010B"/>
    <w:rsid w:val="00040606"/>
    <w:rsid w:val="0004067C"/>
    <w:rsid w:val="00040897"/>
    <w:rsid w:val="000409E0"/>
    <w:rsid w:val="00040B05"/>
    <w:rsid w:val="0004144B"/>
    <w:rsid w:val="0004188F"/>
    <w:rsid w:val="000436A0"/>
    <w:rsid w:val="000438A7"/>
    <w:rsid w:val="00043C4E"/>
    <w:rsid w:val="00045A24"/>
    <w:rsid w:val="00045A64"/>
    <w:rsid w:val="00046072"/>
    <w:rsid w:val="00046962"/>
    <w:rsid w:val="00047335"/>
    <w:rsid w:val="0005057F"/>
    <w:rsid w:val="000506C8"/>
    <w:rsid w:val="0005265F"/>
    <w:rsid w:val="00052839"/>
    <w:rsid w:val="000528B3"/>
    <w:rsid w:val="00053A01"/>
    <w:rsid w:val="000553AD"/>
    <w:rsid w:val="0005597F"/>
    <w:rsid w:val="00057BCA"/>
    <w:rsid w:val="00060805"/>
    <w:rsid w:val="00061441"/>
    <w:rsid w:val="00063121"/>
    <w:rsid w:val="00063F5D"/>
    <w:rsid w:val="00065D3D"/>
    <w:rsid w:val="00065E35"/>
    <w:rsid w:val="000673C6"/>
    <w:rsid w:val="00070AE9"/>
    <w:rsid w:val="00071860"/>
    <w:rsid w:val="00071A41"/>
    <w:rsid w:val="00071E8D"/>
    <w:rsid w:val="000720F1"/>
    <w:rsid w:val="00072C73"/>
    <w:rsid w:val="00072E62"/>
    <w:rsid w:val="000730E2"/>
    <w:rsid w:val="00075B43"/>
    <w:rsid w:val="00075FEF"/>
    <w:rsid w:val="000768CD"/>
    <w:rsid w:val="00081F31"/>
    <w:rsid w:val="000820D9"/>
    <w:rsid w:val="0008257A"/>
    <w:rsid w:val="00084161"/>
    <w:rsid w:val="000853CC"/>
    <w:rsid w:val="00085555"/>
    <w:rsid w:val="00085B22"/>
    <w:rsid w:val="00087B44"/>
    <w:rsid w:val="00087BED"/>
    <w:rsid w:val="00090871"/>
    <w:rsid w:val="00091279"/>
    <w:rsid w:val="0009127D"/>
    <w:rsid w:val="00091751"/>
    <w:rsid w:val="00092344"/>
    <w:rsid w:val="00092F80"/>
    <w:rsid w:val="00093BED"/>
    <w:rsid w:val="000958B8"/>
    <w:rsid w:val="000958C2"/>
    <w:rsid w:val="00096CAE"/>
    <w:rsid w:val="000A2F56"/>
    <w:rsid w:val="000A52E8"/>
    <w:rsid w:val="000A63CE"/>
    <w:rsid w:val="000A6516"/>
    <w:rsid w:val="000A7E78"/>
    <w:rsid w:val="000B0F54"/>
    <w:rsid w:val="000B1039"/>
    <w:rsid w:val="000B17B5"/>
    <w:rsid w:val="000B219A"/>
    <w:rsid w:val="000B2371"/>
    <w:rsid w:val="000B3DFB"/>
    <w:rsid w:val="000B6410"/>
    <w:rsid w:val="000B6434"/>
    <w:rsid w:val="000B6919"/>
    <w:rsid w:val="000B757D"/>
    <w:rsid w:val="000C0115"/>
    <w:rsid w:val="000C1B03"/>
    <w:rsid w:val="000C2625"/>
    <w:rsid w:val="000C3125"/>
    <w:rsid w:val="000C37C2"/>
    <w:rsid w:val="000C5497"/>
    <w:rsid w:val="000C58A8"/>
    <w:rsid w:val="000C70CE"/>
    <w:rsid w:val="000D03BB"/>
    <w:rsid w:val="000D0643"/>
    <w:rsid w:val="000D0821"/>
    <w:rsid w:val="000D11DF"/>
    <w:rsid w:val="000D16C6"/>
    <w:rsid w:val="000D2277"/>
    <w:rsid w:val="000D2375"/>
    <w:rsid w:val="000D23F6"/>
    <w:rsid w:val="000D4280"/>
    <w:rsid w:val="000D4E9E"/>
    <w:rsid w:val="000D5A6A"/>
    <w:rsid w:val="000D5C83"/>
    <w:rsid w:val="000D6A00"/>
    <w:rsid w:val="000E1688"/>
    <w:rsid w:val="000E2AB2"/>
    <w:rsid w:val="000E3C7C"/>
    <w:rsid w:val="000E461A"/>
    <w:rsid w:val="000E4D92"/>
    <w:rsid w:val="000E53F0"/>
    <w:rsid w:val="000E5A4E"/>
    <w:rsid w:val="000E60C9"/>
    <w:rsid w:val="000F0618"/>
    <w:rsid w:val="000F0B51"/>
    <w:rsid w:val="000F23B8"/>
    <w:rsid w:val="000F2CED"/>
    <w:rsid w:val="000F4041"/>
    <w:rsid w:val="000F438D"/>
    <w:rsid w:val="000F4D40"/>
    <w:rsid w:val="000F5137"/>
    <w:rsid w:val="000F53ED"/>
    <w:rsid w:val="000F6444"/>
    <w:rsid w:val="000F6958"/>
    <w:rsid w:val="000F73F4"/>
    <w:rsid w:val="000F7C29"/>
    <w:rsid w:val="00100ACF"/>
    <w:rsid w:val="001029AD"/>
    <w:rsid w:val="00103E64"/>
    <w:rsid w:val="00104530"/>
    <w:rsid w:val="00104BE3"/>
    <w:rsid w:val="001057A4"/>
    <w:rsid w:val="00105AC0"/>
    <w:rsid w:val="0010652C"/>
    <w:rsid w:val="0010756F"/>
    <w:rsid w:val="001100A0"/>
    <w:rsid w:val="00111805"/>
    <w:rsid w:val="001136C1"/>
    <w:rsid w:val="00113780"/>
    <w:rsid w:val="00113D24"/>
    <w:rsid w:val="001147A9"/>
    <w:rsid w:val="00114AD0"/>
    <w:rsid w:val="0011580E"/>
    <w:rsid w:val="0011737F"/>
    <w:rsid w:val="00117998"/>
    <w:rsid w:val="00120EC1"/>
    <w:rsid w:val="0012128C"/>
    <w:rsid w:val="00122B70"/>
    <w:rsid w:val="001241FA"/>
    <w:rsid w:val="0012538E"/>
    <w:rsid w:val="0012582E"/>
    <w:rsid w:val="00127D8A"/>
    <w:rsid w:val="00127E07"/>
    <w:rsid w:val="001321DA"/>
    <w:rsid w:val="00132C8C"/>
    <w:rsid w:val="00132D41"/>
    <w:rsid w:val="001332B6"/>
    <w:rsid w:val="00134DCC"/>
    <w:rsid w:val="0013598A"/>
    <w:rsid w:val="00135A9D"/>
    <w:rsid w:val="00136B16"/>
    <w:rsid w:val="0014019E"/>
    <w:rsid w:val="0014146A"/>
    <w:rsid w:val="00142074"/>
    <w:rsid w:val="00144483"/>
    <w:rsid w:val="001445B2"/>
    <w:rsid w:val="0014476E"/>
    <w:rsid w:val="00145A8C"/>
    <w:rsid w:val="00145CAB"/>
    <w:rsid w:val="00145F50"/>
    <w:rsid w:val="001478E0"/>
    <w:rsid w:val="001505AE"/>
    <w:rsid w:val="00150CCD"/>
    <w:rsid w:val="001510DA"/>
    <w:rsid w:val="0015189E"/>
    <w:rsid w:val="00151E47"/>
    <w:rsid w:val="00152579"/>
    <w:rsid w:val="001543DC"/>
    <w:rsid w:val="0015628A"/>
    <w:rsid w:val="00157BF0"/>
    <w:rsid w:val="00160EB8"/>
    <w:rsid w:val="00161B69"/>
    <w:rsid w:val="0016210E"/>
    <w:rsid w:val="0016212A"/>
    <w:rsid w:val="00162CA8"/>
    <w:rsid w:val="00162EF2"/>
    <w:rsid w:val="00163DDA"/>
    <w:rsid w:val="00164C62"/>
    <w:rsid w:val="00165638"/>
    <w:rsid w:val="00170040"/>
    <w:rsid w:val="001705BB"/>
    <w:rsid w:val="001706D4"/>
    <w:rsid w:val="00171B81"/>
    <w:rsid w:val="00172264"/>
    <w:rsid w:val="00172B0B"/>
    <w:rsid w:val="0017304C"/>
    <w:rsid w:val="001746CF"/>
    <w:rsid w:val="00174943"/>
    <w:rsid w:val="00175F65"/>
    <w:rsid w:val="00175F8F"/>
    <w:rsid w:val="00180149"/>
    <w:rsid w:val="00180CBE"/>
    <w:rsid w:val="001813CD"/>
    <w:rsid w:val="0018249B"/>
    <w:rsid w:val="0018398D"/>
    <w:rsid w:val="00183C55"/>
    <w:rsid w:val="0018418B"/>
    <w:rsid w:val="0018551D"/>
    <w:rsid w:val="001856E7"/>
    <w:rsid w:val="00186E1A"/>
    <w:rsid w:val="001876F8"/>
    <w:rsid w:val="00191DE8"/>
    <w:rsid w:val="001929E1"/>
    <w:rsid w:val="00193527"/>
    <w:rsid w:val="001946CF"/>
    <w:rsid w:val="0019526A"/>
    <w:rsid w:val="00195FFB"/>
    <w:rsid w:val="001966DB"/>
    <w:rsid w:val="00196832"/>
    <w:rsid w:val="00196B98"/>
    <w:rsid w:val="001A044B"/>
    <w:rsid w:val="001A0D4D"/>
    <w:rsid w:val="001A148D"/>
    <w:rsid w:val="001A158E"/>
    <w:rsid w:val="001A3120"/>
    <w:rsid w:val="001A4626"/>
    <w:rsid w:val="001A48D8"/>
    <w:rsid w:val="001A50F9"/>
    <w:rsid w:val="001A51F3"/>
    <w:rsid w:val="001A6468"/>
    <w:rsid w:val="001A6534"/>
    <w:rsid w:val="001A6D42"/>
    <w:rsid w:val="001B37CB"/>
    <w:rsid w:val="001B3B49"/>
    <w:rsid w:val="001B572A"/>
    <w:rsid w:val="001B66E1"/>
    <w:rsid w:val="001B72A7"/>
    <w:rsid w:val="001C04D6"/>
    <w:rsid w:val="001C088F"/>
    <w:rsid w:val="001C116C"/>
    <w:rsid w:val="001C1590"/>
    <w:rsid w:val="001C17C1"/>
    <w:rsid w:val="001C1853"/>
    <w:rsid w:val="001C193D"/>
    <w:rsid w:val="001C2772"/>
    <w:rsid w:val="001C314B"/>
    <w:rsid w:val="001C334D"/>
    <w:rsid w:val="001C37C6"/>
    <w:rsid w:val="001C3BC8"/>
    <w:rsid w:val="001C4302"/>
    <w:rsid w:val="001C49B9"/>
    <w:rsid w:val="001C728F"/>
    <w:rsid w:val="001C785E"/>
    <w:rsid w:val="001D0687"/>
    <w:rsid w:val="001D0A23"/>
    <w:rsid w:val="001D13E9"/>
    <w:rsid w:val="001D2903"/>
    <w:rsid w:val="001D3279"/>
    <w:rsid w:val="001D3A9D"/>
    <w:rsid w:val="001D41A1"/>
    <w:rsid w:val="001D45C3"/>
    <w:rsid w:val="001D4634"/>
    <w:rsid w:val="001D4F38"/>
    <w:rsid w:val="001D55A7"/>
    <w:rsid w:val="001D5A9D"/>
    <w:rsid w:val="001D61BC"/>
    <w:rsid w:val="001D6214"/>
    <w:rsid w:val="001D660F"/>
    <w:rsid w:val="001D6C31"/>
    <w:rsid w:val="001D752C"/>
    <w:rsid w:val="001D75F3"/>
    <w:rsid w:val="001E09DF"/>
    <w:rsid w:val="001E0F52"/>
    <w:rsid w:val="001E29E2"/>
    <w:rsid w:val="001E3B63"/>
    <w:rsid w:val="001E58AF"/>
    <w:rsid w:val="001F1181"/>
    <w:rsid w:val="001F141E"/>
    <w:rsid w:val="001F1877"/>
    <w:rsid w:val="001F266C"/>
    <w:rsid w:val="001F3842"/>
    <w:rsid w:val="001F38AE"/>
    <w:rsid w:val="001F49D5"/>
    <w:rsid w:val="001F4F66"/>
    <w:rsid w:val="001F5A79"/>
    <w:rsid w:val="001F5E27"/>
    <w:rsid w:val="001F5E3A"/>
    <w:rsid w:val="001F6256"/>
    <w:rsid w:val="001F6276"/>
    <w:rsid w:val="001F662D"/>
    <w:rsid w:val="001F71C7"/>
    <w:rsid w:val="00200078"/>
    <w:rsid w:val="00202F53"/>
    <w:rsid w:val="002039B9"/>
    <w:rsid w:val="00203A30"/>
    <w:rsid w:val="00204727"/>
    <w:rsid w:val="00205700"/>
    <w:rsid w:val="00206765"/>
    <w:rsid w:val="002069AC"/>
    <w:rsid w:val="00207DA9"/>
    <w:rsid w:val="002106D8"/>
    <w:rsid w:val="00210AEA"/>
    <w:rsid w:val="00212D72"/>
    <w:rsid w:val="00213DC9"/>
    <w:rsid w:val="00213F7B"/>
    <w:rsid w:val="00214182"/>
    <w:rsid w:val="0021493E"/>
    <w:rsid w:val="00214BAA"/>
    <w:rsid w:val="00215FCE"/>
    <w:rsid w:val="00216CA2"/>
    <w:rsid w:val="00216F07"/>
    <w:rsid w:val="002172FE"/>
    <w:rsid w:val="00217724"/>
    <w:rsid w:val="00217A0D"/>
    <w:rsid w:val="002215E0"/>
    <w:rsid w:val="0022377C"/>
    <w:rsid w:val="00225EC2"/>
    <w:rsid w:val="0022698E"/>
    <w:rsid w:val="00231592"/>
    <w:rsid w:val="00232611"/>
    <w:rsid w:val="00232B7B"/>
    <w:rsid w:val="00232F6E"/>
    <w:rsid w:val="00235016"/>
    <w:rsid w:val="0023569E"/>
    <w:rsid w:val="00237CEE"/>
    <w:rsid w:val="00237D6C"/>
    <w:rsid w:val="0024055B"/>
    <w:rsid w:val="00240573"/>
    <w:rsid w:val="00240EB0"/>
    <w:rsid w:val="00240EB2"/>
    <w:rsid w:val="00241F84"/>
    <w:rsid w:val="00244BD4"/>
    <w:rsid w:val="00244DDC"/>
    <w:rsid w:val="00246075"/>
    <w:rsid w:val="00250D27"/>
    <w:rsid w:val="0025149A"/>
    <w:rsid w:val="00251CA9"/>
    <w:rsid w:val="002533C7"/>
    <w:rsid w:val="00253ABA"/>
    <w:rsid w:val="00254079"/>
    <w:rsid w:val="00254390"/>
    <w:rsid w:val="00255830"/>
    <w:rsid w:val="00256700"/>
    <w:rsid w:val="00256F46"/>
    <w:rsid w:val="002572D8"/>
    <w:rsid w:val="00260786"/>
    <w:rsid w:val="00260B8A"/>
    <w:rsid w:val="00260BF4"/>
    <w:rsid w:val="0026118C"/>
    <w:rsid w:val="00261A58"/>
    <w:rsid w:val="00263D2F"/>
    <w:rsid w:val="00263EF8"/>
    <w:rsid w:val="002644DD"/>
    <w:rsid w:val="00264A61"/>
    <w:rsid w:val="00264BF3"/>
    <w:rsid w:val="00266894"/>
    <w:rsid w:val="0027046B"/>
    <w:rsid w:val="00271117"/>
    <w:rsid w:val="0027112D"/>
    <w:rsid w:val="00271513"/>
    <w:rsid w:val="00271805"/>
    <w:rsid w:val="00271912"/>
    <w:rsid w:val="00271A61"/>
    <w:rsid w:val="00272717"/>
    <w:rsid w:val="00274621"/>
    <w:rsid w:val="00274C4E"/>
    <w:rsid w:val="002768AF"/>
    <w:rsid w:val="00276A58"/>
    <w:rsid w:val="00277139"/>
    <w:rsid w:val="0027754F"/>
    <w:rsid w:val="002778DC"/>
    <w:rsid w:val="00280375"/>
    <w:rsid w:val="00282037"/>
    <w:rsid w:val="002839CE"/>
    <w:rsid w:val="00283BE3"/>
    <w:rsid w:val="00286292"/>
    <w:rsid w:val="00287E6E"/>
    <w:rsid w:val="00290A28"/>
    <w:rsid w:val="002919BD"/>
    <w:rsid w:val="00292122"/>
    <w:rsid w:val="00293E29"/>
    <w:rsid w:val="00295C03"/>
    <w:rsid w:val="002973DA"/>
    <w:rsid w:val="002A3188"/>
    <w:rsid w:val="002A3A28"/>
    <w:rsid w:val="002A47D9"/>
    <w:rsid w:val="002A614C"/>
    <w:rsid w:val="002A73E1"/>
    <w:rsid w:val="002B204C"/>
    <w:rsid w:val="002B2A69"/>
    <w:rsid w:val="002B2C72"/>
    <w:rsid w:val="002B3D01"/>
    <w:rsid w:val="002B4701"/>
    <w:rsid w:val="002B47EC"/>
    <w:rsid w:val="002B51BF"/>
    <w:rsid w:val="002B7A40"/>
    <w:rsid w:val="002B7A5B"/>
    <w:rsid w:val="002B7C71"/>
    <w:rsid w:val="002C0A7D"/>
    <w:rsid w:val="002C439E"/>
    <w:rsid w:val="002C4866"/>
    <w:rsid w:val="002C5B0A"/>
    <w:rsid w:val="002C64EC"/>
    <w:rsid w:val="002D1E75"/>
    <w:rsid w:val="002D24BE"/>
    <w:rsid w:val="002D2BB3"/>
    <w:rsid w:val="002D3936"/>
    <w:rsid w:val="002D46EA"/>
    <w:rsid w:val="002D5A33"/>
    <w:rsid w:val="002D704E"/>
    <w:rsid w:val="002D74D1"/>
    <w:rsid w:val="002D7C72"/>
    <w:rsid w:val="002E084C"/>
    <w:rsid w:val="002E0991"/>
    <w:rsid w:val="002E0E08"/>
    <w:rsid w:val="002E1140"/>
    <w:rsid w:val="002E3C1E"/>
    <w:rsid w:val="002E4347"/>
    <w:rsid w:val="002E4481"/>
    <w:rsid w:val="002E4550"/>
    <w:rsid w:val="002E6B3E"/>
    <w:rsid w:val="002E6BE7"/>
    <w:rsid w:val="002E70CD"/>
    <w:rsid w:val="002E7465"/>
    <w:rsid w:val="002E7996"/>
    <w:rsid w:val="002F0720"/>
    <w:rsid w:val="002F0E5A"/>
    <w:rsid w:val="002F16B3"/>
    <w:rsid w:val="002F1D1B"/>
    <w:rsid w:val="002F31C5"/>
    <w:rsid w:val="002F3CC9"/>
    <w:rsid w:val="002F44DD"/>
    <w:rsid w:val="002F4C27"/>
    <w:rsid w:val="002F517A"/>
    <w:rsid w:val="002F5DF1"/>
    <w:rsid w:val="002F6FC7"/>
    <w:rsid w:val="002F7B6C"/>
    <w:rsid w:val="0030062C"/>
    <w:rsid w:val="003024C9"/>
    <w:rsid w:val="00302568"/>
    <w:rsid w:val="00302BF0"/>
    <w:rsid w:val="00302C71"/>
    <w:rsid w:val="003041F6"/>
    <w:rsid w:val="003047E3"/>
    <w:rsid w:val="00305200"/>
    <w:rsid w:val="003055FA"/>
    <w:rsid w:val="00305827"/>
    <w:rsid w:val="00305CCB"/>
    <w:rsid w:val="0030603A"/>
    <w:rsid w:val="00306317"/>
    <w:rsid w:val="00306DAA"/>
    <w:rsid w:val="00310C70"/>
    <w:rsid w:val="00310E7E"/>
    <w:rsid w:val="003124BA"/>
    <w:rsid w:val="003128C2"/>
    <w:rsid w:val="00313F5F"/>
    <w:rsid w:val="00314321"/>
    <w:rsid w:val="003144B7"/>
    <w:rsid w:val="003146EB"/>
    <w:rsid w:val="00314787"/>
    <w:rsid w:val="00314AE0"/>
    <w:rsid w:val="00314E3D"/>
    <w:rsid w:val="003152C8"/>
    <w:rsid w:val="0031582D"/>
    <w:rsid w:val="00316623"/>
    <w:rsid w:val="003171D1"/>
    <w:rsid w:val="003211BF"/>
    <w:rsid w:val="003227CD"/>
    <w:rsid w:val="003233DD"/>
    <w:rsid w:val="00323588"/>
    <w:rsid w:val="003249AA"/>
    <w:rsid w:val="00325304"/>
    <w:rsid w:val="00325DD6"/>
    <w:rsid w:val="003261F7"/>
    <w:rsid w:val="0032693D"/>
    <w:rsid w:val="00326FF5"/>
    <w:rsid w:val="00327421"/>
    <w:rsid w:val="00327CB8"/>
    <w:rsid w:val="00330551"/>
    <w:rsid w:val="0033154E"/>
    <w:rsid w:val="003315AF"/>
    <w:rsid w:val="00333246"/>
    <w:rsid w:val="00333934"/>
    <w:rsid w:val="0033479B"/>
    <w:rsid w:val="003349ED"/>
    <w:rsid w:val="0033739F"/>
    <w:rsid w:val="0034003C"/>
    <w:rsid w:val="003404D8"/>
    <w:rsid w:val="00342388"/>
    <w:rsid w:val="0034246B"/>
    <w:rsid w:val="00342A58"/>
    <w:rsid w:val="00344D5C"/>
    <w:rsid w:val="00345A2E"/>
    <w:rsid w:val="00346710"/>
    <w:rsid w:val="0034742D"/>
    <w:rsid w:val="00347B7E"/>
    <w:rsid w:val="00351888"/>
    <w:rsid w:val="00351FAD"/>
    <w:rsid w:val="003539C1"/>
    <w:rsid w:val="00353D9D"/>
    <w:rsid w:val="003541C3"/>
    <w:rsid w:val="0035486E"/>
    <w:rsid w:val="003550EE"/>
    <w:rsid w:val="00356876"/>
    <w:rsid w:val="00356FD1"/>
    <w:rsid w:val="00357EF0"/>
    <w:rsid w:val="00360F8B"/>
    <w:rsid w:val="00361E83"/>
    <w:rsid w:val="00362435"/>
    <w:rsid w:val="00362F20"/>
    <w:rsid w:val="00363261"/>
    <w:rsid w:val="003657AC"/>
    <w:rsid w:val="00367F1D"/>
    <w:rsid w:val="00370703"/>
    <w:rsid w:val="0037390B"/>
    <w:rsid w:val="00373BAC"/>
    <w:rsid w:val="00373EA8"/>
    <w:rsid w:val="003747C5"/>
    <w:rsid w:val="00374900"/>
    <w:rsid w:val="00374D48"/>
    <w:rsid w:val="003766BA"/>
    <w:rsid w:val="00376B9A"/>
    <w:rsid w:val="00376CDE"/>
    <w:rsid w:val="00380304"/>
    <w:rsid w:val="00380BF9"/>
    <w:rsid w:val="003837FE"/>
    <w:rsid w:val="00383B20"/>
    <w:rsid w:val="00384ECF"/>
    <w:rsid w:val="00386570"/>
    <w:rsid w:val="003867D9"/>
    <w:rsid w:val="00386929"/>
    <w:rsid w:val="003876CA"/>
    <w:rsid w:val="00392AA2"/>
    <w:rsid w:val="00395B1B"/>
    <w:rsid w:val="003976A9"/>
    <w:rsid w:val="00397B78"/>
    <w:rsid w:val="00397E5B"/>
    <w:rsid w:val="003A09D2"/>
    <w:rsid w:val="003A1CB0"/>
    <w:rsid w:val="003A3578"/>
    <w:rsid w:val="003A4ED4"/>
    <w:rsid w:val="003A5384"/>
    <w:rsid w:val="003A79D8"/>
    <w:rsid w:val="003B0343"/>
    <w:rsid w:val="003B101C"/>
    <w:rsid w:val="003B149A"/>
    <w:rsid w:val="003B1AA4"/>
    <w:rsid w:val="003B2272"/>
    <w:rsid w:val="003B2403"/>
    <w:rsid w:val="003B2A74"/>
    <w:rsid w:val="003B376B"/>
    <w:rsid w:val="003B4531"/>
    <w:rsid w:val="003B573A"/>
    <w:rsid w:val="003B6093"/>
    <w:rsid w:val="003B713C"/>
    <w:rsid w:val="003B7733"/>
    <w:rsid w:val="003C24A9"/>
    <w:rsid w:val="003C3CCF"/>
    <w:rsid w:val="003C5288"/>
    <w:rsid w:val="003C585D"/>
    <w:rsid w:val="003C5F47"/>
    <w:rsid w:val="003C656B"/>
    <w:rsid w:val="003C7531"/>
    <w:rsid w:val="003C7698"/>
    <w:rsid w:val="003C7F60"/>
    <w:rsid w:val="003D546E"/>
    <w:rsid w:val="003D56B0"/>
    <w:rsid w:val="003D59BA"/>
    <w:rsid w:val="003D645E"/>
    <w:rsid w:val="003D7416"/>
    <w:rsid w:val="003D7984"/>
    <w:rsid w:val="003E1045"/>
    <w:rsid w:val="003E1370"/>
    <w:rsid w:val="003E2DE2"/>
    <w:rsid w:val="003E45F2"/>
    <w:rsid w:val="003E5878"/>
    <w:rsid w:val="003E5B91"/>
    <w:rsid w:val="003E6E89"/>
    <w:rsid w:val="003E70C3"/>
    <w:rsid w:val="003F0D5A"/>
    <w:rsid w:val="003F1C76"/>
    <w:rsid w:val="003F319A"/>
    <w:rsid w:val="003F3F10"/>
    <w:rsid w:val="003F4074"/>
    <w:rsid w:val="003F45A5"/>
    <w:rsid w:val="003F481A"/>
    <w:rsid w:val="003F55C0"/>
    <w:rsid w:val="003F797B"/>
    <w:rsid w:val="003F7EE7"/>
    <w:rsid w:val="00400EAF"/>
    <w:rsid w:val="0040121D"/>
    <w:rsid w:val="00401C0B"/>
    <w:rsid w:val="00401FEB"/>
    <w:rsid w:val="004021AF"/>
    <w:rsid w:val="004034B8"/>
    <w:rsid w:val="00406F50"/>
    <w:rsid w:val="0041072E"/>
    <w:rsid w:val="00411752"/>
    <w:rsid w:val="00411EEF"/>
    <w:rsid w:val="004120BB"/>
    <w:rsid w:val="00413ABA"/>
    <w:rsid w:val="00414E24"/>
    <w:rsid w:val="00415F4F"/>
    <w:rsid w:val="00417033"/>
    <w:rsid w:val="004174AC"/>
    <w:rsid w:val="00420E30"/>
    <w:rsid w:val="004213C6"/>
    <w:rsid w:val="00422E95"/>
    <w:rsid w:val="00422F52"/>
    <w:rsid w:val="004253AF"/>
    <w:rsid w:val="00425A06"/>
    <w:rsid w:val="00425DDD"/>
    <w:rsid w:val="0042734D"/>
    <w:rsid w:val="00430636"/>
    <w:rsid w:val="00430A78"/>
    <w:rsid w:val="00430B03"/>
    <w:rsid w:val="00432142"/>
    <w:rsid w:val="00432B1A"/>
    <w:rsid w:val="00433360"/>
    <w:rsid w:val="004342A8"/>
    <w:rsid w:val="004343E7"/>
    <w:rsid w:val="00434988"/>
    <w:rsid w:val="00434E97"/>
    <w:rsid w:val="00435580"/>
    <w:rsid w:val="0043569E"/>
    <w:rsid w:val="004406D1"/>
    <w:rsid w:val="00441D9F"/>
    <w:rsid w:val="0044453C"/>
    <w:rsid w:val="0044567D"/>
    <w:rsid w:val="00447B2A"/>
    <w:rsid w:val="00450A5A"/>
    <w:rsid w:val="0045235E"/>
    <w:rsid w:val="00453B20"/>
    <w:rsid w:val="00453BE9"/>
    <w:rsid w:val="004540C4"/>
    <w:rsid w:val="00455096"/>
    <w:rsid w:val="00456607"/>
    <w:rsid w:val="00457BCB"/>
    <w:rsid w:val="00460E88"/>
    <w:rsid w:val="00461745"/>
    <w:rsid w:val="00461AD8"/>
    <w:rsid w:val="004622F9"/>
    <w:rsid w:val="0046385B"/>
    <w:rsid w:val="004644BD"/>
    <w:rsid w:val="00465152"/>
    <w:rsid w:val="00465A57"/>
    <w:rsid w:val="00465C74"/>
    <w:rsid w:val="00467471"/>
    <w:rsid w:val="00467BCE"/>
    <w:rsid w:val="004701AA"/>
    <w:rsid w:val="00470DAC"/>
    <w:rsid w:val="004720FB"/>
    <w:rsid w:val="0047543F"/>
    <w:rsid w:val="00476464"/>
    <w:rsid w:val="0047650C"/>
    <w:rsid w:val="0048007D"/>
    <w:rsid w:val="00481637"/>
    <w:rsid w:val="00481913"/>
    <w:rsid w:val="00482F29"/>
    <w:rsid w:val="004832C2"/>
    <w:rsid w:val="0048351F"/>
    <w:rsid w:val="00483EC0"/>
    <w:rsid w:val="0048459B"/>
    <w:rsid w:val="00485B13"/>
    <w:rsid w:val="00485DFA"/>
    <w:rsid w:val="00485E64"/>
    <w:rsid w:val="004866CF"/>
    <w:rsid w:val="004875DE"/>
    <w:rsid w:val="0049165D"/>
    <w:rsid w:val="00491793"/>
    <w:rsid w:val="0049188F"/>
    <w:rsid w:val="00491A93"/>
    <w:rsid w:val="004926C9"/>
    <w:rsid w:val="00492B2A"/>
    <w:rsid w:val="00493F76"/>
    <w:rsid w:val="00494844"/>
    <w:rsid w:val="004957F4"/>
    <w:rsid w:val="004960E0"/>
    <w:rsid w:val="0049637B"/>
    <w:rsid w:val="00496EFB"/>
    <w:rsid w:val="00496F67"/>
    <w:rsid w:val="0049735D"/>
    <w:rsid w:val="00497A13"/>
    <w:rsid w:val="004A0E08"/>
    <w:rsid w:val="004A19A0"/>
    <w:rsid w:val="004A32FF"/>
    <w:rsid w:val="004A4C7E"/>
    <w:rsid w:val="004A5870"/>
    <w:rsid w:val="004A6AEF"/>
    <w:rsid w:val="004B1522"/>
    <w:rsid w:val="004B1A8A"/>
    <w:rsid w:val="004B29BC"/>
    <w:rsid w:val="004B3E9B"/>
    <w:rsid w:val="004B5CE4"/>
    <w:rsid w:val="004B6AEF"/>
    <w:rsid w:val="004B7313"/>
    <w:rsid w:val="004C0B79"/>
    <w:rsid w:val="004C181D"/>
    <w:rsid w:val="004C1852"/>
    <w:rsid w:val="004C194C"/>
    <w:rsid w:val="004C3680"/>
    <w:rsid w:val="004C441A"/>
    <w:rsid w:val="004C49C9"/>
    <w:rsid w:val="004C5F10"/>
    <w:rsid w:val="004C604D"/>
    <w:rsid w:val="004C636F"/>
    <w:rsid w:val="004C7E35"/>
    <w:rsid w:val="004D091D"/>
    <w:rsid w:val="004D0C7A"/>
    <w:rsid w:val="004D1213"/>
    <w:rsid w:val="004D1A05"/>
    <w:rsid w:val="004D2D14"/>
    <w:rsid w:val="004D3845"/>
    <w:rsid w:val="004D3B79"/>
    <w:rsid w:val="004D5140"/>
    <w:rsid w:val="004D5667"/>
    <w:rsid w:val="004D7E52"/>
    <w:rsid w:val="004E19DF"/>
    <w:rsid w:val="004E1FC1"/>
    <w:rsid w:val="004E2AED"/>
    <w:rsid w:val="004E3807"/>
    <w:rsid w:val="004E39DF"/>
    <w:rsid w:val="004E410B"/>
    <w:rsid w:val="004E4550"/>
    <w:rsid w:val="004E4C32"/>
    <w:rsid w:val="004E4F3B"/>
    <w:rsid w:val="004E7084"/>
    <w:rsid w:val="004E76BB"/>
    <w:rsid w:val="004F0276"/>
    <w:rsid w:val="004F03EF"/>
    <w:rsid w:val="004F193E"/>
    <w:rsid w:val="004F1C42"/>
    <w:rsid w:val="004F3438"/>
    <w:rsid w:val="004F39E5"/>
    <w:rsid w:val="004F3E75"/>
    <w:rsid w:val="004F4E59"/>
    <w:rsid w:val="004F4EDB"/>
    <w:rsid w:val="004F7369"/>
    <w:rsid w:val="004F7EAC"/>
    <w:rsid w:val="00500DB1"/>
    <w:rsid w:val="00502344"/>
    <w:rsid w:val="00502D10"/>
    <w:rsid w:val="00504F62"/>
    <w:rsid w:val="0050562B"/>
    <w:rsid w:val="00506A55"/>
    <w:rsid w:val="00506E61"/>
    <w:rsid w:val="005110CB"/>
    <w:rsid w:val="0051125E"/>
    <w:rsid w:val="00511C66"/>
    <w:rsid w:val="00513F2C"/>
    <w:rsid w:val="00514B1B"/>
    <w:rsid w:val="0051518C"/>
    <w:rsid w:val="0051581A"/>
    <w:rsid w:val="005161D9"/>
    <w:rsid w:val="0051640D"/>
    <w:rsid w:val="00517593"/>
    <w:rsid w:val="005175AB"/>
    <w:rsid w:val="005242FC"/>
    <w:rsid w:val="00524EF4"/>
    <w:rsid w:val="00526D00"/>
    <w:rsid w:val="00526D74"/>
    <w:rsid w:val="00527759"/>
    <w:rsid w:val="00530033"/>
    <w:rsid w:val="005307B2"/>
    <w:rsid w:val="00530C5E"/>
    <w:rsid w:val="00531B72"/>
    <w:rsid w:val="00531DDD"/>
    <w:rsid w:val="00531E90"/>
    <w:rsid w:val="005333F5"/>
    <w:rsid w:val="00533AF8"/>
    <w:rsid w:val="00535134"/>
    <w:rsid w:val="0053731D"/>
    <w:rsid w:val="005373FE"/>
    <w:rsid w:val="005409F0"/>
    <w:rsid w:val="00540AA3"/>
    <w:rsid w:val="00541135"/>
    <w:rsid w:val="005418AC"/>
    <w:rsid w:val="0054280A"/>
    <w:rsid w:val="00542CA8"/>
    <w:rsid w:val="00543FED"/>
    <w:rsid w:val="00545671"/>
    <w:rsid w:val="00545F1D"/>
    <w:rsid w:val="00546FDC"/>
    <w:rsid w:val="00547DE4"/>
    <w:rsid w:val="005507B0"/>
    <w:rsid w:val="005521AC"/>
    <w:rsid w:val="00552508"/>
    <w:rsid w:val="00552765"/>
    <w:rsid w:val="00554578"/>
    <w:rsid w:val="00554A80"/>
    <w:rsid w:val="00554B6B"/>
    <w:rsid w:val="005557A0"/>
    <w:rsid w:val="00556013"/>
    <w:rsid w:val="00556200"/>
    <w:rsid w:val="00556582"/>
    <w:rsid w:val="005567DA"/>
    <w:rsid w:val="005569AA"/>
    <w:rsid w:val="00557C04"/>
    <w:rsid w:val="00560D9F"/>
    <w:rsid w:val="00561441"/>
    <w:rsid w:val="00564374"/>
    <w:rsid w:val="00564544"/>
    <w:rsid w:val="00566077"/>
    <w:rsid w:val="005665A2"/>
    <w:rsid w:val="005667CA"/>
    <w:rsid w:val="00567F6C"/>
    <w:rsid w:val="00570045"/>
    <w:rsid w:val="005702BA"/>
    <w:rsid w:val="005708E6"/>
    <w:rsid w:val="00571FBE"/>
    <w:rsid w:val="005727F1"/>
    <w:rsid w:val="00572BAC"/>
    <w:rsid w:val="0057314D"/>
    <w:rsid w:val="005735DD"/>
    <w:rsid w:val="005751F3"/>
    <w:rsid w:val="00575414"/>
    <w:rsid w:val="00576900"/>
    <w:rsid w:val="00577609"/>
    <w:rsid w:val="0057773D"/>
    <w:rsid w:val="00577F09"/>
    <w:rsid w:val="00577F73"/>
    <w:rsid w:val="00581F3F"/>
    <w:rsid w:val="00583321"/>
    <w:rsid w:val="005841A5"/>
    <w:rsid w:val="00584623"/>
    <w:rsid w:val="0058480F"/>
    <w:rsid w:val="00584B54"/>
    <w:rsid w:val="00585016"/>
    <w:rsid w:val="00585A52"/>
    <w:rsid w:val="005904FF"/>
    <w:rsid w:val="005916B7"/>
    <w:rsid w:val="0059677B"/>
    <w:rsid w:val="00596F17"/>
    <w:rsid w:val="005A2278"/>
    <w:rsid w:val="005A2A0C"/>
    <w:rsid w:val="005A2FFC"/>
    <w:rsid w:val="005A43C1"/>
    <w:rsid w:val="005A4F35"/>
    <w:rsid w:val="005A6B8A"/>
    <w:rsid w:val="005A7A1F"/>
    <w:rsid w:val="005A7BA6"/>
    <w:rsid w:val="005B0BB0"/>
    <w:rsid w:val="005B1238"/>
    <w:rsid w:val="005B13A1"/>
    <w:rsid w:val="005B2345"/>
    <w:rsid w:val="005B6749"/>
    <w:rsid w:val="005B7485"/>
    <w:rsid w:val="005C2172"/>
    <w:rsid w:val="005C255C"/>
    <w:rsid w:val="005C2571"/>
    <w:rsid w:val="005C3136"/>
    <w:rsid w:val="005C4347"/>
    <w:rsid w:val="005C4ADA"/>
    <w:rsid w:val="005C515C"/>
    <w:rsid w:val="005C6304"/>
    <w:rsid w:val="005C6389"/>
    <w:rsid w:val="005C74BC"/>
    <w:rsid w:val="005C7D64"/>
    <w:rsid w:val="005D0118"/>
    <w:rsid w:val="005D0E1A"/>
    <w:rsid w:val="005D1397"/>
    <w:rsid w:val="005D1464"/>
    <w:rsid w:val="005D16AC"/>
    <w:rsid w:val="005D20D8"/>
    <w:rsid w:val="005D2F75"/>
    <w:rsid w:val="005D61DC"/>
    <w:rsid w:val="005D66BE"/>
    <w:rsid w:val="005D704E"/>
    <w:rsid w:val="005D753E"/>
    <w:rsid w:val="005D7843"/>
    <w:rsid w:val="005E070A"/>
    <w:rsid w:val="005E0FC9"/>
    <w:rsid w:val="005E11D1"/>
    <w:rsid w:val="005E136D"/>
    <w:rsid w:val="005E21E4"/>
    <w:rsid w:val="005E2227"/>
    <w:rsid w:val="005E2429"/>
    <w:rsid w:val="005E28B1"/>
    <w:rsid w:val="005E2C9C"/>
    <w:rsid w:val="005E2D04"/>
    <w:rsid w:val="005E2E9A"/>
    <w:rsid w:val="005E3E00"/>
    <w:rsid w:val="005E4160"/>
    <w:rsid w:val="005E596C"/>
    <w:rsid w:val="005E6AC2"/>
    <w:rsid w:val="005E76C8"/>
    <w:rsid w:val="005E79A8"/>
    <w:rsid w:val="005F02F7"/>
    <w:rsid w:val="005F1250"/>
    <w:rsid w:val="005F3274"/>
    <w:rsid w:val="005F35AD"/>
    <w:rsid w:val="005F36A3"/>
    <w:rsid w:val="005F4195"/>
    <w:rsid w:val="005F55AD"/>
    <w:rsid w:val="00600224"/>
    <w:rsid w:val="00601233"/>
    <w:rsid w:val="006015FC"/>
    <w:rsid w:val="00602AEB"/>
    <w:rsid w:val="0060300B"/>
    <w:rsid w:val="00603AEF"/>
    <w:rsid w:val="00604D0E"/>
    <w:rsid w:val="00604DAF"/>
    <w:rsid w:val="00604ECF"/>
    <w:rsid w:val="00605A72"/>
    <w:rsid w:val="006062EB"/>
    <w:rsid w:val="00606631"/>
    <w:rsid w:val="00606743"/>
    <w:rsid w:val="00610380"/>
    <w:rsid w:val="006103B9"/>
    <w:rsid w:val="00610A41"/>
    <w:rsid w:val="0061364F"/>
    <w:rsid w:val="0061373B"/>
    <w:rsid w:val="00614ED1"/>
    <w:rsid w:val="00615111"/>
    <w:rsid w:val="0061799B"/>
    <w:rsid w:val="0062045B"/>
    <w:rsid w:val="00620BF7"/>
    <w:rsid w:val="00621F5D"/>
    <w:rsid w:val="006247E2"/>
    <w:rsid w:val="00624903"/>
    <w:rsid w:val="006265DC"/>
    <w:rsid w:val="0062783F"/>
    <w:rsid w:val="00627A54"/>
    <w:rsid w:val="00630331"/>
    <w:rsid w:val="00633EC4"/>
    <w:rsid w:val="00633F06"/>
    <w:rsid w:val="00634521"/>
    <w:rsid w:val="00635355"/>
    <w:rsid w:val="00637135"/>
    <w:rsid w:val="00640222"/>
    <w:rsid w:val="00641681"/>
    <w:rsid w:val="006428A6"/>
    <w:rsid w:val="006429CC"/>
    <w:rsid w:val="00644A76"/>
    <w:rsid w:val="00644CAE"/>
    <w:rsid w:val="00647F59"/>
    <w:rsid w:val="006503BB"/>
    <w:rsid w:val="006507CE"/>
    <w:rsid w:val="00650C91"/>
    <w:rsid w:val="006511BB"/>
    <w:rsid w:val="0065231F"/>
    <w:rsid w:val="00652555"/>
    <w:rsid w:val="00652663"/>
    <w:rsid w:val="00654232"/>
    <w:rsid w:val="00656556"/>
    <w:rsid w:val="00656E5B"/>
    <w:rsid w:val="00656F4A"/>
    <w:rsid w:val="0065710B"/>
    <w:rsid w:val="006579DD"/>
    <w:rsid w:val="00660494"/>
    <w:rsid w:val="006604F9"/>
    <w:rsid w:val="00662ED1"/>
    <w:rsid w:val="00662EF7"/>
    <w:rsid w:val="00663964"/>
    <w:rsid w:val="00663CDE"/>
    <w:rsid w:val="0066430B"/>
    <w:rsid w:val="00665324"/>
    <w:rsid w:val="0066551A"/>
    <w:rsid w:val="00665601"/>
    <w:rsid w:val="00665BC4"/>
    <w:rsid w:val="00665FE8"/>
    <w:rsid w:val="0066653C"/>
    <w:rsid w:val="00666B60"/>
    <w:rsid w:val="006673FC"/>
    <w:rsid w:val="00667AF0"/>
    <w:rsid w:val="00667FBB"/>
    <w:rsid w:val="0067223A"/>
    <w:rsid w:val="006724D2"/>
    <w:rsid w:val="00673813"/>
    <w:rsid w:val="006744B8"/>
    <w:rsid w:val="00674F3F"/>
    <w:rsid w:val="0067637B"/>
    <w:rsid w:val="00676947"/>
    <w:rsid w:val="006769B3"/>
    <w:rsid w:val="0067709B"/>
    <w:rsid w:val="006801AD"/>
    <w:rsid w:val="006818DE"/>
    <w:rsid w:val="00682C32"/>
    <w:rsid w:val="00683345"/>
    <w:rsid w:val="00683DA4"/>
    <w:rsid w:val="00685011"/>
    <w:rsid w:val="00685492"/>
    <w:rsid w:val="00685AE4"/>
    <w:rsid w:val="00686308"/>
    <w:rsid w:val="00686A97"/>
    <w:rsid w:val="00690035"/>
    <w:rsid w:val="006901D7"/>
    <w:rsid w:val="006906A6"/>
    <w:rsid w:val="006928D9"/>
    <w:rsid w:val="00692EF3"/>
    <w:rsid w:val="006940D4"/>
    <w:rsid w:val="00694620"/>
    <w:rsid w:val="00695326"/>
    <w:rsid w:val="00697203"/>
    <w:rsid w:val="006A13C5"/>
    <w:rsid w:val="006A19FC"/>
    <w:rsid w:val="006A282E"/>
    <w:rsid w:val="006A46BC"/>
    <w:rsid w:val="006A545E"/>
    <w:rsid w:val="006A54B8"/>
    <w:rsid w:val="006A589B"/>
    <w:rsid w:val="006A5A26"/>
    <w:rsid w:val="006A5E0D"/>
    <w:rsid w:val="006A76DE"/>
    <w:rsid w:val="006B0070"/>
    <w:rsid w:val="006B0242"/>
    <w:rsid w:val="006B0E5D"/>
    <w:rsid w:val="006B1C9C"/>
    <w:rsid w:val="006B32E1"/>
    <w:rsid w:val="006B6CA0"/>
    <w:rsid w:val="006C02BC"/>
    <w:rsid w:val="006C1F32"/>
    <w:rsid w:val="006C240A"/>
    <w:rsid w:val="006C366F"/>
    <w:rsid w:val="006C3F1D"/>
    <w:rsid w:val="006C43CB"/>
    <w:rsid w:val="006C5DF2"/>
    <w:rsid w:val="006D0551"/>
    <w:rsid w:val="006D05F4"/>
    <w:rsid w:val="006D07B4"/>
    <w:rsid w:val="006D0CE5"/>
    <w:rsid w:val="006D1AEB"/>
    <w:rsid w:val="006D2F5F"/>
    <w:rsid w:val="006D3DD3"/>
    <w:rsid w:val="006D41D6"/>
    <w:rsid w:val="006D49AB"/>
    <w:rsid w:val="006D4BBD"/>
    <w:rsid w:val="006D5382"/>
    <w:rsid w:val="006D5882"/>
    <w:rsid w:val="006D6F89"/>
    <w:rsid w:val="006D76D5"/>
    <w:rsid w:val="006E0649"/>
    <w:rsid w:val="006E15C1"/>
    <w:rsid w:val="006E2FF5"/>
    <w:rsid w:val="006E4ABA"/>
    <w:rsid w:val="006E518A"/>
    <w:rsid w:val="006E51FD"/>
    <w:rsid w:val="006E6AC0"/>
    <w:rsid w:val="006E784B"/>
    <w:rsid w:val="006E7AC8"/>
    <w:rsid w:val="006F24D7"/>
    <w:rsid w:val="006F2869"/>
    <w:rsid w:val="006F288D"/>
    <w:rsid w:val="006F2D22"/>
    <w:rsid w:val="006F2F97"/>
    <w:rsid w:val="006F4FCB"/>
    <w:rsid w:val="006F50A2"/>
    <w:rsid w:val="006F6C48"/>
    <w:rsid w:val="006F6E8A"/>
    <w:rsid w:val="006F7692"/>
    <w:rsid w:val="006F7B92"/>
    <w:rsid w:val="007016F3"/>
    <w:rsid w:val="00702A90"/>
    <w:rsid w:val="00702B1B"/>
    <w:rsid w:val="00705A64"/>
    <w:rsid w:val="00705FDF"/>
    <w:rsid w:val="00706C89"/>
    <w:rsid w:val="00707F78"/>
    <w:rsid w:val="007121BC"/>
    <w:rsid w:val="00713305"/>
    <w:rsid w:val="00714862"/>
    <w:rsid w:val="0071495C"/>
    <w:rsid w:val="00715207"/>
    <w:rsid w:val="00715508"/>
    <w:rsid w:val="00715592"/>
    <w:rsid w:val="007174C4"/>
    <w:rsid w:val="00721320"/>
    <w:rsid w:val="00721ED2"/>
    <w:rsid w:val="0072249D"/>
    <w:rsid w:val="007225DE"/>
    <w:rsid w:val="0072333C"/>
    <w:rsid w:val="007236DB"/>
    <w:rsid w:val="0072395B"/>
    <w:rsid w:val="00723F84"/>
    <w:rsid w:val="00724887"/>
    <w:rsid w:val="00724973"/>
    <w:rsid w:val="0072543E"/>
    <w:rsid w:val="007255E6"/>
    <w:rsid w:val="00726650"/>
    <w:rsid w:val="00726DBB"/>
    <w:rsid w:val="00727715"/>
    <w:rsid w:val="00731E3E"/>
    <w:rsid w:val="00732213"/>
    <w:rsid w:val="007330DE"/>
    <w:rsid w:val="00733FA3"/>
    <w:rsid w:val="00736B21"/>
    <w:rsid w:val="0073755F"/>
    <w:rsid w:val="00737683"/>
    <w:rsid w:val="0073793B"/>
    <w:rsid w:val="00737F9D"/>
    <w:rsid w:val="007404D7"/>
    <w:rsid w:val="00741035"/>
    <w:rsid w:val="0074253E"/>
    <w:rsid w:val="00742739"/>
    <w:rsid w:val="00742AA4"/>
    <w:rsid w:val="00743074"/>
    <w:rsid w:val="0074373F"/>
    <w:rsid w:val="00744B5E"/>
    <w:rsid w:val="00744D36"/>
    <w:rsid w:val="00745716"/>
    <w:rsid w:val="0074675E"/>
    <w:rsid w:val="0074769A"/>
    <w:rsid w:val="007502E9"/>
    <w:rsid w:val="00750B20"/>
    <w:rsid w:val="007518C7"/>
    <w:rsid w:val="007543E2"/>
    <w:rsid w:val="007543FB"/>
    <w:rsid w:val="0075498A"/>
    <w:rsid w:val="00755B65"/>
    <w:rsid w:val="007561DF"/>
    <w:rsid w:val="0075658C"/>
    <w:rsid w:val="00756F93"/>
    <w:rsid w:val="0075764C"/>
    <w:rsid w:val="007607DF"/>
    <w:rsid w:val="00760B46"/>
    <w:rsid w:val="00761DB9"/>
    <w:rsid w:val="007625BD"/>
    <w:rsid w:val="00762800"/>
    <w:rsid w:val="007629B5"/>
    <w:rsid w:val="007641B7"/>
    <w:rsid w:val="007654A0"/>
    <w:rsid w:val="00767A30"/>
    <w:rsid w:val="00767BB0"/>
    <w:rsid w:val="007708F1"/>
    <w:rsid w:val="00771D61"/>
    <w:rsid w:val="00772092"/>
    <w:rsid w:val="00772A1E"/>
    <w:rsid w:val="00773F55"/>
    <w:rsid w:val="00774229"/>
    <w:rsid w:val="00774AC7"/>
    <w:rsid w:val="00774CD8"/>
    <w:rsid w:val="007753EC"/>
    <w:rsid w:val="007769B6"/>
    <w:rsid w:val="007803D4"/>
    <w:rsid w:val="00780ACE"/>
    <w:rsid w:val="00780E23"/>
    <w:rsid w:val="00780FF0"/>
    <w:rsid w:val="0078189A"/>
    <w:rsid w:val="00781DC7"/>
    <w:rsid w:val="00782C93"/>
    <w:rsid w:val="00782F86"/>
    <w:rsid w:val="0078341A"/>
    <w:rsid w:val="007836A0"/>
    <w:rsid w:val="007837C1"/>
    <w:rsid w:val="00783ADF"/>
    <w:rsid w:val="00783DCF"/>
    <w:rsid w:val="00783E70"/>
    <w:rsid w:val="00784F60"/>
    <w:rsid w:val="0078555C"/>
    <w:rsid w:val="00785A1B"/>
    <w:rsid w:val="00786187"/>
    <w:rsid w:val="007869AB"/>
    <w:rsid w:val="00787484"/>
    <w:rsid w:val="00790114"/>
    <w:rsid w:val="007905CB"/>
    <w:rsid w:val="00791481"/>
    <w:rsid w:val="00792C66"/>
    <w:rsid w:val="007932F9"/>
    <w:rsid w:val="007936E4"/>
    <w:rsid w:val="00794172"/>
    <w:rsid w:val="00794349"/>
    <w:rsid w:val="00796580"/>
    <w:rsid w:val="00797E69"/>
    <w:rsid w:val="007A021D"/>
    <w:rsid w:val="007A0777"/>
    <w:rsid w:val="007A0816"/>
    <w:rsid w:val="007A0EC6"/>
    <w:rsid w:val="007A1395"/>
    <w:rsid w:val="007A16A8"/>
    <w:rsid w:val="007A3930"/>
    <w:rsid w:val="007A3A60"/>
    <w:rsid w:val="007A4F32"/>
    <w:rsid w:val="007A5DC7"/>
    <w:rsid w:val="007A64D8"/>
    <w:rsid w:val="007B04CA"/>
    <w:rsid w:val="007B3B7C"/>
    <w:rsid w:val="007B6134"/>
    <w:rsid w:val="007B6280"/>
    <w:rsid w:val="007C04ED"/>
    <w:rsid w:val="007C17AD"/>
    <w:rsid w:val="007C4064"/>
    <w:rsid w:val="007C659A"/>
    <w:rsid w:val="007C6F01"/>
    <w:rsid w:val="007C6F4A"/>
    <w:rsid w:val="007D19CD"/>
    <w:rsid w:val="007D1D5D"/>
    <w:rsid w:val="007D2EC1"/>
    <w:rsid w:val="007D44D7"/>
    <w:rsid w:val="007D4AA3"/>
    <w:rsid w:val="007D5FC2"/>
    <w:rsid w:val="007D6A82"/>
    <w:rsid w:val="007D6E84"/>
    <w:rsid w:val="007D787C"/>
    <w:rsid w:val="007E0844"/>
    <w:rsid w:val="007E0868"/>
    <w:rsid w:val="007E0D7D"/>
    <w:rsid w:val="007E1D15"/>
    <w:rsid w:val="007E2B4E"/>
    <w:rsid w:val="007E2D62"/>
    <w:rsid w:val="007E3442"/>
    <w:rsid w:val="007E45E0"/>
    <w:rsid w:val="007E5D7B"/>
    <w:rsid w:val="007E6359"/>
    <w:rsid w:val="007E6669"/>
    <w:rsid w:val="007E68FD"/>
    <w:rsid w:val="007E78D1"/>
    <w:rsid w:val="007F0241"/>
    <w:rsid w:val="007F22D2"/>
    <w:rsid w:val="007F25BE"/>
    <w:rsid w:val="007F2CBD"/>
    <w:rsid w:val="007F3AA6"/>
    <w:rsid w:val="007F3F29"/>
    <w:rsid w:val="007F52B1"/>
    <w:rsid w:val="007F57D9"/>
    <w:rsid w:val="007F5C7F"/>
    <w:rsid w:val="007F7AA0"/>
    <w:rsid w:val="007F7BF9"/>
    <w:rsid w:val="008001FE"/>
    <w:rsid w:val="008009C9"/>
    <w:rsid w:val="00800BEB"/>
    <w:rsid w:val="00802B00"/>
    <w:rsid w:val="0080524D"/>
    <w:rsid w:val="008057DE"/>
    <w:rsid w:val="00805B7D"/>
    <w:rsid w:val="00807BF2"/>
    <w:rsid w:val="0081024E"/>
    <w:rsid w:val="00811AB3"/>
    <w:rsid w:val="00811C36"/>
    <w:rsid w:val="00812311"/>
    <w:rsid w:val="00812349"/>
    <w:rsid w:val="00812C80"/>
    <w:rsid w:val="00815217"/>
    <w:rsid w:val="00815249"/>
    <w:rsid w:val="00815715"/>
    <w:rsid w:val="008202B4"/>
    <w:rsid w:val="0082054E"/>
    <w:rsid w:val="00823B21"/>
    <w:rsid w:val="00823F76"/>
    <w:rsid w:val="008241E4"/>
    <w:rsid w:val="00824AD5"/>
    <w:rsid w:val="00825404"/>
    <w:rsid w:val="00825BD4"/>
    <w:rsid w:val="00826044"/>
    <w:rsid w:val="00826899"/>
    <w:rsid w:val="00827876"/>
    <w:rsid w:val="00830C14"/>
    <w:rsid w:val="0083154D"/>
    <w:rsid w:val="00831A64"/>
    <w:rsid w:val="0083244F"/>
    <w:rsid w:val="00833A0D"/>
    <w:rsid w:val="00833C31"/>
    <w:rsid w:val="00834215"/>
    <w:rsid w:val="00835425"/>
    <w:rsid w:val="00836EB4"/>
    <w:rsid w:val="00837C6E"/>
    <w:rsid w:val="00841E1E"/>
    <w:rsid w:val="00842C54"/>
    <w:rsid w:val="0084337E"/>
    <w:rsid w:val="00843A06"/>
    <w:rsid w:val="008449EE"/>
    <w:rsid w:val="00845DCF"/>
    <w:rsid w:val="00846386"/>
    <w:rsid w:val="0084687F"/>
    <w:rsid w:val="00851A49"/>
    <w:rsid w:val="00852717"/>
    <w:rsid w:val="008529B8"/>
    <w:rsid w:val="0085318F"/>
    <w:rsid w:val="00854674"/>
    <w:rsid w:val="00854961"/>
    <w:rsid w:val="00854A5A"/>
    <w:rsid w:val="00854EC8"/>
    <w:rsid w:val="008558BF"/>
    <w:rsid w:val="00855C06"/>
    <w:rsid w:val="00856A55"/>
    <w:rsid w:val="00857057"/>
    <w:rsid w:val="008607FA"/>
    <w:rsid w:val="00862179"/>
    <w:rsid w:val="008628E3"/>
    <w:rsid w:val="00863B80"/>
    <w:rsid w:val="0086553B"/>
    <w:rsid w:val="008660C5"/>
    <w:rsid w:val="00867738"/>
    <w:rsid w:val="008702E0"/>
    <w:rsid w:val="00872E3E"/>
    <w:rsid w:val="00873023"/>
    <w:rsid w:val="00874088"/>
    <w:rsid w:val="00874300"/>
    <w:rsid w:val="0087459F"/>
    <w:rsid w:val="00874A99"/>
    <w:rsid w:val="00876B6E"/>
    <w:rsid w:val="00876E40"/>
    <w:rsid w:val="008778FB"/>
    <w:rsid w:val="008803F2"/>
    <w:rsid w:val="0088069B"/>
    <w:rsid w:val="00880D2B"/>
    <w:rsid w:val="00882526"/>
    <w:rsid w:val="00882EA4"/>
    <w:rsid w:val="008840E6"/>
    <w:rsid w:val="008906E3"/>
    <w:rsid w:val="008907DD"/>
    <w:rsid w:val="00890CF5"/>
    <w:rsid w:val="00890EB8"/>
    <w:rsid w:val="0089123A"/>
    <w:rsid w:val="00892273"/>
    <w:rsid w:val="0089239E"/>
    <w:rsid w:val="008931A4"/>
    <w:rsid w:val="00893BFC"/>
    <w:rsid w:val="00893E12"/>
    <w:rsid w:val="00894AB0"/>
    <w:rsid w:val="008952F6"/>
    <w:rsid w:val="008953F4"/>
    <w:rsid w:val="00895DAE"/>
    <w:rsid w:val="008967A2"/>
    <w:rsid w:val="008A0664"/>
    <w:rsid w:val="008A10AF"/>
    <w:rsid w:val="008A1F8D"/>
    <w:rsid w:val="008A4403"/>
    <w:rsid w:val="008A46AF"/>
    <w:rsid w:val="008A638C"/>
    <w:rsid w:val="008A63BA"/>
    <w:rsid w:val="008A7EAA"/>
    <w:rsid w:val="008B0DED"/>
    <w:rsid w:val="008B0F31"/>
    <w:rsid w:val="008B267E"/>
    <w:rsid w:val="008B2D5D"/>
    <w:rsid w:val="008B4282"/>
    <w:rsid w:val="008B4729"/>
    <w:rsid w:val="008B54C5"/>
    <w:rsid w:val="008B5FC2"/>
    <w:rsid w:val="008B731A"/>
    <w:rsid w:val="008C010F"/>
    <w:rsid w:val="008C1332"/>
    <w:rsid w:val="008C19D4"/>
    <w:rsid w:val="008C37E1"/>
    <w:rsid w:val="008C3CB7"/>
    <w:rsid w:val="008C3D9C"/>
    <w:rsid w:val="008C42DE"/>
    <w:rsid w:val="008C4CD3"/>
    <w:rsid w:val="008C5E25"/>
    <w:rsid w:val="008C7547"/>
    <w:rsid w:val="008C7DE9"/>
    <w:rsid w:val="008D3495"/>
    <w:rsid w:val="008D43C1"/>
    <w:rsid w:val="008D549B"/>
    <w:rsid w:val="008D5660"/>
    <w:rsid w:val="008D59E3"/>
    <w:rsid w:val="008E0A43"/>
    <w:rsid w:val="008E14BB"/>
    <w:rsid w:val="008E17DE"/>
    <w:rsid w:val="008E1C0E"/>
    <w:rsid w:val="008E1F6E"/>
    <w:rsid w:val="008E293B"/>
    <w:rsid w:val="008E2E60"/>
    <w:rsid w:val="008E4DF6"/>
    <w:rsid w:val="008E5CEE"/>
    <w:rsid w:val="008E5F97"/>
    <w:rsid w:val="008E665C"/>
    <w:rsid w:val="008F051C"/>
    <w:rsid w:val="008F054B"/>
    <w:rsid w:val="008F0821"/>
    <w:rsid w:val="008F1716"/>
    <w:rsid w:val="008F19E2"/>
    <w:rsid w:val="008F333E"/>
    <w:rsid w:val="008F47D9"/>
    <w:rsid w:val="008F7833"/>
    <w:rsid w:val="00901D1C"/>
    <w:rsid w:val="00901DBF"/>
    <w:rsid w:val="00902AE7"/>
    <w:rsid w:val="00902C79"/>
    <w:rsid w:val="009048FC"/>
    <w:rsid w:val="00904E4A"/>
    <w:rsid w:val="00905149"/>
    <w:rsid w:val="00907392"/>
    <w:rsid w:val="00910D64"/>
    <w:rsid w:val="00912125"/>
    <w:rsid w:val="00912252"/>
    <w:rsid w:val="00912E48"/>
    <w:rsid w:val="00912F0B"/>
    <w:rsid w:val="009134A2"/>
    <w:rsid w:val="00915584"/>
    <w:rsid w:val="0091659B"/>
    <w:rsid w:val="00916C82"/>
    <w:rsid w:val="00916F00"/>
    <w:rsid w:val="00917ABA"/>
    <w:rsid w:val="00917D0F"/>
    <w:rsid w:val="00917EF3"/>
    <w:rsid w:val="00917FDB"/>
    <w:rsid w:val="00921D17"/>
    <w:rsid w:val="0092290D"/>
    <w:rsid w:val="009245A5"/>
    <w:rsid w:val="00924B55"/>
    <w:rsid w:val="00925A59"/>
    <w:rsid w:val="00930C4A"/>
    <w:rsid w:val="00931C32"/>
    <w:rsid w:val="00932CBE"/>
    <w:rsid w:val="00933BF0"/>
    <w:rsid w:val="009349C0"/>
    <w:rsid w:val="00934DCD"/>
    <w:rsid w:val="00940BF9"/>
    <w:rsid w:val="00941114"/>
    <w:rsid w:val="00941EF2"/>
    <w:rsid w:val="00941FF8"/>
    <w:rsid w:val="00942BA9"/>
    <w:rsid w:val="00945C4F"/>
    <w:rsid w:val="009472FE"/>
    <w:rsid w:val="0094750D"/>
    <w:rsid w:val="00947FFC"/>
    <w:rsid w:val="00950397"/>
    <w:rsid w:val="00951A54"/>
    <w:rsid w:val="00951E4E"/>
    <w:rsid w:val="00954384"/>
    <w:rsid w:val="0095569B"/>
    <w:rsid w:val="00960D8A"/>
    <w:rsid w:val="00961B98"/>
    <w:rsid w:val="00961C28"/>
    <w:rsid w:val="00963381"/>
    <w:rsid w:val="009634D6"/>
    <w:rsid w:val="00964449"/>
    <w:rsid w:val="00966181"/>
    <w:rsid w:val="00966C1A"/>
    <w:rsid w:val="0096761E"/>
    <w:rsid w:val="00967AFC"/>
    <w:rsid w:val="00967C6F"/>
    <w:rsid w:val="009704DB"/>
    <w:rsid w:val="009714DB"/>
    <w:rsid w:val="00971775"/>
    <w:rsid w:val="00972776"/>
    <w:rsid w:val="009730AA"/>
    <w:rsid w:val="00973801"/>
    <w:rsid w:val="00973810"/>
    <w:rsid w:val="00974C35"/>
    <w:rsid w:val="009751B8"/>
    <w:rsid w:val="00975388"/>
    <w:rsid w:val="00975647"/>
    <w:rsid w:val="00975D10"/>
    <w:rsid w:val="00975F97"/>
    <w:rsid w:val="009800C1"/>
    <w:rsid w:val="0098078F"/>
    <w:rsid w:val="00981707"/>
    <w:rsid w:val="0098348E"/>
    <w:rsid w:val="00983A7B"/>
    <w:rsid w:val="00985DF0"/>
    <w:rsid w:val="00986D43"/>
    <w:rsid w:val="00986E43"/>
    <w:rsid w:val="00987C44"/>
    <w:rsid w:val="00987D92"/>
    <w:rsid w:val="00987FC6"/>
    <w:rsid w:val="009906F9"/>
    <w:rsid w:val="00990D2B"/>
    <w:rsid w:val="00992C1B"/>
    <w:rsid w:val="00993167"/>
    <w:rsid w:val="009934BF"/>
    <w:rsid w:val="009941BB"/>
    <w:rsid w:val="009941E5"/>
    <w:rsid w:val="009942F8"/>
    <w:rsid w:val="009946FB"/>
    <w:rsid w:val="009949BB"/>
    <w:rsid w:val="009951FE"/>
    <w:rsid w:val="0099623E"/>
    <w:rsid w:val="00997BA2"/>
    <w:rsid w:val="00997D29"/>
    <w:rsid w:val="00997D7C"/>
    <w:rsid w:val="009A0077"/>
    <w:rsid w:val="009A0564"/>
    <w:rsid w:val="009A1AC9"/>
    <w:rsid w:val="009A27B4"/>
    <w:rsid w:val="009A2CC1"/>
    <w:rsid w:val="009A5B62"/>
    <w:rsid w:val="009A6EE6"/>
    <w:rsid w:val="009A7531"/>
    <w:rsid w:val="009B1F58"/>
    <w:rsid w:val="009B363A"/>
    <w:rsid w:val="009B540E"/>
    <w:rsid w:val="009B6848"/>
    <w:rsid w:val="009B7618"/>
    <w:rsid w:val="009B798C"/>
    <w:rsid w:val="009C0309"/>
    <w:rsid w:val="009C04DF"/>
    <w:rsid w:val="009C0760"/>
    <w:rsid w:val="009C2B08"/>
    <w:rsid w:val="009C41DC"/>
    <w:rsid w:val="009C5083"/>
    <w:rsid w:val="009C73D2"/>
    <w:rsid w:val="009C7846"/>
    <w:rsid w:val="009C7BC5"/>
    <w:rsid w:val="009C7DFD"/>
    <w:rsid w:val="009C7ED7"/>
    <w:rsid w:val="009D04BB"/>
    <w:rsid w:val="009D11F9"/>
    <w:rsid w:val="009D21C9"/>
    <w:rsid w:val="009D29BD"/>
    <w:rsid w:val="009D2BCF"/>
    <w:rsid w:val="009D2FFC"/>
    <w:rsid w:val="009D3A24"/>
    <w:rsid w:val="009D4A76"/>
    <w:rsid w:val="009D4B47"/>
    <w:rsid w:val="009D59A9"/>
    <w:rsid w:val="009D64C5"/>
    <w:rsid w:val="009D7161"/>
    <w:rsid w:val="009D732D"/>
    <w:rsid w:val="009D7445"/>
    <w:rsid w:val="009D747E"/>
    <w:rsid w:val="009E0A8A"/>
    <w:rsid w:val="009E1799"/>
    <w:rsid w:val="009E4EBE"/>
    <w:rsid w:val="009E52A3"/>
    <w:rsid w:val="009E66E2"/>
    <w:rsid w:val="009E7946"/>
    <w:rsid w:val="009F029B"/>
    <w:rsid w:val="009F0A9B"/>
    <w:rsid w:val="009F1AAF"/>
    <w:rsid w:val="009F3ADA"/>
    <w:rsid w:val="009F4342"/>
    <w:rsid w:val="009F4C93"/>
    <w:rsid w:val="009F6FF9"/>
    <w:rsid w:val="009F7959"/>
    <w:rsid w:val="00A004AC"/>
    <w:rsid w:val="00A00CF9"/>
    <w:rsid w:val="00A014FF"/>
    <w:rsid w:val="00A01586"/>
    <w:rsid w:val="00A01ECC"/>
    <w:rsid w:val="00A023D1"/>
    <w:rsid w:val="00A025BC"/>
    <w:rsid w:val="00A028FA"/>
    <w:rsid w:val="00A03785"/>
    <w:rsid w:val="00A0421A"/>
    <w:rsid w:val="00A04432"/>
    <w:rsid w:val="00A051E2"/>
    <w:rsid w:val="00A05310"/>
    <w:rsid w:val="00A05ACD"/>
    <w:rsid w:val="00A0664E"/>
    <w:rsid w:val="00A11B1B"/>
    <w:rsid w:val="00A1295A"/>
    <w:rsid w:val="00A12F65"/>
    <w:rsid w:val="00A13471"/>
    <w:rsid w:val="00A14299"/>
    <w:rsid w:val="00A14813"/>
    <w:rsid w:val="00A169CC"/>
    <w:rsid w:val="00A21408"/>
    <w:rsid w:val="00A21C0B"/>
    <w:rsid w:val="00A222CD"/>
    <w:rsid w:val="00A226BC"/>
    <w:rsid w:val="00A244DD"/>
    <w:rsid w:val="00A25D1D"/>
    <w:rsid w:val="00A25FE7"/>
    <w:rsid w:val="00A265E2"/>
    <w:rsid w:val="00A272AA"/>
    <w:rsid w:val="00A27380"/>
    <w:rsid w:val="00A273E1"/>
    <w:rsid w:val="00A302C7"/>
    <w:rsid w:val="00A30394"/>
    <w:rsid w:val="00A30EE9"/>
    <w:rsid w:val="00A331DC"/>
    <w:rsid w:val="00A339B0"/>
    <w:rsid w:val="00A345C6"/>
    <w:rsid w:val="00A349D6"/>
    <w:rsid w:val="00A34C01"/>
    <w:rsid w:val="00A3757A"/>
    <w:rsid w:val="00A405F0"/>
    <w:rsid w:val="00A42CEC"/>
    <w:rsid w:val="00A44217"/>
    <w:rsid w:val="00A45CA7"/>
    <w:rsid w:val="00A46692"/>
    <w:rsid w:val="00A46D6E"/>
    <w:rsid w:val="00A509DD"/>
    <w:rsid w:val="00A513FE"/>
    <w:rsid w:val="00A51F86"/>
    <w:rsid w:val="00A523B1"/>
    <w:rsid w:val="00A52A85"/>
    <w:rsid w:val="00A5475B"/>
    <w:rsid w:val="00A5561F"/>
    <w:rsid w:val="00A5772B"/>
    <w:rsid w:val="00A60111"/>
    <w:rsid w:val="00A61262"/>
    <w:rsid w:val="00A613BF"/>
    <w:rsid w:val="00A62379"/>
    <w:rsid w:val="00A62795"/>
    <w:rsid w:val="00A6336D"/>
    <w:rsid w:val="00A634DB"/>
    <w:rsid w:val="00A63ADC"/>
    <w:rsid w:val="00A64C94"/>
    <w:rsid w:val="00A65332"/>
    <w:rsid w:val="00A653A6"/>
    <w:rsid w:val="00A65468"/>
    <w:rsid w:val="00A66055"/>
    <w:rsid w:val="00A6785F"/>
    <w:rsid w:val="00A7067A"/>
    <w:rsid w:val="00A708DF"/>
    <w:rsid w:val="00A713F8"/>
    <w:rsid w:val="00A71962"/>
    <w:rsid w:val="00A71BD3"/>
    <w:rsid w:val="00A72376"/>
    <w:rsid w:val="00A72613"/>
    <w:rsid w:val="00A726BA"/>
    <w:rsid w:val="00A73367"/>
    <w:rsid w:val="00A7560D"/>
    <w:rsid w:val="00A756F5"/>
    <w:rsid w:val="00A76120"/>
    <w:rsid w:val="00A768FE"/>
    <w:rsid w:val="00A774E3"/>
    <w:rsid w:val="00A80710"/>
    <w:rsid w:val="00A80DEF"/>
    <w:rsid w:val="00A81754"/>
    <w:rsid w:val="00A8197E"/>
    <w:rsid w:val="00A81BF3"/>
    <w:rsid w:val="00A81F67"/>
    <w:rsid w:val="00A8315D"/>
    <w:rsid w:val="00A8440C"/>
    <w:rsid w:val="00A8485F"/>
    <w:rsid w:val="00A85CA1"/>
    <w:rsid w:val="00A863BA"/>
    <w:rsid w:val="00A86434"/>
    <w:rsid w:val="00A867F2"/>
    <w:rsid w:val="00A86A24"/>
    <w:rsid w:val="00A86F5F"/>
    <w:rsid w:val="00A875AF"/>
    <w:rsid w:val="00A87B26"/>
    <w:rsid w:val="00A92C1F"/>
    <w:rsid w:val="00A92EB8"/>
    <w:rsid w:val="00A935ED"/>
    <w:rsid w:val="00A9431E"/>
    <w:rsid w:val="00A946B4"/>
    <w:rsid w:val="00A94C34"/>
    <w:rsid w:val="00A95001"/>
    <w:rsid w:val="00A9519E"/>
    <w:rsid w:val="00A9760E"/>
    <w:rsid w:val="00A97B52"/>
    <w:rsid w:val="00AA0638"/>
    <w:rsid w:val="00AA1E18"/>
    <w:rsid w:val="00AA21BF"/>
    <w:rsid w:val="00AA2FFA"/>
    <w:rsid w:val="00AA4ADE"/>
    <w:rsid w:val="00AA66BA"/>
    <w:rsid w:val="00AA6AB2"/>
    <w:rsid w:val="00AA6B05"/>
    <w:rsid w:val="00AA6D26"/>
    <w:rsid w:val="00AA716D"/>
    <w:rsid w:val="00AA7BCF"/>
    <w:rsid w:val="00AB055C"/>
    <w:rsid w:val="00AB322F"/>
    <w:rsid w:val="00AB32E4"/>
    <w:rsid w:val="00AB3F6E"/>
    <w:rsid w:val="00AB4906"/>
    <w:rsid w:val="00AB5B6C"/>
    <w:rsid w:val="00AB5D63"/>
    <w:rsid w:val="00AB6053"/>
    <w:rsid w:val="00AB66A5"/>
    <w:rsid w:val="00AC0104"/>
    <w:rsid w:val="00AC011E"/>
    <w:rsid w:val="00AC0205"/>
    <w:rsid w:val="00AC3F6F"/>
    <w:rsid w:val="00AC4090"/>
    <w:rsid w:val="00AC48F2"/>
    <w:rsid w:val="00AC54D6"/>
    <w:rsid w:val="00AC5932"/>
    <w:rsid w:val="00AC671A"/>
    <w:rsid w:val="00AD009C"/>
    <w:rsid w:val="00AD0587"/>
    <w:rsid w:val="00AD0C52"/>
    <w:rsid w:val="00AD1E22"/>
    <w:rsid w:val="00AD34A1"/>
    <w:rsid w:val="00AD3B98"/>
    <w:rsid w:val="00AD40CD"/>
    <w:rsid w:val="00AD4CC5"/>
    <w:rsid w:val="00AD4E9A"/>
    <w:rsid w:val="00AE10A7"/>
    <w:rsid w:val="00AE2359"/>
    <w:rsid w:val="00AE2487"/>
    <w:rsid w:val="00AE24BF"/>
    <w:rsid w:val="00AE2870"/>
    <w:rsid w:val="00AE2FEC"/>
    <w:rsid w:val="00AE5EE3"/>
    <w:rsid w:val="00AE5FFE"/>
    <w:rsid w:val="00AE65E2"/>
    <w:rsid w:val="00AE6A0F"/>
    <w:rsid w:val="00AE6D11"/>
    <w:rsid w:val="00AF1015"/>
    <w:rsid w:val="00AF25C6"/>
    <w:rsid w:val="00AF3740"/>
    <w:rsid w:val="00AF3E8F"/>
    <w:rsid w:val="00AF4937"/>
    <w:rsid w:val="00AF4EA4"/>
    <w:rsid w:val="00AF5BE1"/>
    <w:rsid w:val="00AF6327"/>
    <w:rsid w:val="00AF76AC"/>
    <w:rsid w:val="00B01DB7"/>
    <w:rsid w:val="00B022DA"/>
    <w:rsid w:val="00B02327"/>
    <w:rsid w:val="00B02489"/>
    <w:rsid w:val="00B03DF2"/>
    <w:rsid w:val="00B04609"/>
    <w:rsid w:val="00B0603E"/>
    <w:rsid w:val="00B0615F"/>
    <w:rsid w:val="00B06867"/>
    <w:rsid w:val="00B0743D"/>
    <w:rsid w:val="00B11417"/>
    <w:rsid w:val="00B11FF5"/>
    <w:rsid w:val="00B12A97"/>
    <w:rsid w:val="00B14B9C"/>
    <w:rsid w:val="00B14E61"/>
    <w:rsid w:val="00B161ED"/>
    <w:rsid w:val="00B16B00"/>
    <w:rsid w:val="00B20087"/>
    <w:rsid w:val="00B22BCE"/>
    <w:rsid w:val="00B22CB0"/>
    <w:rsid w:val="00B230EF"/>
    <w:rsid w:val="00B24C15"/>
    <w:rsid w:val="00B24EAB"/>
    <w:rsid w:val="00B2528D"/>
    <w:rsid w:val="00B264CF"/>
    <w:rsid w:val="00B26B22"/>
    <w:rsid w:val="00B26E6A"/>
    <w:rsid w:val="00B2724F"/>
    <w:rsid w:val="00B27AD4"/>
    <w:rsid w:val="00B30AEB"/>
    <w:rsid w:val="00B30F14"/>
    <w:rsid w:val="00B33734"/>
    <w:rsid w:val="00B34947"/>
    <w:rsid w:val="00B34F65"/>
    <w:rsid w:val="00B35526"/>
    <w:rsid w:val="00B35BEF"/>
    <w:rsid w:val="00B37197"/>
    <w:rsid w:val="00B37590"/>
    <w:rsid w:val="00B401E8"/>
    <w:rsid w:val="00B40A72"/>
    <w:rsid w:val="00B40BCB"/>
    <w:rsid w:val="00B41A59"/>
    <w:rsid w:val="00B41A5A"/>
    <w:rsid w:val="00B41EE7"/>
    <w:rsid w:val="00B43DB4"/>
    <w:rsid w:val="00B455FC"/>
    <w:rsid w:val="00B45983"/>
    <w:rsid w:val="00B465C5"/>
    <w:rsid w:val="00B46A99"/>
    <w:rsid w:val="00B46AFD"/>
    <w:rsid w:val="00B46F33"/>
    <w:rsid w:val="00B500CA"/>
    <w:rsid w:val="00B50B12"/>
    <w:rsid w:val="00B50E14"/>
    <w:rsid w:val="00B517DE"/>
    <w:rsid w:val="00B51E90"/>
    <w:rsid w:val="00B51FEB"/>
    <w:rsid w:val="00B524F8"/>
    <w:rsid w:val="00B54142"/>
    <w:rsid w:val="00B54271"/>
    <w:rsid w:val="00B55088"/>
    <w:rsid w:val="00B55350"/>
    <w:rsid w:val="00B5572F"/>
    <w:rsid w:val="00B564BF"/>
    <w:rsid w:val="00B6083F"/>
    <w:rsid w:val="00B62844"/>
    <w:rsid w:val="00B631EB"/>
    <w:rsid w:val="00B6421A"/>
    <w:rsid w:val="00B64418"/>
    <w:rsid w:val="00B65A1D"/>
    <w:rsid w:val="00B66B7B"/>
    <w:rsid w:val="00B66C62"/>
    <w:rsid w:val="00B6709C"/>
    <w:rsid w:val="00B67824"/>
    <w:rsid w:val="00B70F05"/>
    <w:rsid w:val="00B711A0"/>
    <w:rsid w:val="00B71763"/>
    <w:rsid w:val="00B71B5C"/>
    <w:rsid w:val="00B71FC8"/>
    <w:rsid w:val="00B729E0"/>
    <w:rsid w:val="00B7412D"/>
    <w:rsid w:val="00B752BD"/>
    <w:rsid w:val="00B76031"/>
    <w:rsid w:val="00B777CC"/>
    <w:rsid w:val="00B8189D"/>
    <w:rsid w:val="00B82024"/>
    <w:rsid w:val="00B823DD"/>
    <w:rsid w:val="00B831D9"/>
    <w:rsid w:val="00B83306"/>
    <w:rsid w:val="00B839B9"/>
    <w:rsid w:val="00B84126"/>
    <w:rsid w:val="00B844D7"/>
    <w:rsid w:val="00B84AF3"/>
    <w:rsid w:val="00B84B8B"/>
    <w:rsid w:val="00B84E46"/>
    <w:rsid w:val="00B9042D"/>
    <w:rsid w:val="00B91090"/>
    <w:rsid w:val="00B910D5"/>
    <w:rsid w:val="00B91D05"/>
    <w:rsid w:val="00B91D6D"/>
    <w:rsid w:val="00B91EA0"/>
    <w:rsid w:val="00B92ADD"/>
    <w:rsid w:val="00B930B2"/>
    <w:rsid w:val="00B9328E"/>
    <w:rsid w:val="00B940F2"/>
    <w:rsid w:val="00B94397"/>
    <w:rsid w:val="00B94974"/>
    <w:rsid w:val="00B95F80"/>
    <w:rsid w:val="00B96507"/>
    <w:rsid w:val="00BA016C"/>
    <w:rsid w:val="00BA0F8B"/>
    <w:rsid w:val="00BA1F87"/>
    <w:rsid w:val="00BA208A"/>
    <w:rsid w:val="00BA37DC"/>
    <w:rsid w:val="00BA3ADD"/>
    <w:rsid w:val="00BA5770"/>
    <w:rsid w:val="00BA5D9D"/>
    <w:rsid w:val="00BA71A3"/>
    <w:rsid w:val="00BB0526"/>
    <w:rsid w:val="00BB073D"/>
    <w:rsid w:val="00BB0FA2"/>
    <w:rsid w:val="00BB2574"/>
    <w:rsid w:val="00BB27FE"/>
    <w:rsid w:val="00BB30FD"/>
    <w:rsid w:val="00BB3C3A"/>
    <w:rsid w:val="00BB4212"/>
    <w:rsid w:val="00BB4983"/>
    <w:rsid w:val="00BB4E7A"/>
    <w:rsid w:val="00BB6C45"/>
    <w:rsid w:val="00BB7A15"/>
    <w:rsid w:val="00BC05A7"/>
    <w:rsid w:val="00BC0640"/>
    <w:rsid w:val="00BC1241"/>
    <w:rsid w:val="00BC1AAD"/>
    <w:rsid w:val="00BC20FC"/>
    <w:rsid w:val="00BC2750"/>
    <w:rsid w:val="00BC2C42"/>
    <w:rsid w:val="00BC2C4B"/>
    <w:rsid w:val="00BC2C9A"/>
    <w:rsid w:val="00BC3283"/>
    <w:rsid w:val="00BC3E2E"/>
    <w:rsid w:val="00BC41BD"/>
    <w:rsid w:val="00BC4228"/>
    <w:rsid w:val="00BC4913"/>
    <w:rsid w:val="00BC59A0"/>
    <w:rsid w:val="00BC5B57"/>
    <w:rsid w:val="00BC5DE9"/>
    <w:rsid w:val="00BC743F"/>
    <w:rsid w:val="00BC7AC7"/>
    <w:rsid w:val="00BC7C75"/>
    <w:rsid w:val="00BD034B"/>
    <w:rsid w:val="00BD1A00"/>
    <w:rsid w:val="00BD2145"/>
    <w:rsid w:val="00BD3C9C"/>
    <w:rsid w:val="00BD58A9"/>
    <w:rsid w:val="00BD7EE3"/>
    <w:rsid w:val="00BE1013"/>
    <w:rsid w:val="00BE1102"/>
    <w:rsid w:val="00BE11DF"/>
    <w:rsid w:val="00BE141A"/>
    <w:rsid w:val="00BE1807"/>
    <w:rsid w:val="00BE38C1"/>
    <w:rsid w:val="00BE3F8F"/>
    <w:rsid w:val="00BE4892"/>
    <w:rsid w:val="00BE5D38"/>
    <w:rsid w:val="00BE7B59"/>
    <w:rsid w:val="00BF0EC6"/>
    <w:rsid w:val="00BF2D2E"/>
    <w:rsid w:val="00BF2EAE"/>
    <w:rsid w:val="00BF36DA"/>
    <w:rsid w:val="00BF3D1D"/>
    <w:rsid w:val="00BF3F50"/>
    <w:rsid w:val="00BF7704"/>
    <w:rsid w:val="00C03F8B"/>
    <w:rsid w:val="00C043A5"/>
    <w:rsid w:val="00C04710"/>
    <w:rsid w:val="00C06749"/>
    <w:rsid w:val="00C10830"/>
    <w:rsid w:val="00C110A3"/>
    <w:rsid w:val="00C12B3C"/>
    <w:rsid w:val="00C12D89"/>
    <w:rsid w:val="00C137B0"/>
    <w:rsid w:val="00C13F09"/>
    <w:rsid w:val="00C1404E"/>
    <w:rsid w:val="00C149B9"/>
    <w:rsid w:val="00C15582"/>
    <w:rsid w:val="00C155A2"/>
    <w:rsid w:val="00C155E4"/>
    <w:rsid w:val="00C16279"/>
    <w:rsid w:val="00C16C94"/>
    <w:rsid w:val="00C17266"/>
    <w:rsid w:val="00C17B5E"/>
    <w:rsid w:val="00C17DA5"/>
    <w:rsid w:val="00C21570"/>
    <w:rsid w:val="00C220EF"/>
    <w:rsid w:val="00C22656"/>
    <w:rsid w:val="00C22F3F"/>
    <w:rsid w:val="00C23110"/>
    <w:rsid w:val="00C232DD"/>
    <w:rsid w:val="00C24DC3"/>
    <w:rsid w:val="00C254C6"/>
    <w:rsid w:val="00C268BB"/>
    <w:rsid w:val="00C27082"/>
    <w:rsid w:val="00C300AE"/>
    <w:rsid w:val="00C302F3"/>
    <w:rsid w:val="00C35231"/>
    <w:rsid w:val="00C352D8"/>
    <w:rsid w:val="00C357A7"/>
    <w:rsid w:val="00C36C83"/>
    <w:rsid w:val="00C36F58"/>
    <w:rsid w:val="00C40077"/>
    <w:rsid w:val="00C40671"/>
    <w:rsid w:val="00C426D9"/>
    <w:rsid w:val="00C42C30"/>
    <w:rsid w:val="00C42D1A"/>
    <w:rsid w:val="00C454C6"/>
    <w:rsid w:val="00C45E4B"/>
    <w:rsid w:val="00C46921"/>
    <w:rsid w:val="00C47CDF"/>
    <w:rsid w:val="00C47E0E"/>
    <w:rsid w:val="00C47E3D"/>
    <w:rsid w:val="00C50080"/>
    <w:rsid w:val="00C51C94"/>
    <w:rsid w:val="00C51F23"/>
    <w:rsid w:val="00C52167"/>
    <w:rsid w:val="00C52CAA"/>
    <w:rsid w:val="00C53CDB"/>
    <w:rsid w:val="00C545AA"/>
    <w:rsid w:val="00C5462E"/>
    <w:rsid w:val="00C54CEC"/>
    <w:rsid w:val="00C5556F"/>
    <w:rsid w:val="00C5776F"/>
    <w:rsid w:val="00C57B01"/>
    <w:rsid w:val="00C613F1"/>
    <w:rsid w:val="00C61479"/>
    <w:rsid w:val="00C62329"/>
    <w:rsid w:val="00C62373"/>
    <w:rsid w:val="00C62DBC"/>
    <w:rsid w:val="00C63570"/>
    <w:rsid w:val="00C639D2"/>
    <w:rsid w:val="00C63DD4"/>
    <w:rsid w:val="00C64B76"/>
    <w:rsid w:val="00C655EF"/>
    <w:rsid w:val="00C66625"/>
    <w:rsid w:val="00C67148"/>
    <w:rsid w:val="00C67AF6"/>
    <w:rsid w:val="00C70302"/>
    <w:rsid w:val="00C70813"/>
    <w:rsid w:val="00C71D65"/>
    <w:rsid w:val="00C725A5"/>
    <w:rsid w:val="00C72FA1"/>
    <w:rsid w:val="00C73476"/>
    <w:rsid w:val="00C73C1C"/>
    <w:rsid w:val="00C73F78"/>
    <w:rsid w:val="00C740DD"/>
    <w:rsid w:val="00C75D1C"/>
    <w:rsid w:val="00C765CA"/>
    <w:rsid w:val="00C76CA2"/>
    <w:rsid w:val="00C76F2F"/>
    <w:rsid w:val="00C77968"/>
    <w:rsid w:val="00C83286"/>
    <w:rsid w:val="00C842FB"/>
    <w:rsid w:val="00C862CD"/>
    <w:rsid w:val="00C874C0"/>
    <w:rsid w:val="00C91A1C"/>
    <w:rsid w:val="00C91C5B"/>
    <w:rsid w:val="00C92A36"/>
    <w:rsid w:val="00C94E0B"/>
    <w:rsid w:val="00C95214"/>
    <w:rsid w:val="00C95975"/>
    <w:rsid w:val="00C95CDE"/>
    <w:rsid w:val="00C9717A"/>
    <w:rsid w:val="00C97D03"/>
    <w:rsid w:val="00CA081F"/>
    <w:rsid w:val="00CA0E34"/>
    <w:rsid w:val="00CA1299"/>
    <w:rsid w:val="00CA1FEA"/>
    <w:rsid w:val="00CA2F62"/>
    <w:rsid w:val="00CA38C4"/>
    <w:rsid w:val="00CA4294"/>
    <w:rsid w:val="00CA4AE7"/>
    <w:rsid w:val="00CA778C"/>
    <w:rsid w:val="00CB03F7"/>
    <w:rsid w:val="00CB1773"/>
    <w:rsid w:val="00CB389B"/>
    <w:rsid w:val="00CB48D0"/>
    <w:rsid w:val="00CB4FB3"/>
    <w:rsid w:val="00CB54D1"/>
    <w:rsid w:val="00CB7B28"/>
    <w:rsid w:val="00CC06BB"/>
    <w:rsid w:val="00CC0A6F"/>
    <w:rsid w:val="00CC0ED5"/>
    <w:rsid w:val="00CC18F4"/>
    <w:rsid w:val="00CC18F5"/>
    <w:rsid w:val="00CC2ADC"/>
    <w:rsid w:val="00CC34F0"/>
    <w:rsid w:val="00CC4BD5"/>
    <w:rsid w:val="00CC50AA"/>
    <w:rsid w:val="00CC6184"/>
    <w:rsid w:val="00CC6C8D"/>
    <w:rsid w:val="00CD0609"/>
    <w:rsid w:val="00CD08C1"/>
    <w:rsid w:val="00CD0CFD"/>
    <w:rsid w:val="00CD0F4A"/>
    <w:rsid w:val="00CD1F01"/>
    <w:rsid w:val="00CD3232"/>
    <w:rsid w:val="00CD40F8"/>
    <w:rsid w:val="00CD43B0"/>
    <w:rsid w:val="00CD6495"/>
    <w:rsid w:val="00CD73E8"/>
    <w:rsid w:val="00CE4043"/>
    <w:rsid w:val="00CE476B"/>
    <w:rsid w:val="00CE4ACF"/>
    <w:rsid w:val="00CE58D3"/>
    <w:rsid w:val="00CE72A4"/>
    <w:rsid w:val="00CF07D6"/>
    <w:rsid w:val="00CF17F0"/>
    <w:rsid w:val="00CF1857"/>
    <w:rsid w:val="00CF51D0"/>
    <w:rsid w:val="00CF6418"/>
    <w:rsid w:val="00CF65EC"/>
    <w:rsid w:val="00CF7FD8"/>
    <w:rsid w:val="00D0069C"/>
    <w:rsid w:val="00D01164"/>
    <w:rsid w:val="00D01D1F"/>
    <w:rsid w:val="00D037D9"/>
    <w:rsid w:val="00D06F1D"/>
    <w:rsid w:val="00D07158"/>
    <w:rsid w:val="00D07B0C"/>
    <w:rsid w:val="00D100B0"/>
    <w:rsid w:val="00D111EC"/>
    <w:rsid w:val="00D113DB"/>
    <w:rsid w:val="00D11846"/>
    <w:rsid w:val="00D11D7B"/>
    <w:rsid w:val="00D12C25"/>
    <w:rsid w:val="00D13608"/>
    <w:rsid w:val="00D16277"/>
    <w:rsid w:val="00D1628D"/>
    <w:rsid w:val="00D1648B"/>
    <w:rsid w:val="00D16632"/>
    <w:rsid w:val="00D16D65"/>
    <w:rsid w:val="00D177D6"/>
    <w:rsid w:val="00D20141"/>
    <w:rsid w:val="00D20358"/>
    <w:rsid w:val="00D204E5"/>
    <w:rsid w:val="00D20559"/>
    <w:rsid w:val="00D22920"/>
    <w:rsid w:val="00D22B05"/>
    <w:rsid w:val="00D22F41"/>
    <w:rsid w:val="00D233EC"/>
    <w:rsid w:val="00D23F48"/>
    <w:rsid w:val="00D25A09"/>
    <w:rsid w:val="00D27C99"/>
    <w:rsid w:val="00D31D4D"/>
    <w:rsid w:val="00D32386"/>
    <w:rsid w:val="00D33B0B"/>
    <w:rsid w:val="00D34DDD"/>
    <w:rsid w:val="00D354C8"/>
    <w:rsid w:val="00D35A36"/>
    <w:rsid w:val="00D35A5C"/>
    <w:rsid w:val="00D370DB"/>
    <w:rsid w:val="00D40352"/>
    <w:rsid w:val="00D4084A"/>
    <w:rsid w:val="00D4201F"/>
    <w:rsid w:val="00D42336"/>
    <w:rsid w:val="00D42739"/>
    <w:rsid w:val="00D42DDC"/>
    <w:rsid w:val="00D42F64"/>
    <w:rsid w:val="00D43BCF"/>
    <w:rsid w:val="00D440B6"/>
    <w:rsid w:val="00D44222"/>
    <w:rsid w:val="00D44516"/>
    <w:rsid w:val="00D45835"/>
    <w:rsid w:val="00D469F5"/>
    <w:rsid w:val="00D4707B"/>
    <w:rsid w:val="00D47316"/>
    <w:rsid w:val="00D47327"/>
    <w:rsid w:val="00D47AA7"/>
    <w:rsid w:val="00D47B78"/>
    <w:rsid w:val="00D50428"/>
    <w:rsid w:val="00D51507"/>
    <w:rsid w:val="00D516EB"/>
    <w:rsid w:val="00D518A3"/>
    <w:rsid w:val="00D51A40"/>
    <w:rsid w:val="00D53ACA"/>
    <w:rsid w:val="00D54ED1"/>
    <w:rsid w:val="00D55862"/>
    <w:rsid w:val="00D5670C"/>
    <w:rsid w:val="00D607F7"/>
    <w:rsid w:val="00D60FAB"/>
    <w:rsid w:val="00D61489"/>
    <w:rsid w:val="00D61F01"/>
    <w:rsid w:val="00D62688"/>
    <w:rsid w:val="00D63AD6"/>
    <w:rsid w:val="00D64522"/>
    <w:rsid w:val="00D6482A"/>
    <w:rsid w:val="00D64C39"/>
    <w:rsid w:val="00D64F5C"/>
    <w:rsid w:val="00D64F9C"/>
    <w:rsid w:val="00D65B13"/>
    <w:rsid w:val="00D65E87"/>
    <w:rsid w:val="00D662EC"/>
    <w:rsid w:val="00D70E81"/>
    <w:rsid w:val="00D71391"/>
    <w:rsid w:val="00D7239A"/>
    <w:rsid w:val="00D72EEE"/>
    <w:rsid w:val="00D7326C"/>
    <w:rsid w:val="00D73A35"/>
    <w:rsid w:val="00D73ACD"/>
    <w:rsid w:val="00D73B8F"/>
    <w:rsid w:val="00D745C0"/>
    <w:rsid w:val="00D761B5"/>
    <w:rsid w:val="00D761CF"/>
    <w:rsid w:val="00D77029"/>
    <w:rsid w:val="00D7762A"/>
    <w:rsid w:val="00D77664"/>
    <w:rsid w:val="00D77F0F"/>
    <w:rsid w:val="00D80811"/>
    <w:rsid w:val="00D80977"/>
    <w:rsid w:val="00D809DE"/>
    <w:rsid w:val="00D81911"/>
    <w:rsid w:val="00D81C66"/>
    <w:rsid w:val="00D82104"/>
    <w:rsid w:val="00D82D8E"/>
    <w:rsid w:val="00D833CA"/>
    <w:rsid w:val="00D8388E"/>
    <w:rsid w:val="00D83B9B"/>
    <w:rsid w:val="00D83CE5"/>
    <w:rsid w:val="00D83E74"/>
    <w:rsid w:val="00D83F90"/>
    <w:rsid w:val="00D846FF"/>
    <w:rsid w:val="00D84B77"/>
    <w:rsid w:val="00D84BD1"/>
    <w:rsid w:val="00D850C1"/>
    <w:rsid w:val="00D85F8E"/>
    <w:rsid w:val="00D878DC"/>
    <w:rsid w:val="00D87E68"/>
    <w:rsid w:val="00D90E9F"/>
    <w:rsid w:val="00D91430"/>
    <w:rsid w:val="00D922E7"/>
    <w:rsid w:val="00D92B02"/>
    <w:rsid w:val="00D940B3"/>
    <w:rsid w:val="00D9441B"/>
    <w:rsid w:val="00D95013"/>
    <w:rsid w:val="00D95F7D"/>
    <w:rsid w:val="00D966D3"/>
    <w:rsid w:val="00D975ED"/>
    <w:rsid w:val="00D9798B"/>
    <w:rsid w:val="00D97B27"/>
    <w:rsid w:val="00DA008D"/>
    <w:rsid w:val="00DA0146"/>
    <w:rsid w:val="00DA0938"/>
    <w:rsid w:val="00DA1032"/>
    <w:rsid w:val="00DA1DC2"/>
    <w:rsid w:val="00DA2D9F"/>
    <w:rsid w:val="00DA36CD"/>
    <w:rsid w:val="00DA42F2"/>
    <w:rsid w:val="00DA44F8"/>
    <w:rsid w:val="00DA4622"/>
    <w:rsid w:val="00DA4BD0"/>
    <w:rsid w:val="00DA5EA2"/>
    <w:rsid w:val="00DA6681"/>
    <w:rsid w:val="00DB00B5"/>
    <w:rsid w:val="00DB1903"/>
    <w:rsid w:val="00DB1B5F"/>
    <w:rsid w:val="00DB21F8"/>
    <w:rsid w:val="00DB2304"/>
    <w:rsid w:val="00DB297C"/>
    <w:rsid w:val="00DB35A5"/>
    <w:rsid w:val="00DB3641"/>
    <w:rsid w:val="00DB382A"/>
    <w:rsid w:val="00DB3FEF"/>
    <w:rsid w:val="00DB41E4"/>
    <w:rsid w:val="00DB462A"/>
    <w:rsid w:val="00DB4B61"/>
    <w:rsid w:val="00DB5F5F"/>
    <w:rsid w:val="00DB6EB9"/>
    <w:rsid w:val="00DB748D"/>
    <w:rsid w:val="00DC0294"/>
    <w:rsid w:val="00DC1ED0"/>
    <w:rsid w:val="00DC217C"/>
    <w:rsid w:val="00DC2B83"/>
    <w:rsid w:val="00DC323D"/>
    <w:rsid w:val="00DC4732"/>
    <w:rsid w:val="00DC5278"/>
    <w:rsid w:val="00DC7768"/>
    <w:rsid w:val="00DC7D06"/>
    <w:rsid w:val="00DD06BB"/>
    <w:rsid w:val="00DD0B18"/>
    <w:rsid w:val="00DD49F8"/>
    <w:rsid w:val="00DD6BA3"/>
    <w:rsid w:val="00DD7198"/>
    <w:rsid w:val="00DD7BAB"/>
    <w:rsid w:val="00DE0CDB"/>
    <w:rsid w:val="00DE0D89"/>
    <w:rsid w:val="00DE247F"/>
    <w:rsid w:val="00DE383A"/>
    <w:rsid w:val="00DE51D6"/>
    <w:rsid w:val="00DE52B7"/>
    <w:rsid w:val="00DE59CF"/>
    <w:rsid w:val="00DF025E"/>
    <w:rsid w:val="00DF1904"/>
    <w:rsid w:val="00DF29FD"/>
    <w:rsid w:val="00DF2FC0"/>
    <w:rsid w:val="00DF64D4"/>
    <w:rsid w:val="00DF68A0"/>
    <w:rsid w:val="00DF6EA7"/>
    <w:rsid w:val="00E0006B"/>
    <w:rsid w:val="00E001C9"/>
    <w:rsid w:val="00E016CB"/>
    <w:rsid w:val="00E029D3"/>
    <w:rsid w:val="00E02A91"/>
    <w:rsid w:val="00E03C8B"/>
    <w:rsid w:val="00E0582A"/>
    <w:rsid w:val="00E05E80"/>
    <w:rsid w:val="00E0679F"/>
    <w:rsid w:val="00E070B1"/>
    <w:rsid w:val="00E07CC9"/>
    <w:rsid w:val="00E10448"/>
    <w:rsid w:val="00E11387"/>
    <w:rsid w:val="00E11971"/>
    <w:rsid w:val="00E11F1E"/>
    <w:rsid w:val="00E12C98"/>
    <w:rsid w:val="00E12CD8"/>
    <w:rsid w:val="00E132EB"/>
    <w:rsid w:val="00E13906"/>
    <w:rsid w:val="00E14EC1"/>
    <w:rsid w:val="00E15452"/>
    <w:rsid w:val="00E17A57"/>
    <w:rsid w:val="00E20791"/>
    <w:rsid w:val="00E21D43"/>
    <w:rsid w:val="00E22151"/>
    <w:rsid w:val="00E22734"/>
    <w:rsid w:val="00E22C93"/>
    <w:rsid w:val="00E23582"/>
    <w:rsid w:val="00E23B28"/>
    <w:rsid w:val="00E253CF"/>
    <w:rsid w:val="00E26EC4"/>
    <w:rsid w:val="00E27719"/>
    <w:rsid w:val="00E31433"/>
    <w:rsid w:val="00E3243C"/>
    <w:rsid w:val="00E34231"/>
    <w:rsid w:val="00E3452E"/>
    <w:rsid w:val="00E346EA"/>
    <w:rsid w:val="00E34DCF"/>
    <w:rsid w:val="00E3506F"/>
    <w:rsid w:val="00E363B3"/>
    <w:rsid w:val="00E3688C"/>
    <w:rsid w:val="00E404FE"/>
    <w:rsid w:val="00E40CD4"/>
    <w:rsid w:val="00E42153"/>
    <w:rsid w:val="00E42B61"/>
    <w:rsid w:val="00E4397D"/>
    <w:rsid w:val="00E439FD"/>
    <w:rsid w:val="00E44989"/>
    <w:rsid w:val="00E5003D"/>
    <w:rsid w:val="00E50640"/>
    <w:rsid w:val="00E50968"/>
    <w:rsid w:val="00E50A73"/>
    <w:rsid w:val="00E51280"/>
    <w:rsid w:val="00E512F2"/>
    <w:rsid w:val="00E53CE4"/>
    <w:rsid w:val="00E562D4"/>
    <w:rsid w:val="00E630B7"/>
    <w:rsid w:val="00E658C1"/>
    <w:rsid w:val="00E65BF8"/>
    <w:rsid w:val="00E65C5D"/>
    <w:rsid w:val="00E661A9"/>
    <w:rsid w:val="00E70940"/>
    <w:rsid w:val="00E70CC1"/>
    <w:rsid w:val="00E70D7E"/>
    <w:rsid w:val="00E71F05"/>
    <w:rsid w:val="00E7328E"/>
    <w:rsid w:val="00E75613"/>
    <w:rsid w:val="00E75E9D"/>
    <w:rsid w:val="00E7635F"/>
    <w:rsid w:val="00E76AB2"/>
    <w:rsid w:val="00E77628"/>
    <w:rsid w:val="00E77EF6"/>
    <w:rsid w:val="00E80B14"/>
    <w:rsid w:val="00E80D26"/>
    <w:rsid w:val="00E80E03"/>
    <w:rsid w:val="00E80FB8"/>
    <w:rsid w:val="00E84E27"/>
    <w:rsid w:val="00E856F3"/>
    <w:rsid w:val="00E8632A"/>
    <w:rsid w:val="00E8726B"/>
    <w:rsid w:val="00E87E5D"/>
    <w:rsid w:val="00E904F5"/>
    <w:rsid w:val="00E92907"/>
    <w:rsid w:val="00E93510"/>
    <w:rsid w:val="00E93847"/>
    <w:rsid w:val="00E93DE1"/>
    <w:rsid w:val="00E93E46"/>
    <w:rsid w:val="00E943B3"/>
    <w:rsid w:val="00E96239"/>
    <w:rsid w:val="00EA099F"/>
    <w:rsid w:val="00EA0C52"/>
    <w:rsid w:val="00EA1534"/>
    <w:rsid w:val="00EA3CB4"/>
    <w:rsid w:val="00EA414C"/>
    <w:rsid w:val="00EA438F"/>
    <w:rsid w:val="00EA472B"/>
    <w:rsid w:val="00EA5915"/>
    <w:rsid w:val="00EB0B90"/>
    <w:rsid w:val="00EB1763"/>
    <w:rsid w:val="00EB21F3"/>
    <w:rsid w:val="00EB271E"/>
    <w:rsid w:val="00EB2D6B"/>
    <w:rsid w:val="00EB31C3"/>
    <w:rsid w:val="00EB35A1"/>
    <w:rsid w:val="00EB3ECF"/>
    <w:rsid w:val="00EB602B"/>
    <w:rsid w:val="00EB6A0E"/>
    <w:rsid w:val="00EB6D4F"/>
    <w:rsid w:val="00EB7B57"/>
    <w:rsid w:val="00EC1F8A"/>
    <w:rsid w:val="00EC4397"/>
    <w:rsid w:val="00EC4747"/>
    <w:rsid w:val="00EC4A00"/>
    <w:rsid w:val="00EC4C97"/>
    <w:rsid w:val="00EC5D2C"/>
    <w:rsid w:val="00EC62B5"/>
    <w:rsid w:val="00EC77BF"/>
    <w:rsid w:val="00EC7A64"/>
    <w:rsid w:val="00ED1102"/>
    <w:rsid w:val="00ED2D94"/>
    <w:rsid w:val="00ED42EE"/>
    <w:rsid w:val="00ED7A5B"/>
    <w:rsid w:val="00EE15C5"/>
    <w:rsid w:val="00EE1715"/>
    <w:rsid w:val="00EE200D"/>
    <w:rsid w:val="00EE5CAF"/>
    <w:rsid w:val="00EE64AA"/>
    <w:rsid w:val="00EE666B"/>
    <w:rsid w:val="00EF0B69"/>
    <w:rsid w:val="00EF1FFC"/>
    <w:rsid w:val="00EF213C"/>
    <w:rsid w:val="00EF34EA"/>
    <w:rsid w:val="00EF3635"/>
    <w:rsid w:val="00EF39D0"/>
    <w:rsid w:val="00EF4C4D"/>
    <w:rsid w:val="00EF4FF2"/>
    <w:rsid w:val="00EF5A94"/>
    <w:rsid w:val="00EF6162"/>
    <w:rsid w:val="00F00051"/>
    <w:rsid w:val="00F00772"/>
    <w:rsid w:val="00F00EB0"/>
    <w:rsid w:val="00F01385"/>
    <w:rsid w:val="00F019D5"/>
    <w:rsid w:val="00F01B6F"/>
    <w:rsid w:val="00F03382"/>
    <w:rsid w:val="00F049D0"/>
    <w:rsid w:val="00F0569E"/>
    <w:rsid w:val="00F06093"/>
    <w:rsid w:val="00F06165"/>
    <w:rsid w:val="00F0628E"/>
    <w:rsid w:val="00F114E9"/>
    <w:rsid w:val="00F17745"/>
    <w:rsid w:val="00F17E28"/>
    <w:rsid w:val="00F17E31"/>
    <w:rsid w:val="00F20315"/>
    <w:rsid w:val="00F20E5B"/>
    <w:rsid w:val="00F2142B"/>
    <w:rsid w:val="00F22852"/>
    <w:rsid w:val="00F23067"/>
    <w:rsid w:val="00F247BB"/>
    <w:rsid w:val="00F25024"/>
    <w:rsid w:val="00F250CB"/>
    <w:rsid w:val="00F25D2D"/>
    <w:rsid w:val="00F265FA"/>
    <w:rsid w:val="00F271F8"/>
    <w:rsid w:val="00F303EC"/>
    <w:rsid w:val="00F310C0"/>
    <w:rsid w:val="00F31539"/>
    <w:rsid w:val="00F32513"/>
    <w:rsid w:val="00F32AFE"/>
    <w:rsid w:val="00F3305D"/>
    <w:rsid w:val="00F33975"/>
    <w:rsid w:val="00F345B8"/>
    <w:rsid w:val="00F35404"/>
    <w:rsid w:val="00F37198"/>
    <w:rsid w:val="00F37E00"/>
    <w:rsid w:val="00F40494"/>
    <w:rsid w:val="00F40765"/>
    <w:rsid w:val="00F4119E"/>
    <w:rsid w:val="00F41966"/>
    <w:rsid w:val="00F4292C"/>
    <w:rsid w:val="00F42DB3"/>
    <w:rsid w:val="00F435CC"/>
    <w:rsid w:val="00F43AEB"/>
    <w:rsid w:val="00F43C9A"/>
    <w:rsid w:val="00F44095"/>
    <w:rsid w:val="00F44E88"/>
    <w:rsid w:val="00F44FC6"/>
    <w:rsid w:val="00F45270"/>
    <w:rsid w:val="00F47DB6"/>
    <w:rsid w:val="00F47F70"/>
    <w:rsid w:val="00F5155E"/>
    <w:rsid w:val="00F51F52"/>
    <w:rsid w:val="00F52070"/>
    <w:rsid w:val="00F526EE"/>
    <w:rsid w:val="00F52833"/>
    <w:rsid w:val="00F52866"/>
    <w:rsid w:val="00F52B79"/>
    <w:rsid w:val="00F5406F"/>
    <w:rsid w:val="00F55CB0"/>
    <w:rsid w:val="00F5720D"/>
    <w:rsid w:val="00F57607"/>
    <w:rsid w:val="00F5770E"/>
    <w:rsid w:val="00F57955"/>
    <w:rsid w:val="00F6141B"/>
    <w:rsid w:val="00F6362A"/>
    <w:rsid w:val="00F66277"/>
    <w:rsid w:val="00F6681D"/>
    <w:rsid w:val="00F66CF7"/>
    <w:rsid w:val="00F70CDB"/>
    <w:rsid w:val="00F7109D"/>
    <w:rsid w:val="00F7162D"/>
    <w:rsid w:val="00F7342C"/>
    <w:rsid w:val="00F748DA"/>
    <w:rsid w:val="00F75A05"/>
    <w:rsid w:val="00F75B32"/>
    <w:rsid w:val="00F76335"/>
    <w:rsid w:val="00F76D23"/>
    <w:rsid w:val="00F77469"/>
    <w:rsid w:val="00F7795C"/>
    <w:rsid w:val="00F80470"/>
    <w:rsid w:val="00F8281C"/>
    <w:rsid w:val="00F82AEC"/>
    <w:rsid w:val="00F82F27"/>
    <w:rsid w:val="00F83529"/>
    <w:rsid w:val="00F838BA"/>
    <w:rsid w:val="00F84563"/>
    <w:rsid w:val="00F867B2"/>
    <w:rsid w:val="00F86810"/>
    <w:rsid w:val="00F87954"/>
    <w:rsid w:val="00F910ED"/>
    <w:rsid w:val="00F91BC5"/>
    <w:rsid w:val="00F91F7C"/>
    <w:rsid w:val="00F923C9"/>
    <w:rsid w:val="00F942B3"/>
    <w:rsid w:val="00F946C3"/>
    <w:rsid w:val="00F9475C"/>
    <w:rsid w:val="00F96C80"/>
    <w:rsid w:val="00F96D06"/>
    <w:rsid w:val="00F96DB0"/>
    <w:rsid w:val="00F96DE1"/>
    <w:rsid w:val="00F96FCE"/>
    <w:rsid w:val="00F97EA5"/>
    <w:rsid w:val="00FA045E"/>
    <w:rsid w:val="00FA0EA9"/>
    <w:rsid w:val="00FA21DD"/>
    <w:rsid w:val="00FA27E3"/>
    <w:rsid w:val="00FA2D6E"/>
    <w:rsid w:val="00FA2E2B"/>
    <w:rsid w:val="00FA3D4E"/>
    <w:rsid w:val="00FA4448"/>
    <w:rsid w:val="00FA4A3A"/>
    <w:rsid w:val="00FA5EF5"/>
    <w:rsid w:val="00FA6E0B"/>
    <w:rsid w:val="00FA7A39"/>
    <w:rsid w:val="00FA7BC4"/>
    <w:rsid w:val="00FA7F79"/>
    <w:rsid w:val="00FB1121"/>
    <w:rsid w:val="00FB22AD"/>
    <w:rsid w:val="00FB2E6F"/>
    <w:rsid w:val="00FB2EFD"/>
    <w:rsid w:val="00FB36A5"/>
    <w:rsid w:val="00FB7158"/>
    <w:rsid w:val="00FC0DAB"/>
    <w:rsid w:val="00FC1559"/>
    <w:rsid w:val="00FC18A8"/>
    <w:rsid w:val="00FC2180"/>
    <w:rsid w:val="00FC2D0E"/>
    <w:rsid w:val="00FC3F99"/>
    <w:rsid w:val="00FC47CE"/>
    <w:rsid w:val="00FC63A4"/>
    <w:rsid w:val="00FC65B0"/>
    <w:rsid w:val="00FC78FA"/>
    <w:rsid w:val="00FD093E"/>
    <w:rsid w:val="00FD0FAE"/>
    <w:rsid w:val="00FD152E"/>
    <w:rsid w:val="00FD174D"/>
    <w:rsid w:val="00FD281D"/>
    <w:rsid w:val="00FD2C53"/>
    <w:rsid w:val="00FD3912"/>
    <w:rsid w:val="00FD5F69"/>
    <w:rsid w:val="00FD72F3"/>
    <w:rsid w:val="00FD7EC2"/>
    <w:rsid w:val="00FE2565"/>
    <w:rsid w:val="00FE2A3E"/>
    <w:rsid w:val="00FE2EE8"/>
    <w:rsid w:val="00FE315D"/>
    <w:rsid w:val="00FE44A8"/>
    <w:rsid w:val="00FE4D23"/>
    <w:rsid w:val="00FE53CF"/>
    <w:rsid w:val="00FE55CC"/>
    <w:rsid w:val="00FE6580"/>
    <w:rsid w:val="00FE684C"/>
    <w:rsid w:val="00FE6D9C"/>
    <w:rsid w:val="00FE7E7B"/>
    <w:rsid w:val="00FF171A"/>
    <w:rsid w:val="00FF30C9"/>
    <w:rsid w:val="00FF3362"/>
    <w:rsid w:val="00FF64D0"/>
    <w:rsid w:val="00FF6B15"/>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5915"/>
  <w15:docId w15:val="{BC719DE6-28AB-4A32-9A2E-9CE2498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778FB"/>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uiPriority w:val="99"/>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ListParagraphChar">
    <w:name w:val="List Paragraph Char"/>
    <w:link w:val="ListParagraph"/>
    <w:uiPriority w:val="34"/>
    <w:locked/>
    <w:rsid w:val="00047335"/>
  </w:style>
  <w:style w:type="paragraph" w:styleId="ListParagraph">
    <w:name w:val="List Paragraph"/>
    <w:basedOn w:val="Normal"/>
    <w:link w:val="ListParagraphChar"/>
    <w:uiPriority w:val="34"/>
    <w:qFormat/>
    <w:rsid w:val="00047335"/>
    <w:pPr>
      <w:ind w:left="720"/>
      <w:contextualSpacing/>
    </w:pPr>
  </w:style>
  <w:style w:type="character" w:styleId="Strong">
    <w:name w:val="Strong"/>
    <w:basedOn w:val="DefaultParagraphFont"/>
    <w:uiPriority w:val="22"/>
    <w:qFormat/>
    <w:rsid w:val="003766BA"/>
    <w:rPr>
      <w:b/>
      <w:bCs/>
    </w:rPr>
  </w:style>
  <w:style w:type="character" w:styleId="UnresolvedMention">
    <w:name w:val="Unresolved Mention"/>
    <w:basedOn w:val="DefaultParagraphFont"/>
    <w:uiPriority w:val="99"/>
    <w:semiHidden/>
    <w:unhideWhenUsed/>
    <w:rsid w:val="003E2DE2"/>
    <w:rPr>
      <w:color w:val="605E5C"/>
      <w:shd w:val="clear" w:color="auto" w:fill="E1DFDD"/>
    </w:rPr>
  </w:style>
  <w:style w:type="paragraph" w:styleId="NormalWeb">
    <w:name w:val="Normal (Web)"/>
    <w:basedOn w:val="Normal"/>
    <w:uiPriority w:val="99"/>
    <w:semiHidden/>
    <w:unhideWhenUsed/>
    <w:rsid w:val="00DB29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754">
      <w:bodyDiv w:val="1"/>
      <w:marLeft w:val="0"/>
      <w:marRight w:val="0"/>
      <w:marTop w:val="0"/>
      <w:marBottom w:val="0"/>
      <w:divBdr>
        <w:top w:val="none" w:sz="0" w:space="0" w:color="auto"/>
        <w:left w:val="none" w:sz="0" w:space="0" w:color="auto"/>
        <w:bottom w:val="none" w:sz="0" w:space="0" w:color="auto"/>
        <w:right w:val="none" w:sz="0" w:space="0" w:color="auto"/>
      </w:divBdr>
    </w:div>
    <w:div w:id="96680015">
      <w:bodyDiv w:val="1"/>
      <w:marLeft w:val="0"/>
      <w:marRight w:val="0"/>
      <w:marTop w:val="0"/>
      <w:marBottom w:val="0"/>
      <w:divBdr>
        <w:top w:val="none" w:sz="0" w:space="0" w:color="auto"/>
        <w:left w:val="none" w:sz="0" w:space="0" w:color="auto"/>
        <w:bottom w:val="none" w:sz="0" w:space="0" w:color="auto"/>
        <w:right w:val="none" w:sz="0" w:space="0" w:color="auto"/>
      </w:divBdr>
    </w:div>
    <w:div w:id="101731342">
      <w:bodyDiv w:val="1"/>
      <w:marLeft w:val="0"/>
      <w:marRight w:val="0"/>
      <w:marTop w:val="0"/>
      <w:marBottom w:val="0"/>
      <w:divBdr>
        <w:top w:val="none" w:sz="0" w:space="0" w:color="auto"/>
        <w:left w:val="none" w:sz="0" w:space="0" w:color="auto"/>
        <w:bottom w:val="none" w:sz="0" w:space="0" w:color="auto"/>
        <w:right w:val="none" w:sz="0" w:space="0" w:color="auto"/>
      </w:divBdr>
    </w:div>
    <w:div w:id="109054036">
      <w:bodyDiv w:val="1"/>
      <w:marLeft w:val="0"/>
      <w:marRight w:val="0"/>
      <w:marTop w:val="0"/>
      <w:marBottom w:val="0"/>
      <w:divBdr>
        <w:top w:val="none" w:sz="0" w:space="0" w:color="auto"/>
        <w:left w:val="none" w:sz="0" w:space="0" w:color="auto"/>
        <w:bottom w:val="none" w:sz="0" w:space="0" w:color="auto"/>
        <w:right w:val="none" w:sz="0" w:space="0" w:color="auto"/>
      </w:divBdr>
    </w:div>
    <w:div w:id="114059221">
      <w:bodyDiv w:val="1"/>
      <w:marLeft w:val="0"/>
      <w:marRight w:val="0"/>
      <w:marTop w:val="0"/>
      <w:marBottom w:val="0"/>
      <w:divBdr>
        <w:top w:val="none" w:sz="0" w:space="0" w:color="auto"/>
        <w:left w:val="none" w:sz="0" w:space="0" w:color="auto"/>
        <w:bottom w:val="none" w:sz="0" w:space="0" w:color="auto"/>
        <w:right w:val="none" w:sz="0" w:space="0" w:color="auto"/>
      </w:divBdr>
    </w:div>
    <w:div w:id="133331135">
      <w:bodyDiv w:val="1"/>
      <w:marLeft w:val="0"/>
      <w:marRight w:val="0"/>
      <w:marTop w:val="0"/>
      <w:marBottom w:val="0"/>
      <w:divBdr>
        <w:top w:val="none" w:sz="0" w:space="0" w:color="auto"/>
        <w:left w:val="none" w:sz="0" w:space="0" w:color="auto"/>
        <w:bottom w:val="none" w:sz="0" w:space="0" w:color="auto"/>
        <w:right w:val="none" w:sz="0" w:space="0" w:color="auto"/>
      </w:divBdr>
    </w:div>
    <w:div w:id="209611080">
      <w:bodyDiv w:val="1"/>
      <w:marLeft w:val="0"/>
      <w:marRight w:val="0"/>
      <w:marTop w:val="0"/>
      <w:marBottom w:val="0"/>
      <w:divBdr>
        <w:top w:val="none" w:sz="0" w:space="0" w:color="auto"/>
        <w:left w:val="none" w:sz="0" w:space="0" w:color="auto"/>
        <w:bottom w:val="none" w:sz="0" w:space="0" w:color="auto"/>
        <w:right w:val="none" w:sz="0" w:space="0" w:color="auto"/>
      </w:divBdr>
    </w:div>
    <w:div w:id="333919671">
      <w:bodyDiv w:val="1"/>
      <w:marLeft w:val="0"/>
      <w:marRight w:val="0"/>
      <w:marTop w:val="0"/>
      <w:marBottom w:val="0"/>
      <w:divBdr>
        <w:top w:val="none" w:sz="0" w:space="0" w:color="auto"/>
        <w:left w:val="none" w:sz="0" w:space="0" w:color="auto"/>
        <w:bottom w:val="none" w:sz="0" w:space="0" w:color="auto"/>
        <w:right w:val="none" w:sz="0" w:space="0" w:color="auto"/>
      </w:divBdr>
    </w:div>
    <w:div w:id="364908876">
      <w:bodyDiv w:val="1"/>
      <w:marLeft w:val="0"/>
      <w:marRight w:val="0"/>
      <w:marTop w:val="0"/>
      <w:marBottom w:val="0"/>
      <w:divBdr>
        <w:top w:val="none" w:sz="0" w:space="0" w:color="auto"/>
        <w:left w:val="none" w:sz="0" w:space="0" w:color="auto"/>
        <w:bottom w:val="none" w:sz="0" w:space="0" w:color="auto"/>
        <w:right w:val="none" w:sz="0" w:space="0" w:color="auto"/>
      </w:divBdr>
      <w:divsChild>
        <w:div w:id="206262736">
          <w:marLeft w:val="360"/>
          <w:marRight w:val="0"/>
          <w:marTop w:val="200"/>
          <w:marBottom w:val="160"/>
          <w:divBdr>
            <w:top w:val="none" w:sz="0" w:space="0" w:color="auto"/>
            <w:left w:val="none" w:sz="0" w:space="0" w:color="auto"/>
            <w:bottom w:val="none" w:sz="0" w:space="0" w:color="auto"/>
            <w:right w:val="none" w:sz="0" w:space="0" w:color="auto"/>
          </w:divBdr>
        </w:div>
        <w:div w:id="413550651">
          <w:marLeft w:val="360"/>
          <w:marRight w:val="0"/>
          <w:marTop w:val="200"/>
          <w:marBottom w:val="160"/>
          <w:divBdr>
            <w:top w:val="none" w:sz="0" w:space="0" w:color="auto"/>
            <w:left w:val="none" w:sz="0" w:space="0" w:color="auto"/>
            <w:bottom w:val="none" w:sz="0" w:space="0" w:color="auto"/>
            <w:right w:val="none" w:sz="0" w:space="0" w:color="auto"/>
          </w:divBdr>
        </w:div>
        <w:div w:id="316540625">
          <w:marLeft w:val="360"/>
          <w:marRight w:val="0"/>
          <w:marTop w:val="200"/>
          <w:marBottom w:val="0"/>
          <w:divBdr>
            <w:top w:val="none" w:sz="0" w:space="0" w:color="auto"/>
            <w:left w:val="none" w:sz="0" w:space="0" w:color="auto"/>
            <w:bottom w:val="none" w:sz="0" w:space="0" w:color="auto"/>
            <w:right w:val="none" w:sz="0" w:space="0" w:color="auto"/>
          </w:divBdr>
        </w:div>
      </w:divsChild>
    </w:div>
    <w:div w:id="380175185">
      <w:bodyDiv w:val="1"/>
      <w:marLeft w:val="0"/>
      <w:marRight w:val="0"/>
      <w:marTop w:val="0"/>
      <w:marBottom w:val="0"/>
      <w:divBdr>
        <w:top w:val="none" w:sz="0" w:space="0" w:color="auto"/>
        <w:left w:val="none" w:sz="0" w:space="0" w:color="auto"/>
        <w:bottom w:val="none" w:sz="0" w:space="0" w:color="auto"/>
        <w:right w:val="none" w:sz="0" w:space="0" w:color="auto"/>
      </w:divBdr>
      <w:divsChild>
        <w:div w:id="1889023777">
          <w:marLeft w:val="360"/>
          <w:marRight w:val="0"/>
          <w:marTop w:val="200"/>
          <w:marBottom w:val="0"/>
          <w:divBdr>
            <w:top w:val="none" w:sz="0" w:space="0" w:color="auto"/>
            <w:left w:val="none" w:sz="0" w:space="0" w:color="auto"/>
            <w:bottom w:val="none" w:sz="0" w:space="0" w:color="auto"/>
            <w:right w:val="none" w:sz="0" w:space="0" w:color="auto"/>
          </w:divBdr>
        </w:div>
        <w:div w:id="1881361057">
          <w:marLeft w:val="360"/>
          <w:marRight w:val="0"/>
          <w:marTop w:val="200"/>
          <w:marBottom w:val="0"/>
          <w:divBdr>
            <w:top w:val="none" w:sz="0" w:space="0" w:color="auto"/>
            <w:left w:val="none" w:sz="0" w:space="0" w:color="auto"/>
            <w:bottom w:val="none" w:sz="0" w:space="0" w:color="auto"/>
            <w:right w:val="none" w:sz="0" w:space="0" w:color="auto"/>
          </w:divBdr>
        </w:div>
        <w:div w:id="553540635">
          <w:marLeft w:val="360"/>
          <w:marRight w:val="0"/>
          <w:marTop w:val="200"/>
          <w:marBottom w:val="0"/>
          <w:divBdr>
            <w:top w:val="none" w:sz="0" w:space="0" w:color="auto"/>
            <w:left w:val="none" w:sz="0" w:space="0" w:color="auto"/>
            <w:bottom w:val="none" w:sz="0" w:space="0" w:color="auto"/>
            <w:right w:val="none" w:sz="0" w:space="0" w:color="auto"/>
          </w:divBdr>
        </w:div>
        <w:div w:id="1161698122">
          <w:marLeft w:val="360"/>
          <w:marRight w:val="0"/>
          <w:marTop w:val="200"/>
          <w:marBottom w:val="0"/>
          <w:divBdr>
            <w:top w:val="none" w:sz="0" w:space="0" w:color="auto"/>
            <w:left w:val="none" w:sz="0" w:space="0" w:color="auto"/>
            <w:bottom w:val="none" w:sz="0" w:space="0" w:color="auto"/>
            <w:right w:val="none" w:sz="0" w:space="0" w:color="auto"/>
          </w:divBdr>
        </w:div>
        <w:div w:id="1558857283">
          <w:marLeft w:val="360"/>
          <w:marRight w:val="0"/>
          <w:marTop w:val="200"/>
          <w:marBottom w:val="0"/>
          <w:divBdr>
            <w:top w:val="none" w:sz="0" w:space="0" w:color="auto"/>
            <w:left w:val="none" w:sz="0" w:space="0" w:color="auto"/>
            <w:bottom w:val="none" w:sz="0" w:space="0" w:color="auto"/>
            <w:right w:val="none" w:sz="0" w:space="0" w:color="auto"/>
          </w:divBdr>
        </w:div>
        <w:div w:id="1388602679">
          <w:marLeft w:val="360"/>
          <w:marRight w:val="0"/>
          <w:marTop w:val="200"/>
          <w:marBottom w:val="0"/>
          <w:divBdr>
            <w:top w:val="none" w:sz="0" w:space="0" w:color="auto"/>
            <w:left w:val="none" w:sz="0" w:space="0" w:color="auto"/>
            <w:bottom w:val="none" w:sz="0" w:space="0" w:color="auto"/>
            <w:right w:val="none" w:sz="0" w:space="0" w:color="auto"/>
          </w:divBdr>
        </w:div>
      </w:divsChild>
    </w:div>
    <w:div w:id="471168754">
      <w:bodyDiv w:val="1"/>
      <w:marLeft w:val="0"/>
      <w:marRight w:val="0"/>
      <w:marTop w:val="0"/>
      <w:marBottom w:val="0"/>
      <w:divBdr>
        <w:top w:val="none" w:sz="0" w:space="0" w:color="auto"/>
        <w:left w:val="none" w:sz="0" w:space="0" w:color="auto"/>
        <w:bottom w:val="none" w:sz="0" w:space="0" w:color="auto"/>
        <w:right w:val="none" w:sz="0" w:space="0" w:color="auto"/>
      </w:divBdr>
    </w:div>
    <w:div w:id="578830379">
      <w:bodyDiv w:val="1"/>
      <w:marLeft w:val="0"/>
      <w:marRight w:val="0"/>
      <w:marTop w:val="0"/>
      <w:marBottom w:val="0"/>
      <w:divBdr>
        <w:top w:val="none" w:sz="0" w:space="0" w:color="auto"/>
        <w:left w:val="none" w:sz="0" w:space="0" w:color="auto"/>
        <w:bottom w:val="none" w:sz="0" w:space="0" w:color="auto"/>
        <w:right w:val="none" w:sz="0" w:space="0" w:color="auto"/>
      </w:divBdr>
      <w:divsChild>
        <w:div w:id="1322586504">
          <w:marLeft w:val="547"/>
          <w:marRight w:val="0"/>
          <w:marTop w:val="200"/>
          <w:marBottom w:val="0"/>
          <w:divBdr>
            <w:top w:val="none" w:sz="0" w:space="0" w:color="auto"/>
            <w:left w:val="none" w:sz="0" w:space="0" w:color="auto"/>
            <w:bottom w:val="none" w:sz="0" w:space="0" w:color="auto"/>
            <w:right w:val="none" w:sz="0" w:space="0" w:color="auto"/>
          </w:divBdr>
        </w:div>
        <w:div w:id="1169952358">
          <w:marLeft w:val="547"/>
          <w:marRight w:val="0"/>
          <w:marTop w:val="200"/>
          <w:marBottom w:val="0"/>
          <w:divBdr>
            <w:top w:val="none" w:sz="0" w:space="0" w:color="auto"/>
            <w:left w:val="none" w:sz="0" w:space="0" w:color="auto"/>
            <w:bottom w:val="none" w:sz="0" w:space="0" w:color="auto"/>
            <w:right w:val="none" w:sz="0" w:space="0" w:color="auto"/>
          </w:divBdr>
        </w:div>
        <w:div w:id="1707561258">
          <w:marLeft w:val="547"/>
          <w:marRight w:val="0"/>
          <w:marTop w:val="200"/>
          <w:marBottom w:val="0"/>
          <w:divBdr>
            <w:top w:val="none" w:sz="0" w:space="0" w:color="auto"/>
            <w:left w:val="none" w:sz="0" w:space="0" w:color="auto"/>
            <w:bottom w:val="none" w:sz="0" w:space="0" w:color="auto"/>
            <w:right w:val="none" w:sz="0" w:space="0" w:color="auto"/>
          </w:divBdr>
        </w:div>
        <w:div w:id="1917742341">
          <w:marLeft w:val="547"/>
          <w:marRight w:val="0"/>
          <w:marTop w:val="200"/>
          <w:marBottom w:val="0"/>
          <w:divBdr>
            <w:top w:val="none" w:sz="0" w:space="0" w:color="auto"/>
            <w:left w:val="none" w:sz="0" w:space="0" w:color="auto"/>
            <w:bottom w:val="none" w:sz="0" w:space="0" w:color="auto"/>
            <w:right w:val="none" w:sz="0" w:space="0" w:color="auto"/>
          </w:divBdr>
        </w:div>
        <w:div w:id="511186708">
          <w:marLeft w:val="547"/>
          <w:marRight w:val="0"/>
          <w:marTop w:val="200"/>
          <w:marBottom w:val="0"/>
          <w:divBdr>
            <w:top w:val="none" w:sz="0" w:space="0" w:color="auto"/>
            <w:left w:val="none" w:sz="0" w:space="0" w:color="auto"/>
            <w:bottom w:val="none" w:sz="0" w:space="0" w:color="auto"/>
            <w:right w:val="none" w:sz="0" w:space="0" w:color="auto"/>
          </w:divBdr>
        </w:div>
        <w:div w:id="1710300700">
          <w:marLeft w:val="547"/>
          <w:marRight w:val="0"/>
          <w:marTop w:val="200"/>
          <w:marBottom w:val="0"/>
          <w:divBdr>
            <w:top w:val="none" w:sz="0" w:space="0" w:color="auto"/>
            <w:left w:val="none" w:sz="0" w:space="0" w:color="auto"/>
            <w:bottom w:val="none" w:sz="0" w:space="0" w:color="auto"/>
            <w:right w:val="none" w:sz="0" w:space="0" w:color="auto"/>
          </w:divBdr>
        </w:div>
        <w:div w:id="2110420290">
          <w:marLeft w:val="547"/>
          <w:marRight w:val="0"/>
          <w:marTop w:val="200"/>
          <w:marBottom w:val="0"/>
          <w:divBdr>
            <w:top w:val="none" w:sz="0" w:space="0" w:color="auto"/>
            <w:left w:val="none" w:sz="0" w:space="0" w:color="auto"/>
            <w:bottom w:val="none" w:sz="0" w:space="0" w:color="auto"/>
            <w:right w:val="none" w:sz="0" w:space="0" w:color="auto"/>
          </w:divBdr>
        </w:div>
      </w:divsChild>
    </w:div>
    <w:div w:id="588193765">
      <w:bodyDiv w:val="1"/>
      <w:marLeft w:val="0"/>
      <w:marRight w:val="0"/>
      <w:marTop w:val="0"/>
      <w:marBottom w:val="0"/>
      <w:divBdr>
        <w:top w:val="none" w:sz="0" w:space="0" w:color="auto"/>
        <w:left w:val="none" w:sz="0" w:space="0" w:color="auto"/>
        <w:bottom w:val="none" w:sz="0" w:space="0" w:color="auto"/>
        <w:right w:val="none" w:sz="0" w:space="0" w:color="auto"/>
      </w:divBdr>
    </w:div>
    <w:div w:id="646782811">
      <w:bodyDiv w:val="1"/>
      <w:marLeft w:val="0"/>
      <w:marRight w:val="0"/>
      <w:marTop w:val="0"/>
      <w:marBottom w:val="0"/>
      <w:divBdr>
        <w:top w:val="none" w:sz="0" w:space="0" w:color="auto"/>
        <w:left w:val="none" w:sz="0" w:space="0" w:color="auto"/>
        <w:bottom w:val="none" w:sz="0" w:space="0" w:color="auto"/>
        <w:right w:val="none" w:sz="0" w:space="0" w:color="auto"/>
      </w:divBdr>
      <w:divsChild>
        <w:div w:id="819153318">
          <w:marLeft w:val="547"/>
          <w:marRight w:val="0"/>
          <w:marTop w:val="200"/>
          <w:marBottom w:val="0"/>
          <w:divBdr>
            <w:top w:val="none" w:sz="0" w:space="0" w:color="auto"/>
            <w:left w:val="none" w:sz="0" w:space="0" w:color="auto"/>
            <w:bottom w:val="none" w:sz="0" w:space="0" w:color="auto"/>
            <w:right w:val="none" w:sz="0" w:space="0" w:color="auto"/>
          </w:divBdr>
        </w:div>
        <w:div w:id="1452360716">
          <w:marLeft w:val="547"/>
          <w:marRight w:val="0"/>
          <w:marTop w:val="200"/>
          <w:marBottom w:val="0"/>
          <w:divBdr>
            <w:top w:val="none" w:sz="0" w:space="0" w:color="auto"/>
            <w:left w:val="none" w:sz="0" w:space="0" w:color="auto"/>
            <w:bottom w:val="none" w:sz="0" w:space="0" w:color="auto"/>
            <w:right w:val="none" w:sz="0" w:space="0" w:color="auto"/>
          </w:divBdr>
        </w:div>
      </w:divsChild>
    </w:div>
    <w:div w:id="658777181">
      <w:bodyDiv w:val="1"/>
      <w:marLeft w:val="0"/>
      <w:marRight w:val="0"/>
      <w:marTop w:val="0"/>
      <w:marBottom w:val="0"/>
      <w:divBdr>
        <w:top w:val="none" w:sz="0" w:space="0" w:color="auto"/>
        <w:left w:val="none" w:sz="0" w:space="0" w:color="auto"/>
        <w:bottom w:val="none" w:sz="0" w:space="0" w:color="auto"/>
        <w:right w:val="none" w:sz="0" w:space="0" w:color="auto"/>
      </w:divBdr>
      <w:divsChild>
        <w:div w:id="217669428">
          <w:marLeft w:val="360"/>
          <w:marRight w:val="0"/>
          <w:marTop w:val="200"/>
          <w:marBottom w:val="0"/>
          <w:divBdr>
            <w:top w:val="none" w:sz="0" w:space="0" w:color="auto"/>
            <w:left w:val="none" w:sz="0" w:space="0" w:color="auto"/>
            <w:bottom w:val="none" w:sz="0" w:space="0" w:color="auto"/>
            <w:right w:val="none" w:sz="0" w:space="0" w:color="auto"/>
          </w:divBdr>
        </w:div>
        <w:div w:id="1429472607">
          <w:marLeft w:val="360"/>
          <w:marRight w:val="0"/>
          <w:marTop w:val="200"/>
          <w:marBottom w:val="0"/>
          <w:divBdr>
            <w:top w:val="none" w:sz="0" w:space="0" w:color="auto"/>
            <w:left w:val="none" w:sz="0" w:space="0" w:color="auto"/>
            <w:bottom w:val="none" w:sz="0" w:space="0" w:color="auto"/>
            <w:right w:val="none" w:sz="0" w:space="0" w:color="auto"/>
          </w:divBdr>
        </w:div>
      </w:divsChild>
    </w:div>
    <w:div w:id="687877874">
      <w:bodyDiv w:val="1"/>
      <w:marLeft w:val="0"/>
      <w:marRight w:val="0"/>
      <w:marTop w:val="0"/>
      <w:marBottom w:val="0"/>
      <w:divBdr>
        <w:top w:val="none" w:sz="0" w:space="0" w:color="auto"/>
        <w:left w:val="none" w:sz="0" w:space="0" w:color="auto"/>
        <w:bottom w:val="none" w:sz="0" w:space="0" w:color="auto"/>
        <w:right w:val="none" w:sz="0" w:space="0" w:color="auto"/>
      </w:divBdr>
    </w:div>
    <w:div w:id="700738598">
      <w:bodyDiv w:val="1"/>
      <w:marLeft w:val="0"/>
      <w:marRight w:val="0"/>
      <w:marTop w:val="0"/>
      <w:marBottom w:val="0"/>
      <w:divBdr>
        <w:top w:val="none" w:sz="0" w:space="0" w:color="auto"/>
        <w:left w:val="none" w:sz="0" w:space="0" w:color="auto"/>
        <w:bottom w:val="none" w:sz="0" w:space="0" w:color="auto"/>
        <w:right w:val="none" w:sz="0" w:space="0" w:color="auto"/>
      </w:divBdr>
    </w:div>
    <w:div w:id="727340120">
      <w:bodyDiv w:val="1"/>
      <w:marLeft w:val="0"/>
      <w:marRight w:val="0"/>
      <w:marTop w:val="0"/>
      <w:marBottom w:val="0"/>
      <w:divBdr>
        <w:top w:val="none" w:sz="0" w:space="0" w:color="auto"/>
        <w:left w:val="none" w:sz="0" w:space="0" w:color="auto"/>
        <w:bottom w:val="none" w:sz="0" w:space="0" w:color="auto"/>
        <w:right w:val="none" w:sz="0" w:space="0" w:color="auto"/>
      </w:divBdr>
    </w:div>
    <w:div w:id="753014586">
      <w:bodyDiv w:val="1"/>
      <w:marLeft w:val="0"/>
      <w:marRight w:val="0"/>
      <w:marTop w:val="0"/>
      <w:marBottom w:val="0"/>
      <w:divBdr>
        <w:top w:val="none" w:sz="0" w:space="0" w:color="auto"/>
        <w:left w:val="none" w:sz="0" w:space="0" w:color="auto"/>
        <w:bottom w:val="none" w:sz="0" w:space="0" w:color="auto"/>
        <w:right w:val="none" w:sz="0" w:space="0" w:color="auto"/>
      </w:divBdr>
    </w:div>
    <w:div w:id="774636139">
      <w:bodyDiv w:val="1"/>
      <w:marLeft w:val="0"/>
      <w:marRight w:val="0"/>
      <w:marTop w:val="0"/>
      <w:marBottom w:val="0"/>
      <w:divBdr>
        <w:top w:val="none" w:sz="0" w:space="0" w:color="auto"/>
        <w:left w:val="none" w:sz="0" w:space="0" w:color="auto"/>
        <w:bottom w:val="none" w:sz="0" w:space="0" w:color="auto"/>
        <w:right w:val="none" w:sz="0" w:space="0" w:color="auto"/>
      </w:divBdr>
    </w:div>
    <w:div w:id="805657156">
      <w:bodyDiv w:val="1"/>
      <w:marLeft w:val="0"/>
      <w:marRight w:val="0"/>
      <w:marTop w:val="0"/>
      <w:marBottom w:val="0"/>
      <w:divBdr>
        <w:top w:val="none" w:sz="0" w:space="0" w:color="auto"/>
        <w:left w:val="none" w:sz="0" w:space="0" w:color="auto"/>
        <w:bottom w:val="none" w:sz="0" w:space="0" w:color="auto"/>
        <w:right w:val="none" w:sz="0" w:space="0" w:color="auto"/>
      </w:divBdr>
    </w:div>
    <w:div w:id="818959082">
      <w:bodyDiv w:val="1"/>
      <w:marLeft w:val="0"/>
      <w:marRight w:val="0"/>
      <w:marTop w:val="0"/>
      <w:marBottom w:val="0"/>
      <w:divBdr>
        <w:top w:val="none" w:sz="0" w:space="0" w:color="auto"/>
        <w:left w:val="none" w:sz="0" w:space="0" w:color="auto"/>
        <w:bottom w:val="none" w:sz="0" w:space="0" w:color="auto"/>
        <w:right w:val="none" w:sz="0" w:space="0" w:color="auto"/>
      </w:divBdr>
    </w:div>
    <w:div w:id="924264993">
      <w:bodyDiv w:val="1"/>
      <w:marLeft w:val="0"/>
      <w:marRight w:val="0"/>
      <w:marTop w:val="0"/>
      <w:marBottom w:val="0"/>
      <w:divBdr>
        <w:top w:val="none" w:sz="0" w:space="0" w:color="auto"/>
        <w:left w:val="none" w:sz="0" w:space="0" w:color="auto"/>
        <w:bottom w:val="none" w:sz="0" w:space="0" w:color="auto"/>
        <w:right w:val="none" w:sz="0" w:space="0" w:color="auto"/>
      </w:divBdr>
    </w:div>
    <w:div w:id="944268557">
      <w:bodyDiv w:val="1"/>
      <w:marLeft w:val="0"/>
      <w:marRight w:val="0"/>
      <w:marTop w:val="0"/>
      <w:marBottom w:val="0"/>
      <w:divBdr>
        <w:top w:val="none" w:sz="0" w:space="0" w:color="auto"/>
        <w:left w:val="none" w:sz="0" w:space="0" w:color="auto"/>
        <w:bottom w:val="none" w:sz="0" w:space="0" w:color="auto"/>
        <w:right w:val="none" w:sz="0" w:space="0" w:color="auto"/>
      </w:divBdr>
    </w:div>
    <w:div w:id="970328017">
      <w:bodyDiv w:val="1"/>
      <w:marLeft w:val="0"/>
      <w:marRight w:val="0"/>
      <w:marTop w:val="0"/>
      <w:marBottom w:val="0"/>
      <w:divBdr>
        <w:top w:val="none" w:sz="0" w:space="0" w:color="auto"/>
        <w:left w:val="none" w:sz="0" w:space="0" w:color="auto"/>
        <w:bottom w:val="none" w:sz="0" w:space="0" w:color="auto"/>
        <w:right w:val="none" w:sz="0" w:space="0" w:color="auto"/>
      </w:divBdr>
    </w:div>
    <w:div w:id="1016080813">
      <w:bodyDiv w:val="1"/>
      <w:marLeft w:val="0"/>
      <w:marRight w:val="0"/>
      <w:marTop w:val="0"/>
      <w:marBottom w:val="0"/>
      <w:divBdr>
        <w:top w:val="none" w:sz="0" w:space="0" w:color="auto"/>
        <w:left w:val="none" w:sz="0" w:space="0" w:color="auto"/>
        <w:bottom w:val="none" w:sz="0" w:space="0" w:color="auto"/>
        <w:right w:val="none" w:sz="0" w:space="0" w:color="auto"/>
      </w:divBdr>
    </w:div>
    <w:div w:id="1022167604">
      <w:bodyDiv w:val="1"/>
      <w:marLeft w:val="0"/>
      <w:marRight w:val="0"/>
      <w:marTop w:val="0"/>
      <w:marBottom w:val="0"/>
      <w:divBdr>
        <w:top w:val="none" w:sz="0" w:space="0" w:color="auto"/>
        <w:left w:val="none" w:sz="0" w:space="0" w:color="auto"/>
        <w:bottom w:val="none" w:sz="0" w:space="0" w:color="auto"/>
        <w:right w:val="none" w:sz="0" w:space="0" w:color="auto"/>
      </w:divBdr>
      <w:divsChild>
        <w:div w:id="1808476358">
          <w:marLeft w:val="547"/>
          <w:marRight w:val="0"/>
          <w:marTop w:val="200"/>
          <w:marBottom w:val="0"/>
          <w:divBdr>
            <w:top w:val="none" w:sz="0" w:space="0" w:color="auto"/>
            <w:left w:val="none" w:sz="0" w:space="0" w:color="auto"/>
            <w:bottom w:val="none" w:sz="0" w:space="0" w:color="auto"/>
            <w:right w:val="none" w:sz="0" w:space="0" w:color="auto"/>
          </w:divBdr>
        </w:div>
        <w:div w:id="1267034190">
          <w:marLeft w:val="720"/>
          <w:marRight w:val="0"/>
          <w:marTop w:val="200"/>
          <w:marBottom w:val="0"/>
          <w:divBdr>
            <w:top w:val="none" w:sz="0" w:space="0" w:color="auto"/>
            <w:left w:val="none" w:sz="0" w:space="0" w:color="auto"/>
            <w:bottom w:val="none" w:sz="0" w:space="0" w:color="auto"/>
            <w:right w:val="none" w:sz="0" w:space="0" w:color="auto"/>
          </w:divBdr>
        </w:div>
        <w:div w:id="2063208643">
          <w:marLeft w:val="720"/>
          <w:marRight w:val="0"/>
          <w:marTop w:val="200"/>
          <w:marBottom w:val="0"/>
          <w:divBdr>
            <w:top w:val="none" w:sz="0" w:space="0" w:color="auto"/>
            <w:left w:val="none" w:sz="0" w:space="0" w:color="auto"/>
            <w:bottom w:val="none" w:sz="0" w:space="0" w:color="auto"/>
            <w:right w:val="none" w:sz="0" w:space="0" w:color="auto"/>
          </w:divBdr>
        </w:div>
        <w:div w:id="727924211">
          <w:marLeft w:val="720"/>
          <w:marRight w:val="0"/>
          <w:marTop w:val="200"/>
          <w:marBottom w:val="0"/>
          <w:divBdr>
            <w:top w:val="none" w:sz="0" w:space="0" w:color="auto"/>
            <w:left w:val="none" w:sz="0" w:space="0" w:color="auto"/>
            <w:bottom w:val="none" w:sz="0" w:space="0" w:color="auto"/>
            <w:right w:val="none" w:sz="0" w:space="0" w:color="auto"/>
          </w:divBdr>
        </w:div>
        <w:div w:id="1643579841">
          <w:marLeft w:val="720"/>
          <w:marRight w:val="0"/>
          <w:marTop w:val="200"/>
          <w:marBottom w:val="0"/>
          <w:divBdr>
            <w:top w:val="none" w:sz="0" w:space="0" w:color="auto"/>
            <w:left w:val="none" w:sz="0" w:space="0" w:color="auto"/>
            <w:bottom w:val="none" w:sz="0" w:space="0" w:color="auto"/>
            <w:right w:val="none" w:sz="0" w:space="0" w:color="auto"/>
          </w:divBdr>
        </w:div>
      </w:divsChild>
    </w:div>
    <w:div w:id="1160344452">
      <w:bodyDiv w:val="1"/>
      <w:marLeft w:val="0"/>
      <w:marRight w:val="0"/>
      <w:marTop w:val="0"/>
      <w:marBottom w:val="0"/>
      <w:divBdr>
        <w:top w:val="none" w:sz="0" w:space="0" w:color="auto"/>
        <w:left w:val="none" w:sz="0" w:space="0" w:color="auto"/>
        <w:bottom w:val="none" w:sz="0" w:space="0" w:color="auto"/>
        <w:right w:val="none" w:sz="0" w:space="0" w:color="auto"/>
      </w:divBdr>
    </w:div>
    <w:div w:id="1179152288">
      <w:bodyDiv w:val="1"/>
      <w:marLeft w:val="0"/>
      <w:marRight w:val="0"/>
      <w:marTop w:val="0"/>
      <w:marBottom w:val="0"/>
      <w:divBdr>
        <w:top w:val="none" w:sz="0" w:space="0" w:color="auto"/>
        <w:left w:val="none" w:sz="0" w:space="0" w:color="auto"/>
        <w:bottom w:val="none" w:sz="0" w:space="0" w:color="auto"/>
        <w:right w:val="none" w:sz="0" w:space="0" w:color="auto"/>
      </w:divBdr>
    </w:div>
    <w:div w:id="1231385721">
      <w:bodyDiv w:val="1"/>
      <w:marLeft w:val="0"/>
      <w:marRight w:val="0"/>
      <w:marTop w:val="0"/>
      <w:marBottom w:val="0"/>
      <w:divBdr>
        <w:top w:val="none" w:sz="0" w:space="0" w:color="auto"/>
        <w:left w:val="none" w:sz="0" w:space="0" w:color="auto"/>
        <w:bottom w:val="none" w:sz="0" w:space="0" w:color="auto"/>
        <w:right w:val="none" w:sz="0" w:space="0" w:color="auto"/>
      </w:divBdr>
      <w:divsChild>
        <w:div w:id="604654750">
          <w:marLeft w:val="547"/>
          <w:marRight w:val="0"/>
          <w:marTop w:val="200"/>
          <w:marBottom w:val="0"/>
          <w:divBdr>
            <w:top w:val="none" w:sz="0" w:space="0" w:color="auto"/>
            <w:left w:val="none" w:sz="0" w:space="0" w:color="auto"/>
            <w:bottom w:val="none" w:sz="0" w:space="0" w:color="auto"/>
            <w:right w:val="none" w:sz="0" w:space="0" w:color="auto"/>
          </w:divBdr>
        </w:div>
        <w:div w:id="323095248">
          <w:marLeft w:val="547"/>
          <w:marRight w:val="0"/>
          <w:marTop w:val="200"/>
          <w:marBottom w:val="0"/>
          <w:divBdr>
            <w:top w:val="none" w:sz="0" w:space="0" w:color="auto"/>
            <w:left w:val="none" w:sz="0" w:space="0" w:color="auto"/>
            <w:bottom w:val="none" w:sz="0" w:space="0" w:color="auto"/>
            <w:right w:val="none" w:sz="0" w:space="0" w:color="auto"/>
          </w:divBdr>
        </w:div>
        <w:div w:id="419563312">
          <w:marLeft w:val="547"/>
          <w:marRight w:val="0"/>
          <w:marTop w:val="200"/>
          <w:marBottom w:val="0"/>
          <w:divBdr>
            <w:top w:val="none" w:sz="0" w:space="0" w:color="auto"/>
            <w:left w:val="none" w:sz="0" w:space="0" w:color="auto"/>
            <w:bottom w:val="none" w:sz="0" w:space="0" w:color="auto"/>
            <w:right w:val="none" w:sz="0" w:space="0" w:color="auto"/>
          </w:divBdr>
        </w:div>
        <w:div w:id="472404318">
          <w:marLeft w:val="547"/>
          <w:marRight w:val="0"/>
          <w:marTop w:val="200"/>
          <w:marBottom w:val="0"/>
          <w:divBdr>
            <w:top w:val="none" w:sz="0" w:space="0" w:color="auto"/>
            <w:left w:val="none" w:sz="0" w:space="0" w:color="auto"/>
            <w:bottom w:val="none" w:sz="0" w:space="0" w:color="auto"/>
            <w:right w:val="none" w:sz="0" w:space="0" w:color="auto"/>
          </w:divBdr>
        </w:div>
        <w:div w:id="1826822536">
          <w:marLeft w:val="547"/>
          <w:marRight w:val="0"/>
          <w:marTop w:val="200"/>
          <w:marBottom w:val="0"/>
          <w:divBdr>
            <w:top w:val="none" w:sz="0" w:space="0" w:color="auto"/>
            <w:left w:val="none" w:sz="0" w:space="0" w:color="auto"/>
            <w:bottom w:val="none" w:sz="0" w:space="0" w:color="auto"/>
            <w:right w:val="none" w:sz="0" w:space="0" w:color="auto"/>
          </w:divBdr>
        </w:div>
        <w:div w:id="1144154966">
          <w:marLeft w:val="547"/>
          <w:marRight w:val="0"/>
          <w:marTop w:val="200"/>
          <w:marBottom w:val="0"/>
          <w:divBdr>
            <w:top w:val="none" w:sz="0" w:space="0" w:color="auto"/>
            <w:left w:val="none" w:sz="0" w:space="0" w:color="auto"/>
            <w:bottom w:val="none" w:sz="0" w:space="0" w:color="auto"/>
            <w:right w:val="none" w:sz="0" w:space="0" w:color="auto"/>
          </w:divBdr>
        </w:div>
        <w:div w:id="763767399">
          <w:marLeft w:val="547"/>
          <w:marRight w:val="0"/>
          <w:marTop w:val="200"/>
          <w:marBottom w:val="0"/>
          <w:divBdr>
            <w:top w:val="none" w:sz="0" w:space="0" w:color="auto"/>
            <w:left w:val="none" w:sz="0" w:space="0" w:color="auto"/>
            <w:bottom w:val="none" w:sz="0" w:space="0" w:color="auto"/>
            <w:right w:val="none" w:sz="0" w:space="0" w:color="auto"/>
          </w:divBdr>
        </w:div>
      </w:divsChild>
    </w:div>
    <w:div w:id="1246962247">
      <w:bodyDiv w:val="1"/>
      <w:marLeft w:val="0"/>
      <w:marRight w:val="0"/>
      <w:marTop w:val="0"/>
      <w:marBottom w:val="0"/>
      <w:divBdr>
        <w:top w:val="none" w:sz="0" w:space="0" w:color="auto"/>
        <w:left w:val="none" w:sz="0" w:space="0" w:color="auto"/>
        <w:bottom w:val="none" w:sz="0" w:space="0" w:color="auto"/>
        <w:right w:val="none" w:sz="0" w:space="0" w:color="auto"/>
      </w:divBdr>
    </w:div>
    <w:div w:id="1288853053">
      <w:bodyDiv w:val="1"/>
      <w:marLeft w:val="0"/>
      <w:marRight w:val="0"/>
      <w:marTop w:val="0"/>
      <w:marBottom w:val="0"/>
      <w:divBdr>
        <w:top w:val="none" w:sz="0" w:space="0" w:color="auto"/>
        <w:left w:val="none" w:sz="0" w:space="0" w:color="auto"/>
        <w:bottom w:val="none" w:sz="0" w:space="0" w:color="auto"/>
        <w:right w:val="none" w:sz="0" w:space="0" w:color="auto"/>
      </w:divBdr>
    </w:div>
    <w:div w:id="1392658343">
      <w:bodyDiv w:val="1"/>
      <w:marLeft w:val="0"/>
      <w:marRight w:val="0"/>
      <w:marTop w:val="0"/>
      <w:marBottom w:val="0"/>
      <w:divBdr>
        <w:top w:val="none" w:sz="0" w:space="0" w:color="auto"/>
        <w:left w:val="none" w:sz="0" w:space="0" w:color="auto"/>
        <w:bottom w:val="none" w:sz="0" w:space="0" w:color="auto"/>
        <w:right w:val="none" w:sz="0" w:space="0" w:color="auto"/>
      </w:divBdr>
    </w:div>
    <w:div w:id="1392771956">
      <w:bodyDiv w:val="1"/>
      <w:marLeft w:val="0"/>
      <w:marRight w:val="0"/>
      <w:marTop w:val="0"/>
      <w:marBottom w:val="0"/>
      <w:divBdr>
        <w:top w:val="none" w:sz="0" w:space="0" w:color="auto"/>
        <w:left w:val="none" w:sz="0" w:space="0" w:color="auto"/>
        <w:bottom w:val="none" w:sz="0" w:space="0" w:color="auto"/>
        <w:right w:val="none" w:sz="0" w:space="0" w:color="auto"/>
      </w:divBdr>
    </w:div>
    <w:div w:id="1404259419">
      <w:bodyDiv w:val="1"/>
      <w:marLeft w:val="0"/>
      <w:marRight w:val="0"/>
      <w:marTop w:val="0"/>
      <w:marBottom w:val="0"/>
      <w:divBdr>
        <w:top w:val="none" w:sz="0" w:space="0" w:color="auto"/>
        <w:left w:val="none" w:sz="0" w:space="0" w:color="auto"/>
        <w:bottom w:val="none" w:sz="0" w:space="0" w:color="auto"/>
        <w:right w:val="none" w:sz="0" w:space="0" w:color="auto"/>
      </w:divBdr>
    </w:div>
    <w:div w:id="1426726666">
      <w:bodyDiv w:val="1"/>
      <w:marLeft w:val="0"/>
      <w:marRight w:val="0"/>
      <w:marTop w:val="0"/>
      <w:marBottom w:val="0"/>
      <w:divBdr>
        <w:top w:val="none" w:sz="0" w:space="0" w:color="auto"/>
        <w:left w:val="none" w:sz="0" w:space="0" w:color="auto"/>
        <w:bottom w:val="none" w:sz="0" w:space="0" w:color="auto"/>
        <w:right w:val="none" w:sz="0" w:space="0" w:color="auto"/>
      </w:divBdr>
    </w:div>
    <w:div w:id="1477599859">
      <w:bodyDiv w:val="1"/>
      <w:marLeft w:val="0"/>
      <w:marRight w:val="0"/>
      <w:marTop w:val="0"/>
      <w:marBottom w:val="0"/>
      <w:divBdr>
        <w:top w:val="none" w:sz="0" w:space="0" w:color="auto"/>
        <w:left w:val="none" w:sz="0" w:space="0" w:color="auto"/>
        <w:bottom w:val="none" w:sz="0" w:space="0" w:color="auto"/>
        <w:right w:val="none" w:sz="0" w:space="0" w:color="auto"/>
      </w:divBdr>
    </w:div>
    <w:div w:id="1488017517">
      <w:bodyDiv w:val="1"/>
      <w:marLeft w:val="0"/>
      <w:marRight w:val="0"/>
      <w:marTop w:val="0"/>
      <w:marBottom w:val="0"/>
      <w:divBdr>
        <w:top w:val="none" w:sz="0" w:space="0" w:color="auto"/>
        <w:left w:val="none" w:sz="0" w:space="0" w:color="auto"/>
        <w:bottom w:val="none" w:sz="0" w:space="0" w:color="auto"/>
        <w:right w:val="none" w:sz="0" w:space="0" w:color="auto"/>
      </w:divBdr>
    </w:div>
    <w:div w:id="1515725238">
      <w:bodyDiv w:val="1"/>
      <w:marLeft w:val="0"/>
      <w:marRight w:val="0"/>
      <w:marTop w:val="0"/>
      <w:marBottom w:val="0"/>
      <w:divBdr>
        <w:top w:val="none" w:sz="0" w:space="0" w:color="auto"/>
        <w:left w:val="none" w:sz="0" w:space="0" w:color="auto"/>
        <w:bottom w:val="none" w:sz="0" w:space="0" w:color="auto"/>
        <w:right w:val="none" w:sz="0" w:space="0" w:color="auto"/>
      </w:divBdr>
    </w:div>
    <w:div w:id="1583024654">
      <w:bodyDiv w:val="1"/>
      <w:marLeft w:val="0"/>
      <w:marRight w:val="0"/>
      <w:marTop w:val="0"/>
      <w:marBottom w:val="0"/>
      <w:divBdr>
        <w:top w:val="none" w:sz="0" w:space="0" w:color="auto"/>
        <w:left w:val="none" w:sz="0" w:space="0" w:color="auto"/>
        <w:bottom w:val="none" w:sz="0" w:space="0" w:color="auto"/>
        <w:right w:val="none" w:sz="0" w:space="0" w:color="auto"/>
      </w:divBdr>
    </w:div>
    <w:div w:id="1655404621">
      <w:bodyDiv w:val="1"/>
      <w:marLeft w:val="0"/>
      <w:marRight w:val="0"/>
      <w:marTop w:val="0"/>
      <w:marBottom w:val="0"/>
      <w:divBdr>
        <w:top w:val="none" w:sz="0" w:space="0" w:color="auto"/>
        <w:left w:val="none" w:sz="0" w:space="0" w:color="auto"/>
        <w:bottom w:val="none" w:sz="0" w:space="0" w:color="auto"/>
        <w:right w:val="none" w:sz="0" w:space="0" w:color="auto"/>
      </w:divBdr>
    </w:div>
    <w:div w:id="1659961453">
      <w:bodyDiv w:val="1"/>
      <w:marLeft w:val="0"/>
      <w:marRight w:val="0"/>
      <w:marTop w:val="0"/>
      <w:marBottom w:val="0"/>
      <w:divBdr>
        <w:top w:val="none" w:sz="0" w:space="0" w:color="auto"/>
        <w:left w:val="none" w:sz="0" w:space="0" w:color="auto"/>
        <w:bottom w:val="none" w:sz="0" w:space="0" w:color="auto"/>
        <w:right w:val="none" w:sz="0" w:space="0" w:color="auto"/>
      </w:divBdr>
    </w:div>
    <w:div w:id="1669869327">
      <w:bodyDiv w:val="1"/>
      <w:marLeft w:val="0"/>
      <w:marRight w:val="0"/>
      <w:marTop w:val="0"/>
      <w:marBottom w:val="0"/>
      <w:divBdr>
        <w:top w:val="none" w:sz="0" w:space="0" w:color="auto"/>
        <w:left w:val="none" w:sz="0" w:space="0" w:color="auto"/>
        <w:bottom w:val="none" w:sz="0" w:space="0" w:color="auto"/>
        <w:right w:val="none" w:sz="0" w:space="0" w:color="auto"/>
      </w:divBdr>
    </w:div>
    <w:div w:id="1692298421">
      <w:bodyDiv w:val="1"/>
      <w:marLeft w:val="0"/>
      <w:marRight w:val="0"/>
      <w:marTop w:val="0"/>
      <w:marBottom w:val="0"/>
      <w:divBdr>
        <w:top w:val="none" w:sz="0" w:space="0" w:color="auto"/>
        <w:left w:val="none" w:sz="0" w:space="0" w:color="auto"/>
        <w:bottom w:val="none" w:sz="0" w:space="0" w:color="auto"/>
        <w:right w:val="none" w:sz="0" w:space="0" w:color="auto"/>
      </w:divBdr>
    </w:div>
    <w:div w:id="1722898203">
      <w:bodyDiv w:val="1"/>
      <w:marLeft w:val="0"/>
      <w:marRight w:val="0"/>
      <w:marTop w:val="0"/>
      <w:marBottom w:val="0"/>
      <w:divBdr>
        <w:top w:val="none" w:sz="0" w:space="0" w:color="auto"/>
        <w:left w:val="none" w:sz="0" w:space="0" w:color="auto"/>
        <w:bottom w:val="none" w:sz="0" w:space="0" w:color="auto"/>
        <w:right w:val="none" w:sz="0" w:space="0" w:color="auto"/>
      </w:divBdr>
    </w:div>
    <w:div w:id="1723868298">
      <w:bodyDiv w:val="1"/>
      <w:marLeft w:val="0"/>
      <w:marRight w:val="0"/>
      <w:marTop w:val="0"/>
      <w:marBottom w:val="0"/>
      <w:divBdr>
        <w:top w:val="none" w:sz="0" w:space="0" w:color="auto"/>
        <w:left w:val="none" w:sz="0" w:space="0" w:color="auto"/>
        <w:bottom w:val="none" w:sz="0" w:space="0" w:color="auto"/>
        <w:right w:val="none" w:sz="0" w:space="0" w:color="auto"/>
      </w:divBdr>
      <w:divsChild>
        <w:div w:id="658459546">
          <w:marLeft w:val="547"/>
          <w:marRight w:val="0"/>
          <w:marTop w:val="200"/>
          <w:marBottom w:val="0"/>
          <w:divBdr>
            <w:top w:val="none" w:sz="0" w:space="0" w:color="auto"/>
            <w:left w:val="none" w:sz="0" w:space="0" w:color="auto"/>
            <w:bottom w:val="none" w:sz="0" w:space="0" w:color="auto"/>
            <w:right w:val="none" w:sz="0" w:space="0" w:color="auto"/>
          </w:divBdr>
        </w:div>
        <w:div w:id="18164623">
          <w:marLeft w:val="547"/>
          <w:marRight w:val="0"/>
          <w:marTop w:val="200"/>
          <w:marBottom w:val="0"/>
          <w:divBdr>
            <w:top w:val="none" w:sz="0" w:space="0" w:color="auto"/>
            <w:left w:val="none" w:sz="0" w:space="0" w:color="auto"/>
            <w:bottom w:val="none" w:sz="0" w:space="0" w:color="auto"/>
            <w:right w:val="none" w:sz="0" w:space="0" w:color="auto"/>
          </w:divBdr>
        </w:div>
        <w:div w:id="852690744">
          <w:marLeft w:val="547"/>
          <w:marRight w:val="0"/>
          <w:marTop w:val="200"/>
          <w:marBottom w:val="0"/>
          <w:divBdr>
            <w:top w:val="none" w:sz="0" w:space="0" w:color="auto"/>
            <w:left w:val="none" w:sz="0" w:space="0" w:color="auto"/>
            <w:bottom w:val="none" w:sz="0" w:space="0" w:color="auto"/>
            <w:right w:val="none" w:sz="0" w:space="0" w:color="auto"/>
          </w:divBdr>
        </w:div>
        <w:div w:id="48656705">
          <w:marLeft w:val="547"/>
          <w:marRight w:val="0"/>
          <w:marTop w:val="200"/>
          <w:marBottom w:val="0"/>
          <w:divBdr>
            <w:top w:val="none" w:sz="0" w:space="0" w:color="auto"/>
            <w:left w:val="none" w:sz="0" w:space="0" w:color="auto"/>
            <w:bottom w:val="none" w:sz="0" w:space="0" w:color="auto"/>
            <w:right w:val="none" w:sz="0" w:space="0" w:color="auto"/>
          </w:divBdr>
        </w:div>
      </w:divsChild>
    </w:div>
    <w:div w:id="1746414631">
      <w:bodyDiv w:val="1"/>
      <w:marLeft w:val="0"/>
      <w:marRight w:val="0"/>
      <w:marTop w:val="0"/>
      <w:marBottom w:val="0"/>
      <w:divBdr>
        <w:top w:val="none" w:sz="0" w:space="0" w:color="auto"/>
        <w:left w:val="none" w:sz="0" w:space="0" w:color="auto"/>
        <w:bottom w:val="none" w:sz="0" w:space="0" w:color="auto"/>
        <w:right w:val="none" w:sz="0" w:space="0" w:color="auto"/>
      </w:divBdr>
    </w:div>
    <w:div w:id="1746803157">
      <w:bodyDiv w:val="1"/>
      <w:marLeft w:val="0"/>
      <w:marRight w:val="0"/>
      <w:marTop w:val="0"/>
      <w:marBottom w:val="0"/>
      <w:divBdr>
        <w:top w:val="none" w:sz="0" w:space="0" w:color="auto"/>
        <w:left w:val="none" w:sz="0" w:space="0" w:color="auto"/>
        <w:bottom w:val="none" w:sz="0" w:space="0" w:color="auto"/>
        <w:right w:val="none" w:sz="0" w:space="0" w:color="auto"/>
      </w:divBdr>
    </w:div>
    <w:div w:id="1749375504">
      <w:bodyDiv w:val="1"/>
      <w:marLeft w:val="0"/>
      <w:marRight w:val="0"/>
      <w:marTop w:val="0"/>
      <w:marBottom w:val="0"/>
      <w:divBdr>
        <w:top w:val="none" w:sz="0" w:space="0" w:color="auto"/>
        <w:left w:val="none" w:sz="0" w:space="0" w:color="auto"/>
        <w:bottom w:val="none" w:sz="0" w:space="0" w:color="auto"/>
        <w:right w:val="none" w:sz="0" w:space="0" w:color="auto"/>
      </w:divBdr>
    </w:div>
    <w:div w:id="1775438119">
      <w:bodyDiv w:val="1"/>
      <w:marLeft w:val="0"/>
      <w:marRight w:val="0"/>
      <w:marTop w:val="0"/>
      <w:marBottom w:val="0"/>
      <w:divBdr>
        <w:top w:val="none" w:sz="0" w:space="0" w:color="auto"/>
        <w:left w:val="none" w:sz="0" w:space="0" w:color="auto"/>
        <w:bottom w:val="none" w:sz="0" w:space="0" w:color="auto"/>
        <w:right w:val="none" w:sz="0" w:space="0" w:color="auto"/>
      </w:divBdr>
    </w:div>
    <w:div w:id="1789813876">
      <w:bodyDiv w:val="1"/>
      <w:marLeft w:val="0"/>
      <w:marRight w:val="0"/>
      <w:marTop w:val="0"/>
      <w:marBottom w:val="0"/>
      <w:divBdr>
        <w:top w:val="none" w:sz="0" w:space="0" w:color="auto"/>
        <w:left w:val="none" w:sz="0" w:space="0" w:color="auto"/>
        <w:bottom w:val="none" w:sz="0" w:space="0" w:color="auto"/>
        <w:right w:val="none" w:sz="0" w:space="0" w:color="auto"/>
      </w:divBdr>
    </w:div>
    <w:div w:id="1821531382">
      <w:bodyDiv w:val="1"/>
      <w:marLeft w:val="0"/>
      <w:marRight w:val="0"/>
      <w:marTop w:val="0"/>
      <w:marBottom w:val="0"/>
      <w:divBdr>
        <w:top w:val="none" w:sz="0" w:space="0" w:color="auto"/>
        <w:left w:val="none" w:sz="0" w:space="0" w:color="auto"/>
        <w:bottom w:val="none" w:sz="0" w:space="0" w:color="auto"/>
        <w:right w:val="none" w:sz="0" w:space="0" w:color="auto"/>
      </w:divBdr>
    </w:div>
    <w:div w:id="1832213199">
      <w:bodyDiv w:val="1"/>
      <w:marLeft w:val="0"/>
      <w:marRight w:val="0"/>
      <w:marTop w:val="0"/>
      <w:marBottom w:val="0"/>
      <w:divBdr>
        <w:top w:val="none" w:sz="0" w:space="0" w:color="auto"/>
        <w:left w:val="none" w:sz="0" w:space="0" w:color="auto"/>
        <w:bottom w:val="none" w:sz="0" w:space="0" w:color="auto"/>
        <w:right w:val="none" w:sz="0" w:space="0" w:color="auto"/>
      </w:divBdr>
      <w:divsChild>
        <w:div w:id="1669553749">
          <w:marLeft w:val="360"/>
          <w:marRight w:val="0"/>
          <w:marTop w:val="200"/>
          <w:marBottom w:val="0"/>
          <w:divBdr>
            <w:top w:val="none" w:sz="0" w:space="0" w:color="auto"/>
            <w:left w:val="none" w:sz="0" w:space="0" w:color="auto"/>
            <w:bottom w:val="none" w:sz="0" w:space="0" w:color="auto"/>
            <w:right w:val="none" w:sz="0" w:space="0" w:color="auto"/>
          </w:divBdr>
        </w:div>
        <w:div w:id="605040391">
          <w:marLeft w:val="360"/>
          <w:marRight w:val="0"/>
          <w:marTop w:val="200"/>
          <w:marBottom w:val="0"/>
          <w:divBdr>
            <w:top w:val="none" w:sz="0" w:space="0" w:color="auto"/>
            <w:left w:val="none" w:sz="0" w:space="0" w:color="auto"/>
            <w:bottom w:val="none" w:sz="0" w:space="0" w:color="auto"/>
            <w:right w:val="none" w:sz="0" w:space="0" w:color="auto"/>
          </w:divBdr>
        </w:div>
        <w:div w:id="1672177634">
          <w:marLeft w:val="360"/>
          <w:marRight w:val="0"/>
          <w:marTop w:val="200"/>
          <w:marBottom w:val="0"/>
          <w:divBdr>
            <w:top w:val="none" w:sz="0" w:space="0" w:color="auto"/>
            <w:left w:val="none" w:sz="0" w:space="0" w:color="auto"/>
            <w:bottom w:val="none" w:sz="0" w:space="0" w:color="auto"/>
            <w:right w:val="none" w:sz="0" w:space="0" w:color="auto"/>
          </w:divBdr>
        </w:div>
      </w:divsChild>
    </w:div>
    <w:div w:id="1837257396">
      <w:bodyDiv w:val="1"/>
      <w:marLeft w:val="0"/>
      <w:marRight w:val="0"/>
      <w:marTop w:val="0"/>
      <w:marBottom w:val="0"/>
      <w:divBdr>
        <w:top w:val="none" w:sz="0" w:space="0" w:color="auto"/>
        <w:left w:val="none" w:sz="0" w:space="0" w:color="auto"/>
        <w:bottom w:val="none" w:sz="0" w:space="0" w:color="auto"/>
        <w:right w:val="none" w:sz="0" w:space="0" w:color="auto"/>
      </w:divBdr>
    </w:div>
    <w:div w:id="1862669071">
      <w:bodyDiv w:val="1"/>
      <w:marLeft w:val="0"/>
      <w:marRight w:val="0"/>
      <w:marTop w:val="0"/>
      <w:marBottom w:val="0"/>
      <w:divBdr>
        <w:top w:val="none" w:sz="0" w:space="0" w:color="auto"/>
        <w:left w:val="none" w:sz="0" w:space="0" w:color="auto"/>
        <w:bottom w:val="none" w:sz="0" w:space="0" w:color="auto"/>
        <w:right w:val="none" w:sz="0" w:space="0" w:color="auto"/>
      </w:divBdr>
    </w:div>
    <w:div w:id="1891187336">
      <w:bodyDiv w:val="1"/>
      <w:marLeft w:val="0"/>
      <w:marRight w:val="0"/>
      <w:marTop w:val="0"/>
      <w:marBottom w:val="0"/>
      <w:divBdr>
        <w:top w:val="none" w:sz="0" w:space="0" w:color="auto"/>
        <w:left w:val="none" w:sz="0" w:space="0" w:color="auto"/>
        <w:bottom w:val="none" w:sz="0" w:space="0" w:color="auto"/>
        <w:right w:val="none" w:sz="0" w:space="0" w:color="auto"/>
      </w:divBdr>
      <w:divsChild>
        <w:div w:id="1489521141">
          <w:marLeft w:val="547"/>
          <w:marRight w:val="0"/>
          <w:marTop w:val="200"/>
          <w:marBottom w:val="0"/>
          <w:divBdr>
            <w:top w:val="none" w:sz="0" w:space="0" w:color="auto"/>
            <w:left w:val="none" w:sz="0" w:space="0" w:color="auto"/>
            <w:bottom w:val="none" w:sz="0" w:space="0" w:color="auto"/>
            <w:right w:val="none" w:sz="0" w:space="0" w:color="auto"/>
          </w:divBdr>
        </w:div>
        <w:div w:id="2095281726">
          <w:marLeft w:val="720"/>
          <w:marRight w:val="0"/>
          <w:marTop w:val="200"/>
          <w:marBottom w:val="0"/>
          <w:divBdr>
            <w:top w:val="none" w:sz="0" w:space="0" w:color="auto"/>
            <w:left w:val="none" w:sz="0" w:space="0" w:color="auto"/>
            <w:bottom w:val="none" w:sz="0" w:space="0" w:color="auto"/>
            <w:right w:val="none" w:sz="0" w:space="0" w:color="auto"/>
          </w:divBdr>
        </w:div>
        <w:div w:id="1221215353">
          <w:marLeft w:val="720"/>
          <w:marRight w:val="0"/>
          <w:marTop w:val="200"/>
          <w:marBottom w:val="0"/>
          <w:divBdr>
            <w:top w:val="none" w:sz="0" w:space="0" w:color="auto"/>
            <w:left w:val="none" w:sz="0" w:space="0" w:color="auto"/>
            <w:bottom w:val="none" w:sz="0" w:space="0" w:color="auto"/>
            <w:right w:val="none" w:sz="0" w:space="0" w:color="auto"/>
          </w:divBdr>
        </w:div>
        <w:div w:id="1839692631">
          <w:marLeft w:val="720"/>
          <w:marRight w:val="0"/>
          <w:marTop w:val="200"/>
          <w:marBottom w:val="0"/>
          <w:divBdr>
            <w:top w:val="none" w:sz="0" w:space="0" w:color="auto"/>
            <w:left w:val="none" w:sz="0" w:space="0" w:color="auto"/>
            <w:bottom w:val="none" w:sz="0" w:space="0" w:color="auto"/>
            <w:right w:val="none" w:sz="0" w:space="0" w:color="auto"/>
          </w:divBdr>
        </w:div>
      </w:divsChild>
    </w:div>
    <w:div w:id="1901477680">
      <w:bodyDiv w:val="1"/>
      <w:marLeft w:val="0"/>
      <w:marRight w:val="0"/>
      <w:marTop w:val="0"/>
      <w:marBottom w:val="0"/>
      <w:divBdr>
        <w:top w:val="none" w:sz="0" w:space="0" w:color="auto"/>
        <w:left w:val="none" w:sz="0" w:space="0" w:color="auto"/>
        <w:bottom w:val="none" w:sz="0" w:space="0" w:color="auto"/>
        <w:right w:val="none" w:sz="0" w:space="0" w:color="auto"/>
      </w:divBdr>
    </w:div>
    <w:div w:id="1917935511">
      <w:bodyDiv w:val="1"/>
      <w:marLeft w:val="0"/>
      <w:marRight w:val="0"/>
      <w:marTop w:val="0"/>
      <w:marBottom w:val="0"/>
      <w:divBdr>
        <w:top w:val="none" w:sz="0" w:space="0" w:color="auto"/>
        <w:left w:val="none" w:sz="0" w:space="0" w:color="auto"/>
        <w:bottom w:val="none" w:sz="0" w:space="0" w:color="auto"/>
        <w:right w:val="none" w:sz="0" w:space="0" w:color="auto"/>
      </w:divBdr>
    </w:div>
    <w:div w:id="1953854464">
      <w:bodyDiv w:val="1"/>
      <w:marLeft w:val="0"/>
      <w:marRight w:val="0"/>
      <w:marTop w:val="0"/>
      <w:marBottom w:val="0"/>
      <w:divBdr>
        <w:top w:val="none" w:sz="0" w:space="0" w:color="auto"/>
        <w:left w:val="none" w:sz="0" w:space="0" w:color="auto"/>
        <w:bottom w:val="none" w:sz="0" w:space="0" w:color="auto"/>
        <w:right w:val="none" w:sz="0" w:space="0" w:color="auto"/>
      </w:divBdr>
    </w:div>
    <w:div w:id="1975941358">
      <w:bodyDiv w:val="1"/>
      <w:marLeft w:val="0"/>
      <w:marRight w:val="0"/>
      <w:marTop w:val="0"/>
      <w:marBottom w:val="0"/>
      <w:divBdr>
        <w:top w:val="none" w:sz="0" w:space="0" w:color="auto"/>
        <w:left w:val="none" w:sz="0" w:space="0" w:color="auto"/>
        <w:bottom w:val="none" w:sz="0" w:space="0" w:color="auto"/>
        <w:right w:val="none" w:sz="0" w:space="0" w:color="auto"/>
      </w:divBdr>
    </w:div>
    <w:div w:id="1979140000">
      <w:bodyDiv w:val="1"/>
      <w:marLeft w:val="0"/>
      <w:marRight w:val="0"/>
      <w:marTop w:val="0"/>
      <w:marBottom w:val="0"/>
      <w:divBdr>
        <w:top w:val="none" w:sz="0" w:space="0" w:color="auto"/>
        <w:left w:val="none" w:sz="0" w:space="0" w:color="auto"/>
        <w:bottom w:val="none" w:sz="0" w:space="0" w:color="auto"/>
        <w:right w:val="none" w:sz="0" w:space="0" w:color="auto"/>
      </w:divBdr>
    </w:div>
    <w:div w:id="1980570512">
      <w:bodyDiv w:val="1"/>
      <w:marLeft w:val="0"/>
      <w:marRight w:val="0"/>
      <w:marTop w:val="0"/>
      <w:marBottom w:val="0"/>
      <w:divBdr>
        <w:top w:val="none" w:sz="0" w:space="0" w:color="auto"/>
        <w:left w:val="none" w:sz="0" w:space="0" w:color="auto"/>
        <w:bottom w:val="none" w:sz="0" w:space="0" w:color="auto"/>
        <w:right w:val="none" w:sz="0" w:space="0" w:color="auto"/>
      </w:divBdr>
    </w:div>
    <w:div w:id="1982033070">
      <w:bodyDiv w:val="1"/>
      <w:marLeft w:val="0"/>
      <w:marRight w:val="0"/>
      <w:marTop w:val="0"/>
      <w:marBottom w:val="0"/>
      <w:divBdr>
        <w:top w:val="none" w:sz="0" w:space="0" w:color="auto"/>
        <w:left w:val="none" w:sz="0" w:space="0" w:color="auto"/>
        <w:bottom w:val="none" w:sz="0" w:space="0" w:color="auto"/>
        <w:right w:val="none" w:sz="0" w:space="0" w:color="auto"/>
      </w:divBdr>
      <w:divsChild>
        <w:div w:id="1531719471">
          <w:marLeft w:val="360"/>
          <w:marRight w:val="0"/>
          <w:marTop w:val="200"/>
          <w:marBottom w:val="160"/>
          <w:divBdr>
            <w:top w:val="none" w:sz="0" w:space="0" w:color="auto"/>
            <w:left w:val="none" w:sz="0" w:space="0" w:color="auto"/>
            <w:bottom w:val="none" w:sz="0" w:space="0" w:color="auto"/>
            <w:right w:val="none" w:sz="0" w:space="0" w:color="auto"/>
          </w:divBdr>
        </w:div>
        <w:div w:id="1939363087">
          <w:marLeft w:val="547"/>
          <w:marRight w:val="0"/>
          <w:marTop w:val="200"/>
          <w:marBottom w:val="160"/>
          <w:divBdr>
            <w:top w:val="none" w:sz="0" w:space="0" w:color="auto"/>
            <w:left w:val="none" w:sz="0" w:space="0" w:color="auto"/>
            <w:bottom w:val="none" w:sz="0" w:space="0" w:color="auto"/>
            <w:right w:val="none" w:sz="0" w:space="0" w:color="auto"/>
          </w:divBdr>
        </w:div>
        <w:div w:id="1968050536">
          <w:marLeft w:val="547"/>
          <w:marRight w:val="0"/>
          <w:marTop w:val="200"/>
          <w:marBottom w:val="160"/>
          <w:divBdr>
            <w:top w:val="none" w:sz="0" w:space="0" w:color="auto"/>
            <w:left w:val="none" w:sz="0" w:space="0" w:color="auto"/>
            <w:bottom w:val="none" w:sz="0" w:space="0" w:color="auto"/>
            <w:right w:val="none" w:sz="0" w:space="0" w:color="auto"/>
          </w:divBdr>
        </w:div>
        <w:div w:id="805968516">
          <w:marLeft w:val="360"/>
          <w:marRight w:val="0"/>
          <w:marTop w:val="200"/>
          <w:marBottom w:val="160"/>
          <w:divBdr>
            <w:top w:val="none" w:sz="0" w:space="0" w:color="auto"/>
            <w:left w:val="none" w:sz="0" w:space="0" w:color="auto"/>
            <w:bottom w:val="none" w:sz="0" w:space="0" w:color="auto"/>
            <w:right w:val="none" w:sz="0" w:space="0" w:color="auto"/>
          </w:divBdr>
        </w:div>
        <w:div w:id="69353963">
          <w:marLeft w:val="360"/>
          <w:marRight w:val="0"/>
          <w:marTop w:val="200"/>
          <w:marBottom w:val="160"/>
          <w:divBdr>
            <w:top w:val="none" w:sz="0" w:space="0" w:color="auto"/>
            <w:left w:val="none" w:sz="0" w:space="0" w:color="auto"/>
            <w:bottom w:val="none" w:sz="0" w:space="0" w:color="auto"/>
            <w:right w:val="none" w:sz="0" w:space="0" w:color="auto"/>
          </w:divBdr>
        </w:div>
      </w:divsChild>
    </w:div>
    <w:div w:id="1986932736">
      <w:bodyDiv w:val="1"/>
      <w:marLeft w:val="0"/>
      <w:marRight w:val="0"/>
      <w:marTop w:val="0"/>
      <w:marBottom w:val="0"/>
      <w:divBdr>
        <w:top w:val="none" w:sz="0" w:space="0" w:color="auto"/>
        <w:left w:val="none" w:sz="0" w:space="0" w:color="auto"/>
        <w:bottom w:val="none" w:sz="0" w:space="0" w:color="auto"/>
        <w:right w:val="none" w:sz="0" w:space="0" w:color="auto"/>
      </w:divBdr>
    </w:div>
    <w:div w:id="2024549252">
      <w:bodyDiv w:val="1"/>
      <w:marLeft w:val="0"/>
      <w:marRight w:val="0"/>
      <w:marTop w:val="0"/>
      <w:marBottom w:val="0"/>
      <w:divBdr>
        <w:top w:val="none" w:sz="0" w:space="0" w:color="auto"/>
        <w:left w:val="none" w:sz="0" w:space="0" w:color="auto"/>
        <w:bottom w:val="none" w:sz="0" w:space="0" w:color="auto"/>
        <w:right w:val="none" w:sz="0" w:space="0" w:color="auto"/>
      </w:divBdr>
    </w:div>
    <w:div w:id="2061437363">
      <w:bodyDiv w:val="1"/>
      <w:marLeft w:val="0"/>
      <w:marRight w:val="0"/>
      <w:marTop w:val="0"/>
      <w:marBottom w:val="0"/>
      <w:divBdr>
        <w:top w:val="none" w:sz="0" w:space="0" w:color="auto"/>
        <w:left w:val="none" w:sz="0" w:space="0" w:color="auto"/>
        <w:bottom w:val="none" w:sz="0" w:space="0" w:color="auto"/>
        <w:right w:val="none" w:sz="0" w:space="0" w:color="auto"/>
      </w:divBdr>
      <w:divsChild>
        <w:div w:id="707295380">
          <w:marLeft w:val="547"/>
          <w:marRight w:val="0"/>
          <w:marTop w:val="200"/>
          <w:marBottom w:val="0"/>
          <w:divBdr>
            <w:top w:val="none" w:sz="0" w:space="0" w:color="auto"/>
            <w:left w:val="none" w:sz="0" w:space="0" w:color="auto"/>
            <w:bottom w:val="none" w:sz="0" w:space="0" w:color="auto"/>
            <w:right w:val="none" w:sz="0" w:space="0" w:color="auto"/>
          </w:divBdr>
        </w:div>
        <w:div w:id="1723285219">
          <w:marLeft w:val="547"/>
          <w:marRight w:val="0"/>
          <w:marTop w:val="200"/>
          <w:marBottom w:val="0"/>
          <w:divBdr>
            <w:top w:val="none" w:sz="0" w:space="0" w:color="auto"/>
            <w:left w:val="none" w:sz="0" w:space="0" w:color="auto"/>
            <w:bottom w:val="none" w:sz="0" w:space="0" w:color="auto"/>
            <w:right w:val="none" w:sz="0" w:space="0" w:color="auto"/>
          </w:divBdr>
        </w:div>
        <w:div w:id="1762754234">
          <w:marLeft w:val="547"/>
          <w:marRight w:val="0"/>
          <w:marTop w:val="200"/>
          <w:marBottom w:val="0"/>
          <w:divBdr>
            <w:top w:val="none" w:sz="0" w:space="0" w:color="auto"/>
            <w:left w:val="none" w:sz="0" w:space="0" w:color="auto"/>
            <w:bottom w:val="none" w:sz="0" w:space="0" w:color="auto"/>
            <w:right w:val="none" w:sz="0" w:space="0" w:color="auto"/>
          </w:divBdr>
        </w:div>
        <w:div w:id="254899463">
          <w:marLeft w:val="547"/>
          <w:marRight w:val="0"/>
          <w:marTop w:val="200"/>
          <w:marBottom w:val="0"/>
          <w:divBdr>
            <w:top w:val="none" w:sz="0" w:space="0" w:color="auto"/>
            <w:left w:val="none" w:sz="0" w:space="0" w:color="auto"/>
            <w:bottom w:val="none" w:sz="0" w:space="0" w:color="auto"/>
            <w:right w:val="none" w:sz="0" w:space="0" w:color="auto"/>
          </w:divBdr>
        </w:div>
        <w:div w:id="2127849963">
          <w:marLeft w:val="547"/>
          <w:marRight w:val="0"/>
          <w:marTop w:val="200"/>
          <w:marBottom w:val="0"/>
          <w:divBdr>
            <w:top w:val="none" w:sz="0" w:space="0" w:color="auto"/>
            <w:left w:val="none" w:sz="0" w:space="0" w:color="auto"/>
            <w:bottom w:val="none" w:sz="0" w:space="0" w:color="auto"/>
            <w:right w:val="none" w:sz="0" w:space="0" w:color="auto"/>
          </w:divBdr>
        </w:div>
      </w:divsChild>
    </w:div>
    <w:div w:id="2092193323">
      <w:bodyDiv w:val="1"/>
      <w:marLeft w:val="0"/>
      <w:marRight w:val="0"/>
      <w:marTop w:val="0"/>
      <w:marBottom w:val="0"/>
      <w:divBdr>
        <w:top w:val="none" w:sz="0" w:space="0" w:color="auto"/>
        <w:left w:val="none" w:sz="0" w:space="0" w:color="auto"/>
        <w:bottom w:val="none" w:sz="0" w:space="0" w:color="auto"/>
        <w:right w:val="none" w:sz="0" w:space="0" w:color="auto"/>
      </w:divBdr>
    </w:div>
    <w:div w:id="2107533925">
      <w:bodyDiv w:val="1"/>
      <w:marLeft w:val="0"/>
      <w:marRight w:val="0"/>
      <w:marTop w:val="0"/>
      <w:marBottom w:val="0"/>
      <w:divBdr>
        <w:top w:val="none" w:sz="0" w:space="0" w:color="auto"/>
        <w:left w:val="none" w:sz="0" w:space="0" w:color="auto"/>
        <w:bottom w:val="none" w:sz="0" w:space="0" w:color="auto"/>
        <w:right w:val="none" w:sz="0" w:space="0" w:color="auto"/>
      </w:divBdr>
    </w:div>
    <w:div w:id="2127039887">
      <w:bodyDiv w:val="1"/>
      <w:marLeft w:val="0"/>
      <w:marRight w:val="0"/>
      <w:marTop w:val="0"/>
      <w:marBottom w:val="0"/>
      <w:divBdr>
        <w:top w:val="none" w:sz="0" w:space="0" w:color="auto"/>
        <w:left w:val="none" w:sz="0" w:space="0" w:color="auto"/>
        <w:bottom w:val="none" w:sz="0" w:space="0" w:color="auto"/>
        <w:right w:val="none" w:sz="0" w:space="0" w:color="auto"/>
      </w:divBdr>
      <w:divsChild>
        <w:div w:id="1054694139">
          <w:marLeft w:val="360"/>
          <w:marRight w:val="0"/>
          <w:marTop w:val="200"/>
          <w:marBottom w:val="160"/>
          <w:divBdr>
            <w:top w:val="none" w:sz="0" w:space="0" w:color="auto"/>
            <w:left w:val="none" w:sz="0" w:space="0" w:color="auto"/>
            <w:bottom w:val="none" w:sz="0" w:space="0" w:color="auto"/>
            <w:right w:val="none" w:sz="0" w:space="0" w:color="auto"/>
          </w:divBdr>
        </w:div>
        <w:div w:id="1738212544">
          <w:marLeft w:val="360"/>
          <w:marRight w:val="0"/>
          <w:marTop w:val="200"/>
          <w:marBottom w:val="160"/>
          <w:divBdr>
            <w:top w:val="none" w:sz="0" w:space="0" w:color="auto"/>
            <w:left w:val="none" w:sz="0" w:space="0" w:color="auto"/>
            <w:bottom w:val="none" w:sz="0" w:space="0" w:color="auto"/>
            <w:right w:val="none" w:sz="0" w:space="0" w:color="auto"/>
          </w:divBdr>
        </w:div>
        <w:div w:id="1232424504">
          <w:marLeft w:val="360"/>
          <w:marRight w:val="0"/>
          <w:marTop w:val="200"/>
          <w:marBottom w:val="160"/>
          <w:divBdr>
            <w:top w:val="none" w:sz="0" w:space="0" w:color="auto"/>
            <w:left w:val="none" w:sz="0" w:space="0" w:color="auto"/>
            <w:bottom w:val="none" w:sz="0" w:space="0" w:color="auto"/>
            <w:right w:val="none" w:sz="0" w:space="0" w:color="auto"/>
          </w:divBdr>
        </w:div>
        <w:div w:id="274750273">
          <w:marLeft w:val="360"/>
          <w:marRight w:val="0"/>
          <w:marTop w:val="200"/>
          <w:marBottom w:val="160"/>
          <w:divBdr>
            <w:top w:val="none" w:sz="0" w:space="0" w:color="auto"/>
            <w:left w:val="none" w:sz="0" w:space="0" w:color="auto"/>
            <w:bottom w:val="none" w:sz="0" w:space="0" w:color="auto"/>
            <w:right w:val="none" w:sz="0" w:space="0" w:color="auto"/>
          </w:divBdr>
        </w:div>
      </w:divsChild>
    </w:div>
    <w:div w:id="2136481220">
      <w:bodyDiv w:val="1"/>
      <w:marLeft w:val="0"/>
      <w:marRight w:val="0"/>
      <w:marTop w:val="0"/>
      <w:marBottom w:val="0"/>
      <w:divBdr>
        <w:top w:val="none" w:sz="0" w:space="0" w:color="auto"/>
        <w:left w:val="none" w:sz="0" w:space="0" w:color="auto"/>
        <w:bottom w:val="none" w:sz="0" w:space="0" w:color="auto"/>
        <w:right w:val="none" w:sz="0" w:space="0" w:color="auto"/>
      </w:divBdr>
      <w:divsChild>
        <w:div w:id="1801264276">
          <w:marLeft w:val="360"/>
          <w:marRight w:val="0"/>
          <w:marTop w:val="200"/>
          <w:marBottom w:val="0"/>
          <w:divBdr>
            <w:top w:val="none" w:sz="0" w:space="0" w:color="auto"/>
            <w:left w:val="none" w:sz="0" w:space="0" w:color="auto"/>
            <w:bottom w:val="none" w:sz="0" w:space="0" w:color="auto"/>
            <w:right w:val="none" w:sz="0" w:space="0" w:color="auto"/>
          </w:divBdr>
        </w:div>
        <w:div w:id="869688166">
          <w:marLeft w:val="360"/>
          <w:marRight w:val="0"/>
          <w:marTop w:val="200"/>
          <w:marBottom w:val="0"/>
          <w:divBdr>
            <w:top w:val="none" w:sz="0" w:space="0" w:color="auto"/>
            <w:left w:val="none" w:sz="0" w:space="0" w:color="auto"/>
            <w:bottom w:val="none" w:sz="0" w:space="0" w:color="auto"/>
            <w:right w:val="none" w:sz="0" w:space="0" w:color="auto"/>
          </w:divBdr>
        </w:div>
        <w:div w:id="1476800207">
          <w:marLeft w:val="360"/>
          <w:marRight w:val="0"/>
          <w:marTop w:val="200"/>
          <w:marBottom w:val="0"/>
          <w:divBdr>
            <w:top w:val="none" w:sz="0" w:space="0" w:color="auto"/>
            <w:left w:val="none" w:sz="0" w:space="0" w:color="auto"/>
            <w:bottom w:val="none" w:sz="0" w:space="0" w:color="auto"/>
            <w:right w:val="none" w:sz="0" w:space="0" w:color="auto"/>
          </w:divBdr>
        </w:div>
        <w:div w:id="1090466610">
          <w:marLeft w:val="360"/>
          <w:marRight w:val="0"/>
          <w:marTop w:val="200"/>
          <w:marBottom w:val="0"/>
          <w:divBdr>
            <w:top w:val="none" w:sz="0" w:space="0" w:color="auto"/>
            <w:left w:val="none" w:sz="0" w:space="0" w:color="auto"/>
            <w:bottom w:val="none" w:sz="0" w:space="0" w:color="auto"/>
            <w:right w:val="none" w:sz="0" w:space="0" w:color="auto"/>
          </w:divBdr>
        </w:div>
        <w:div w:id="114373203">
          <w:marLeft w:val="360"/>
          <w:marRight w:val="0"/>
          <w:marTop w:val="200"/>
          <w:marBottom w:val="0"/>
          <w:divBdr>
            <w:top w:val="none" w:sz="0" w:space="0" w:color="auto"/>
            <w:left w:val="none" w:sz="0" w:space="0" w:color="auto"/>
            <w:bottom w:val="none" w:sz="0" w:space="0" w:color="auto"/>
            <w:right w:val="none" w:sz="0" w:space="0" w:color="auto"/>
          </w:divBdr>
        </w:div>
        <w:div w:id="12162356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chfields.uk/grow-renew-protect-planning-for-the-future/how-many-homes-the-new-standard-metho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chfields.uk/grow-renew-protect-planning-for-the-future/how-many-homes-the-new-standard-metho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uk-house-price-index-for-september-2019" TargetMode="External"/><Relationship Id="rId1" Type="http://schemas.openxmlformats.org/officeDocument/2006/relationships/hyperlink" Target="https://www.gov.uk/government/news/uk-house-price-index-for-september-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4A175C" w:rsidRDefault="007B494E">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5C"/>
    <w:rsid w:val="00020A6A"/>
    <w:rsid w:val="00033BDC"/>
    <w:rsid w:val="000C0E4B"/>
    <w:rsid w:val="000D478F"/>
    <w:rsid w:val="000F46F7"/>
    <w:rsid w:val="001D4CE7"/>
    <w:rsid w:val="00242AC9"/>
    <w:rsid w:val="00280A43"/>
    <w:rsid w:val="002E2CDD"/>
    <w:rsid w:val="002F52AE"/>
    <w:rsid w:val="00385C3F"/>
    <w:rsid w:val="00397BF8"/>
    <w:rsid w:val="004A175C"/>
    <w:rsid w:val="004A4896"/>
    <w:rsid w:val="00531C08"/>
    <w:rsid w:val="00533ED8"/>
    <w:rsid w:val="00542B32"/>
    <w:rsid w:val="005C47D2"/>
    <w:rsid w:val="005E6225"/>
    <w:rsid w:val="006C6213"/>
    <w:rsid w:val="007442A1"/>
    <w:rsid w:val="00763CAB"/>
    <w:rsid w:val="0079374C"/>
    <w:rsid w:val="007B33C7"/>
    <w:rsid w:val="007B494E"/>
    <w:rsid w:val="007F2F8F"/>
    <w:rsid w:val="008352C3"/>
    <w:rsid w:val="008B501E"/>
    <w:rsid w:val="008F23A2"/>
    <w:rsid w:val="00973FBF"/>
    <w:rsid w:val="009B7698"/>
    <w:rsid w:val="009E5D4B"/>
    <w:rsid w:val="00BE5E15"/>
    <w:rsid w:val="00BF5FF5"/>
    <w:rsid w:val="00C62E1F"/>
    <w:rsid w:val="00CC04AE"/>
    <w:rsid w:val="00D17CA1"/>
    <w:rsid w:val="00F8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0CFEAD60CB942B1E067936D91503E" ma:contentTypeVersion="7" ma:contentTypeDescription="Create a new document." ma:contentTypeScope="" ma:versionID="75d7ee0591649cdb27b4892a0c08f0d0">
  <xsd:schema xmlns:xsd="http://www.w3.org/2001/XMLSchema" xmlns:xs="http://www.w3.org/2001/XMLSchema" xmlns:p="http://schemas.microsoft.com/office/2006/metadata/properties" xmlns:ns3="6bc02dcd-e87f-4238-b027-becbd2eb5171" xmlns:ns4="a6bd4e7a-49ec-4a2d-b72b-1a740aa4e6c0" targetNamespace="http://schemas.microsoft.com/office/2006/metadata/properties" ma:root="true" ma:fieldsID="6b6c0219dec67a97ee16a30ae6f1f386" ns3:_="" ns4:_="">
    <xsd:import namespace="6bc02dcd-e87f-4238-b027-becbd2eb5171"/>
    <xsd:import namespace="a6bd4e7a-49ec-4a2d-b72b-1a740aa4e6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02dcd-e87f-4238-b027-becbd2eb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d4e7a-49ec-4a2d-b72b-1a740aa4e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2733-3305-4718-9E65-4257E671831F}">
  <ds:schemaRefs>
    <ds:schemaRef ds:uri="http://schemas.microsoft.com/sharepoint/v3/contenttype/forms"/>
  </ds:schemaRefs>
</ds:datastoreItem>
</file>

<file path=customXml/itemProps2.xml><?xml version="1.0" encoding="utf-8"?>
<ds:datastoreItem xmlns:ds="http://schemas.openxmlformats.org/officeDocument/2006/customXml" ds:itemID="{77C73BEF-B417-46A4-AF2F-81ACE3024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02dcd-e87f-4238-b027-becbd2eb5171"/>
    <ds:schemaRef ds:uri="a6bd4e7a-49ec-4a2d-b72b-1a740aa4e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D0028-FFD1-43AE-93C8-E1926119C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8EA6A-C79D-4ED0-8E75-AAAFAF82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5</TotalTime>
  <Pages>1</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Nick Smith</cp:lastModifiedBy>
  <cp:revision>4</cp:revision>
  <cp:lastPrinted>2018-05-04T12:03:00Z</cp:lastPrinted>
  <dcterms:created xsi:type="dcterms:W3CDTF">2020-10-01T11:22:00Z</dcterms:created>
  <dcterms:modified xsi:type="dcterms:W3CDTF">2020-10-01T11:24:00Z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ContentTypeId">
    <vt:lpwstr>0x0101006A30CFEAD60CB942B1E067936D91503E</vt:lpwstr>
  </property>
</Properties>
</file>