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6DFE09" w14:textId="77777777" w:rsidR="007C5867" w:rsidRDefault="00937D0A" w:rsidP="00A8624F">
      <w:pPr>
        <w:pStyle w:val="Heading1"/>
        <w:spacing w:before="0"/>
      </w:pPr>
      <w:r>
        <w:t xml:space="preserve">Appendix A: </w:t>
      </w:r>
      <w:r w:rsidR="00EF70AA">
        <w:t>Levy Business Case for London within the Thames Catchment</w:t>
      </w:r>
    </w:p>
    <w:p w14:paraId="13B7584B" w14:textId="77777777" w:rsidR="00B27DD1" w:rsidRDefault="00B27DD1" w:rsidP="00A25CDA">
      <w:pPr>
        <w:pStyle w:val="Heading2"/>
        <w:jc w:val="both"/>
      </w:pPr>
      <w:r>
        <w:t>Introduction</w:t>
      </w:r>
    </w:p>
    <w:p w14:paraId="277DC8CE" w14:textId="33C341AB" w:rsidR="007B20F6" w:rsidRPr="002F6879" w:rsidRDefault="00BC7904" w:rsidP="007B20F6">
      <w:pPr>
        <w:jc w:val="both"/>
      </w:pPr>
      <w:r>
        <w:t>T</w:t>
      </w:r>
      <w:r w:rsidR="003E25EB" w:rsidRPr="003E25EB">
        <w:t>he Thames R</w:t>
      </w:r>
      <w:r w:rsidR="002A7331">
        <w:t>egional Flood and Coastal Committee (Thames R</w:t>
      </w:r>
      <w:r w:rsidR="003E25EB" w:rsidRPr="003E25EB">
        <w:t>FCC</w:t>
      </w:r>
      <w:r w:rsidR="002A7331">
        <w:t>)</w:t>
      </w:r>
      <w:r w:rsidR="003E25EB" w:rsidRPr="003E25EB">
        <w:t xml:space="preserve"> agreed</w:t>
      </w:r>
      <w:r w:rsidR="003E25EB">
        <w:t>, in January 2015,</w:t>
      </w:r>
      <w:r w:rsidR="003E25EB" w:rsidRPr="003E25EB">
        <w:t xml:space="preserve"> a programme of capital projects to reduce flood risk across the catchment over six years to April 2021. Together with the 10 year </w:t>
      </w:r>
      <w:r w:rsidR="00A903F1">
        <w:t xml:space="preserve">tidal </w:t>
      </w:r>
      <w:r w:rsidR="003E25EB" w:rsidRPr="003E25EB">
        <w:t>programme to renew and upgrade the tidal defences within London</w:t>
      </w:r>
      <w:r w:rsidR="00F47313">
        <w:t>,</w:t>
      </w:r>
      <w:r w:rsidR="003E25EB" w:rsidRPr="003E25EB">
        <w:t xml:space="preserve"> this programme represent</w:t>
      </w:r>
      <w:r>
        <w:t xml:space="preserve">s </w:t>
      </w:r>
      <w:r w:rsidR="003E25EB" w:rsidRPr="003E25EB">
        <w:t xml:space="preserve">£4.4 billion of </w:t>
      </w:r>
      <w:r w:rsidR="003E25EB" w:rsidRPr="002F6879">
        <w:t>direct benefits to London in damages avoided from all sources of flooding</w:t>
      </w:r>
      <w:r w:rsidR="00A903F1" w:rsidRPr="002F6879">
        <w:t xml:space="preserve"> within the </w:t>
      </w:r>
      <w:r w:rsidR="00D6219C" w:rsidRPr="002F6879">
        <w:t xml:space="preserve">six </w:t>
      </w:r>
      <w:r w:rsidR="00A903F1" w:rsidRPr="002F6879">
        <w:t>year programme</w:t>
      </w:r>
      <w:r w:rsidR="003E25EB" w:rsidRPr="002F6879">
        <w:t>.</w:t>
      </w:r>
      <w:r w:rsidR="007B20F6" w:rsidRPr="002F6879">
        <w:t xml:space="preserve"> Over the lifetime of the Thames RFCC programme (average lifetime of a project is 74 years) there are £122 billion of direct benefits in damages avoided from all sources of flooding.</w:t>
      </w:r>
    </w:p>
    <w:p w14:paraId="6F4D4CBC" w14:textId="19A6DF33" w:rsidR="002A7331" w:rsidRPr="002F6879" w:rsidRDefault="005138B0" w:rsidP="00A25CDA">
      <w:pPr>
        <w:jc w:val="both"/>
      </w:pPr>
      <w:r w:rsidRPr="002F6879">
        <w:t>This paper summarises the business case presented</w:t>
      </w:r>
      <w:r w:rsidR="00D6219C" w:rsidRPr="002F6879">
        <w:t xml:space="preserve"> to TEC</w:t>
      </w:r>
      <w:r w:rsidRPr="002F6879">
        <w:t xml:space="preserve"> in 2014</w:t>
      </w:r>
      <w:r w:rsidR="00D6219C" w:rsidRPr="002F6879">
        <w:t>;</w:t>
      </w:r>
      <w:r w:rsidR="00F47313" w:rsidRPr="002F6879">
        <w:t xml:space="preserve"> provides</w:t>
      </w:r>
      <w:r w:rsidRPr="002F6879">
        <w:t xml:space="preserve"> an update on progress of the six year programme</w:t>
      </w:r>
      <w:r w:rsidR="00D6219C" w:rsidRPr="002F6879">
        <w:t xml:space="preserve">; </w:t>
      </w:r>
      <w:r w:rsidRPr="002F6879">
        <w:t xml:space="preserve">and </w:t>
      </w:r>
      <w:r w:rsidR="00D6219C" w:rsidRPr="002F6879">
        <w:t xml:space="preserve">sets out the </w:t>
      </w:r>
      <w:r w:rsidRPr="002F6879">
        <w:t xml:space="preserve">business case for </w:t>
      </w:r>
      <w:r w:rsidR="00D6219C" w:rsidRPr="002F6879">
        <w:t xml:space="preserve">a </w:t>
      </w:r>
      <w:r w:rsidRPr="002F6879">
        <w:t xml:space="preserve">planned levy increase </w:t>
      </w:r>
      <w:r w:rsidR="00BC7904" w:rsidRPr="002F6879">
        <w:t xml:space="preserve">in 2017/18 </w:t>
      </w:r>
      <w:r w:rsidR="00D6219C" w:rsidRPr="002F6879">
        <w:t xml:space="preserve">totalling </w:t>
      </w:r>
      <w:r w:rsidRPr="002F6879">
        <w:t xml:space="preserve">£217,157 </w:t>
      </w:r>
      <w:r w:rsidR="00BC7904" w:rsidRPr="002F6879">
        <w:t xml:space="preserve">which would be </w:t>
      </w:r>
      <w:r w:rsidR="00D6219C" w:rsidRPr="002F6879">
        <w:t xml:space="preserve">paid by the </w:t>
      </w:r>
      <w:r w:rsidRPr="002F6879">
        <w:t>47 London boroug</w:t>
      </w:r>
      <w:r w:rsidR="00BC7904" w:rsidRPr="002F6879">
        <w:t>hs, unitary and county councils in the Thames RFCC area.</w:t>
      </w:r>
    </w:p>
    <w:p w14:paraId="00B723C0" w14:textId="77777777" w:rsidR="00EF70AA" w:rsidRPr="002F6879" w:rsidRDefault="00EF70AA" w:rsidP="00A25CDA">
      <w:pPr>
        <w:pStyle w:val="Heading2"/>
        <w:jc w:val="both"/>
      </w:pPr>
      <w:r w:rsidRPr="002F6879">
        <w:t>London’s flood risk</w:t>
      </w:r>
    </w:p>
    <w:p w14:paraId="0CE3406A" w14:textId="3A92ABC9" w:rsidR="00FC3EB1" w:rsidRPr="002F6879" w:rsidRDefault="0054359C" w:rsidP="00A25CDA">
      <w:pPr>
        <w:jc w:val="both"/>
      </w:pPr>
      <w:r w:rsidRPr="002F6879">
        <w:t>London is a</w:t>
      </w:r>
      <w:r w:rsidR="00B84809" w:rsidRPr="002F6879">
        <w:t>t</w:t>
      </w:r>
      <w:r w:rsidRPr="002F6879">
        <w:t xml:space="preserve"> risk of tidal flooding from the Thames</w:t>
      </w:r>
      <w:r w:rsidR="00853259" w:rsidRPr="002F6879">
        <w:t>;</w:t>
      </w:r>
      <w:r w:rsidRPr="002F6879">
        <w:t xml:space="preserve"> river flooding from the many rivers and streams across London</w:t>
      </w:r>
      <w:r w:rsidR="00853259" w:rsidRPr="002F6879">
        <w:t>;</w:t>
      </w:r>
      <w:r w:rsidRPr="002F6879">
        <w:t xml:space="preserve"> </w:t>
      </w:r>
      <w:r w:rsidR="002A7331" w:rsidRPr="002F6879">
        <w:t xml:space="preserve">as well </w:t>
      </w:r>
      <w:r w:rsidR="007B20F6" w:rsidRPr="002F6879">
        <w:t xml:space="preserve">as </w:t>
      </w:r>
      <w:r w:rsidRPr="002F6879">
        <w:t xml:space="preserve">surface water </w:t>
      </w:r>
      <w:r w:rsidR="002A7331" w:rsidRPr="002F6879">
        <w:t xml:space="preserve">and groundwater </w:t>
      </w:r>
      <w:r w:rsidRPr="002F6879">
        <w:t xml:space="preserve">flooding, which </w:t>
      </w:r>
      <w:r w:rsidR="002A7331" w:rsidRPr="002F6879">
        <w:t xml:space="preserve">can </w:t>
      </w:r>
      <w:r w:rsidRPr="002F6879">
        <w:t>occur</w:t>
      </w:r>
      <w:r w:rsidR="002A7331" w:rsidRPr="002F6879">
        <w:t xml:space="preserve"> </w:t>
      </w:r>
      <w:r w:rsidRPr="002F6879">
        <w:t xml:space="preserve">after heavy rainfall. </w:t>
      </w:r>
      <w:r w:rsidR="0055040E" w:rsidRPr="002F6879">
        <w:t>T</w:t>
      </w:r>
      <w:r w:rsidR="00382F1B" w:rsidRPr="002F6879">
        <w:t>able</w:t>
      </w:r>
      <w:r w:rsidR="0055040E" w:rsidRPr="002F6879">
        <w:t xml:space="preserve"> 1</w:t>
      </w:r>
      <w:r w:rsidR="00382F1B" w:rsidRPr="002F6879">
        <w:t xml:space="preserve"> below summarises the number of properties at risk </w:t>
      </w:r>
      <w:r w:rsidR="00B27DD1" w:rsidRPr="002F6879">
        <w:t>from these sources</w:t>
      </w:r>
      <w:r w:rsidR="00A903F1" w:rsidRPr="002F6879">
        <w:t xml:space="preserve"> using national datasets</w:t>
      </w:r>
      <w:r w:rsidR="00382F1B" w:rsidRPr="002F6879">
        <w:t>. As can be seen</w:t>
      </w:r>
      <w:r w:rsidR="00D02BAC" w:rsidRPr="002F6879">
        <w:t>,</w:t>
      </w:r>
      <w:r w:rsidR="00382F1B" w:rsidRPr="002F6879">
        <w:t xml:space="preserve"> an appreciable number of properties remain at high risk of flooding</w:t>
      </w:r>
      <w:r w:rsidR="007552F4" w:rsidRPr="002F6879">
        <w:t xml:space="preserve"> (more than </w:t>
      </w:r>
      <w:r w:rsidR="00853259" w:rsidRPr="002F6879">
        <w:t xml:space="preserve">a </w:t>
      </w:r>
      <w:r w:rsidR="007552F4" w:rsidRPr="002F6879">
        <w:t>1 in 30 chance of being flooded in any year)</w:t>
      </w:r>
      <w:r w:rsidR="00A25CDA" w:rsidRPr="002F6879">
        <w:t>,</w:t>
      </w:r>
      <w:r w:rsidR="00382F1B" w:rsidRPr="002F6879">
        <w:t xml:space="preserve"> particularly from surface water.</w:t>
      </w:r>
      <w:r w:rsidR="007A6F47" w:rsidRPr="002F6879">
        <w:t xml:space="preserve"> </w:t>
      </w:r>
    </w:p>
    <w:p w14:paraId="438C9DD5" w14:textId="77777777" w:rsidR="00853259" w:rsidRPr="002F6879" w:rsidRDefault="00853259" w:rsidP="00853259">
      <w:pPr>
        <w:pStyle w:val="Caption"/>
        <w:keepNext/>
        <w:jc w:val="both"/>
      </w:pPr>
      <w:r w:rsidRPr="002F6879">
        <w:t xml:space="preserve">Table </w:t>
      </w:r>
      <w:fldSimple w:instr=" SEQ Table \* ARABIC ">
        <w:r w:rsidRPr="002F6879">
          <w:rPr>
            <w:noProof/>
          </w:rPr>
          <w:t>1</w:t>
        </w:r>
      </w:fldSimple>
      <w:r w:rsidRPr="002F6879">
        <w:t>: Flood Risk in London by Category (rounded to nearest 1000)</w:t>
      </w:r>
    </w:p>
    <w:tbl>
      <w:tblPr>
        <w:tblStyle w:val="TableGrid"/>
        <w:tblW w:w="8914" w:type="dxa"/>
        <w:jc w:val="center"/>
        <w:tblLook w:val="04A0" w:firstRow="1" w:lastRow="0" w:firstColumn="1" w:lastColumn="0" w:noHBand="0" w:noVBand="1"/>
      </w:tblPr>
      <w:tblGrid>
        <w:gridCol w:w="992"/>
        <w:gridCol w:w="1320"/>
        <w:gridCol w:w="1320"/>
        <w:gridCol w:w="1320"/>
        <w:gridCol w:w="1320"/>
        <w:gridCol w:w="1321"/>
        <w:gridCol w:w="1321"/>
      </w:tblGrid>
      <w:tr w:rsidR="00853259" w:rsidRPr="002F6879" w14:paraId="3AC40109" w14:textId="77777777" w:rsidTr="00D44749">
        <w:trPr>
          <w:jc w:val="center"/>
        </w:trPr>
        <w:tc>
          <w:tcPr>
            <w:tcW w:w="992" w:type="dxa"/>
            <w:vMerge w:val="restart"/>
          </w:tcPr>
          <w:p w14:paraId="048FC1C9" w14:textId="77777777" w:rsidR="00853259" w:rsidRPr="002F6879" w:rsidRDefault="00853259" w:rsidP="00D44749">
            <w:pPr>
              <w:jc w:val="both"/>
            </w:pPr>
          </w:p>
        </w:tc>
        <w:tc>
          <w:tcPr>
            <w:tcW w:w="3960" w:type="dxa"/>
            <w:gridSpan w:val="3"/>
          </w:tcPr>
          <w:p w14:paraId="1A09E17C" w14:textId="77777777" w:rsidR="00853259" w:rsidRPr="002F6879" w:rsidRDefault="00853259" w:rsidP="00D44749">
            <w:pPr>
              <w:pStyle w:val="Heading3"/>
              <w:jc w:val="both"/>
              <w:outlineLvl w:val="2"/>
            </w:pPr>
            <w:r w:rsidRPr="002F6879">
              <w:t>Surface Water Flood Risk</w:t>
            </w:r>
          </w:p>
        </w:tc>
        <w:tc>
          <w:tcPr>
            <w:tcW w:w="3962" w:type="dxa"/>
            <w:gridSpan w:val="3"/>
          </w:tcPr>
          <w:p w14:paraId="081C24FF" w14:textId="77777777" w:rsidR="00853259" w:rsidRPr="002F6879" w:rsidRDefault="00853259" w:rsidP="00D44749">
            <w:pPr>
              <w:pStyle w:val="Heading3"/>
              <w:jc w:val="both"/>
              <w:outlineLvl w:val="2"/>
            </w:pPr>
            <w:r w:rsidRPr="002F6879">
              <w:t>River &amp; Tidal Flood Risk</w:t>
            </w:r>
          </w:p>
        </w:tc>
      </w:tr>
      <w:tr w:rsidR="00853259" w:rsidRPr="002F6879" w14:paraId="56648713" w14:textId="77777777" w:rsidTr="00D44749">
        <w:trPr>
          <w:jc w:val="center"/>
        </w:trPr>
        <w:tc>
          <w:tcPr>
            <w:tcW w:w="992" w:type="dxa"/>
            <w:vMerge/>
          </w:tcPr>
          <w:p w14:paraId="0C688B2B" w14:textId="77777777" w:rsidR="00853259" w:rsidRPr="002F6879" w:rsidRDefault="00853259" w:rsidP="00D44749">
            <w:pPr>
              <w:jc w:val="both"/>
            </w:pPr>
          </w:p>
        </w:tc>
        <w:tc>
          <w:tcPr>
            <w:tcW w:w="1320" w:type="dxa"/>
          </w:tcPr>
          <w:p w14:paraId="21AF9C62" w14:textId="77777777" w:rsidR="00853259" w:rsidRPr="002F6879" w:rsidRDefault="00853259" w:rsidP="00D44749">
            <w:pPr>
              <w:jc w:val="both"/>
            </w:pPr>
            <w:r w:rsidRPr="002F6879">
              <w:rPr>
                <w:b/>
                <w:bCs/>
                <w:sz w:val="20"/>
                <w:szCs w:val="20"/>
              </w:rPr>
              <w:t>Residential</w:t>
            </w:r>
          </w:p>
        </w:tc>
        <w:tc>
          <w:tcPr>
            <w:tcW w:w="1320" w:type="dxa"/>
          </w:tcPr>
          <w:p w14:paraId="690F1212" w14:textId="77777777" w:rsidR="00853259" w:rsidRPr="002F6879" w:rsidRDefault="00853259" w:rsidP="00D44749">
            <w:pPr>
              <w:jc w:val="both"/>
            </w:pPr>
            <w:r w:rsidRPr="002F6879">
              <w:rPr>
                <w:b/>
                <w:bCs/>
                <w:sz w:val="20"/>
                <w:szCs w:val="20"/>
              </w:rPr>
              <w:t>Non residential</w:t>
            </w:r>
          </w:p>
        </w:tc>
        <w:tc>
          <w:tcPr>
            <w:tcW w:w="1320" w:type="dxa"/>
          </w:tcPr>
          <w:p w14:paraId="02353EC5" w14:textId="77777777" w:rsidR="00853259" w:rsidRPr="002F6879" w:rsidRDefault="00853259" w:rsidP="00D44749">
            <w:pPr>
              <w:jc w:val="both"/>
            </w:pPr>
            <w:r w:rsidRPr="002F6879">
              <w:rPr>
                <w:b/>
                <w:bCs/>
                <w:sz w:val="20"/>
                <w:szCs w:val="20"/>
              </w:rPr>
              <w:t>Total</w:t>
            </w:r>
          </w:p>
        </w:tc>
        <w:tc>
          <w:tcPr>
            <w:tcW w:w="1320" w:type="dxa"/>
          </w:tcPr>
          <w:p w14:paraId="4FB5B334" w14:textId="77777777" w:rsidR="00853259" w:rsidRPr="002F6879" w:rsidRDefault="00853259" w:rsidP="00D44749">
            <w:pPr>
              <w:jc w:val="both"/>
            </w:pPr>
            <w:r w:rsidRPr="002F6879">
              <w:rPr>
                <w:b/>
                <w:bCs/>
                <w:sz w:val="20"/>
                <w:szCs w:val="20"/>
              </w:rPr>
              <w:t>Residential</w:t>
            </w:r>
          </w:p>
        </w:tc>
        <w:tc>
          <w:tcPr>
            <w:tcW w:w="1321" w:type="dxa"/>
          </w:tcPr>
          <w:p w14:paraId="08A8AF1C" w14:textId="77777777" w:rsidR="00853259" w:rsidRPr="002F6879" w:rsidRDefault="00853259" w:rsidP="00D44749">
            <w:pPr>
              <w:jc w:val="both"/>
            </w:pPr>
            <w:r w:rsidRPr="002F6879">
              <w:rPr>
                <w:b/>
                <w:bCs/>
                <w:sz w:val="20"/>
                <w:szCs w:val="20"/>
              </w:rPr>
              <w:t>Non residential</w:t>
            </w:r>
          </w:p>
        </w:tc>
        <w:tc>
          <w:tcPr>
            <w:tcW w:w="1321" w:type="dxa"/>
          </w:tcPr>
          <w:p w14:paraId="4A5267CA" w14:textId="77777777" w:rsidR="00853259" w:rsidRPr="002F6879" w:rsidRDefault="00853259" w:rsidP="00D44749">
            <w:pPr>
              <w:jc w:val="both"/>
            </w:pPr>
            <w:r w:rsidRPr="002F6879">
              <w:rPr>
                <w:b/>
                <w:bCs/>
                <w:sz w:val="20"/>
                <w:szCs w:val="20"/>
              </w:rPr>
              <w:t>Total</w:t>
            </w:r>
          </w:p>
        </w:tc>
      </w:tr>
      <w:tr w:rsidR="00853259" w:rsidRPr="002F6879" w14:paraId="0D7916C4" w14:textId="77777777" w:rsidTr="00D44749">
        <w:trPr>
          <w:jc w:val="center"/>
        </w:trPr>
        <w:tc>
          <w:tcPr>
            <w:tcW w:w="992" w:type="dxa"/>
          </w:tcPr>
          <w:p w14:paraId="699EC3CF" w14:textId="77777777" w:rsidR="00853259" w:rsidRPr="002F6879" w:rsidRDefault="00853259" w:rsidP="00D44749">
            <w:pPr>
              <w:jc w:val="both"/>
            </w:pPr>
            <w:r w:rsidRPr="002F6879">
              <w:rPr>
                <w:b/>
                <w:bCs/>
                <w:sz w:val="20"/>
                <w:szCs w:val="20"/>
              </w:rPr>
              <w:t>High</w:t>
            </w:r>
          </w:p>
        </w:tc>
        <w:tc>
          <w:tcPr>
            <w:tcW w:w="1320" w:type="dxa"/>
          </w:tcPr>
          <w:p w14:paraId="0ACAC939" w14:textId="77777777" w:rsidR="00853259" w:rsidRPr="002F6879" w:rsidRDefault="00853259" w:rsidP="00D44749">
            <w:pPr>
              <w:jc w:val="right"/>
            </w:pPr>
            <w:r w:rsidRPr="002F6879">
              <w:t>59 000</w:t>
            </w:r>
          </w:p>
        </w:tc>
        <w:tc>
          <w:tcPr>
            <w:tcW w:w="1320" w:type="dxa"/>
          </w:tcPr>
          <w:p w14:paraId="20964E33" w14:textId="77777777" w:rsidR="00853259" w:rsidRPr="002F6879" w:rsidRDefault="00853259" w:rsidP="00D44749">
            <w:pPr>
              <w:jc w:val="right"/>
            </w:pPr>
            <w:r w:rsidRPr="002F6879">
              <w:t>7 000</w:t>
            </w:r>
          </w:p>
        </w:tc>
        <w:tc>
          <w:tcPr>
            <w:tcW w:w="1320" w:type="dxa"/>
          </w:tcPr>
          <w:p w14:paraId="4142C0BC" w14:textId="77777777" w:rsidR="00853259" w:rsidRPr="002F6879" w:rsidRDefault="00853259" w:rsidP="00D44749">
            <w:pPr>
              <w:jc w:val="right"/>
            </w:pPr>
            <w:r w:rsidRPr="002F6879">
              <w:t>66 000</w:t>
            </w:r>
          </w:p>
        </w:tc>
        <w:tc>
          <w:tcPr>
            <w:tcW w:w="1320" w:type="dxa"/>
          </w:tcPr>
          <w:p w14:paraId="38E8CDB4" w14:textId="77777777" w:rsidR="00853259" w:rsidRPr="002F6879" w:rsidRDefault="00853259" w:rsidP="00D44749">
            <w:pPr>
              <w:jc w:val="right"/>
            </w:pPr>
            <w:r w:rsidRPr="002F6879">
              <w:t>11 000</w:t>
            </w:r>
          </w:p>
        </w:tc>
        <w:tc>
          <w:tcPr>
            <w:tcW w:w="1321" w:type="dxa"/>
          </w:tcPr>
          <w:p w14:paraId="56285153" w14:textId="77777777" w:rsidR="00853259" w:rsidRPr="002F6879" w:rsidRDefault="00853259" w:rsidP="00D44749">
            <w:pPr>
              <w:jc w:val="right"/>
            </w:pPr>
            <w:r w:rsidRPr="002F6879">
              <w:t>3 000</w:t>
            </w:r>
          </w:p>
        </w:tc>
        <w:tc>
          <w:tcPr>
            <w:tcW w:w="1321" w:type="dxa"/>
          </w:tcPr>
          <w:p w14:paraId="63C4BC4F" w14:textId="77777777" w:rsidR="00853259" w:rsidRPr="002F6879" w:rsidRDefault="00853259" w:rsidP="00D44749">
            <w:pPr>
              <w:jc w:val="right"/>
            </w:pPr>
            <w:r w:rsidRPr="002F6879">
              <w:t>14 000</w:t>
            </w:r>
          </w:p>
        </w:tc>
      </w:tr>
      <w:tr w:rsidR="00853259" w:rsidRPr="002F6879" w14:paraId="1598775D" w14:textId="77777777" w:rsidTr="00D44749">
        <w:trPr>
          <w:jc w:val="center"/>
        </w:trPr>
        <w:tc>
          <w:tcPr>
            <w:tcW w:w="992" w:type="dxa"/>
          </w:tcPr>
          <w:p w14:paraId="796B1E8A" w14:textId="77777777" w:rsidR="00853259" w:rsidRPr="002F6879" w:rsidRDefault="00853259" w:rsidP="00D44749">
            <w:pPr>
              <w:jc w:val="both"/>
            </w:pPr>
            <w:r w:rsidRPr="002F6879">
              <w:rPr>
                <w:b/>
                <w:bCs/>
                <w:sz w:val="20"/>
                <w:szCs w:val="20"/>
              </w:rPr>
              <w:t>Medium</w:t>
            </w:r>
          </w:p>
        </w:tc>
        <w:tc>
          <w:tcPr>
            <w:tcW w:w="1320" w:type="dxa"/>
          </w:tcPr>
          <w:p w14:paraId="1D7F7CF6" w14:textId="77777777" w:rsidR="00853259" w:rsidRPr="002F6879" w:rsidRDefault="00853259" w:rsidP="00D44749">
            <w:pPr>
              <w:jc w:val="right"/>
            </w:pPr>
            <w:r w:rsidRPr="002F6879">
              <w:t>96 000</w:t>
            </w:r>
          </w:p>
        </w:tc>
        <w:tc>
          <w:tcPr>
            <w:tcW w:w="1320" w:type="dxa"/>
          </w:tcPr>
          <w:p w14:paraId="3EE9A157" w14:textId="77777777" w:rsidR="00853259" w:rsidRPr="002F6879" w:rsidRDefault="00853259" w:rsidP="00D44749">
            <w:pPr>
              <w:jc w:val="right"/>
            </w:pPr>
            <w:r w:rsidRPr="002F6879">
              <w:t>13 000</w:t>
            </w:r>
          </w:p>
        </w:tc>
        <w:tc>
          <w:tcPr>
            <w:tcW w:w="1320" w:type="dxa"/>
          </w:tcPr>
          <w:p w14:paraId="23DF5462" w14:textId="77777777" w:rsidR="00853259" w:rsidRPr="002F6879" w:rsidRDefault="00853259" w:rsidP="00D44749">
            <w:pPr>
              <w:jc w:val="right"/>
            </w:pPr>
            <w:r w:rsidRPr="002F6879">
              <w:t>109 000</w:t>
            </w:r>
          </w:p>
        </w:tc>
        <w:tc>
          <w:tcPr>
            <w:tcW w:w="1320" w:type="dxa"/>
          </w:tcPr>
          <w:p w14:paraId="49B4FBE8" w14:textId="77777777" w:rsidR="00853259" w:rsidRPr="002F6879" w:rsidRDefault="00853259" w:rsidP="00D44749">
            <w:pPr>
              <w:jc w:val="right"/>
            </w:pPr>
            <w:r w:rsidRPr="002F6879">
              <w:t>29 000</w:t>
            </w:r>
          </w:p>
        </w:tc>
        <w:tc>
          <w:tcPr>
            <w:tcW w:w="1321" w:type="dxa"/>
          </w:tcPr>
          <w:p w14:paraId="3F30D7FC" w14:textId="77777777" w:rsidR="00853259" w:rsidRPr="002F6879" w:rsidRDefault="00853259" w:rsidP="00D44749">
            <w:pPr>
              <w:jc w:val="right"/>
            </w:pPr>
            <w:r w:rsidRPr="002F6879">
              <w:t>5 000</w:t>
            </w:r>
          </w:p>
        </w:tc>
        <w:tc>
          <w:tcPr>
            <w:tcW w:w="1321" w:type="dxa"/>
          </w:tcPr>
          <w:p w14:paraId="4FDABD2E" w14:textId="77777777" w:rsidR="00853259" w:rsidRPr="002F6879" w:rsidRDefault="00853259" w:rsidP="00D44749">
            <w:pPr>
              <w:jc w:val="right"/>
            </w:pPr>
            <w:r w:rsidRPr="002F6879">
              <w:t>34 000</w:t>
            </w:r>
          </w:p>
        </w:tc>
      </w:tr>
      <w:tr w:rsidR="00853259" w:rsidRPr="002F6879" w14:paraId="64EF1857" w14:textId="77777777" w:rsidTr="00D44749">
        <w:trPr>
          <w:jc w:val="center"/>
        </w:trPr>
        <w:tc>
          <w:tcPr>
            <w:tcW w:w="992" w:type="dxa"/>
          </w:tcPr>
          <w:p w14:paraId="1527E29C" w14:textId="77777777" w:rsidR="00853259" w:rsidRPr="002F6879" w:rsidRDefault="00853259" w:rsidP="00D44749">
            <w:pPr>
              <w:jc w:val="both"/>
            </w:pPr>
            <w:r w:rsidRPr="002F6879">
              <w:rPr>
                <w:b/>
                <w:bCs/>
                <w:sz w:val="20"/>
                <w:szCs w:val="20"/>
              </w:rPr>
              <w:t>Low</w:t>
            </w:r>
          </w:p>
        </w:tc>
        <w:tc>
          <w:tcPr>
            <w:tcW w:w="1320" w:type="dxa"/>
          </w:tcPr>
          <w:p w14:paraId="362D3A83" w14:textId="77777777" w:rsidR="00853259" w:rsidRPr="002F6879" w:rsidRDefault="00853259" w:rsidP="00D44749">
            <w:pPr>
              <w:jc w:val="right"/>
            </w:pPr>
            <w:r w:rsidRPr="002F6879">
              <w:t>445 000</w:t>
            </w:r>
          </w:p>
        </w:tc>
        <w:tc>
          <w:tcPr>
            <w:tcW w:w="1320" w:type="dxa"/>
          </w:tcPr>
          <w:p w14:paraId="002A8424" w14:textId="77777777" w:rsidR="00853259" w:rsidRPr="002F6879" w:rsidRDefault="00853259" w:rsidP="00D44749">
            <w:pPr>
              <w:jc w:val="right"/>
            </w:pPr>
            <w:r w:rsidRPr="002F6879">
              <w:t>54 000</w:t>
            </w:r>
          </w:p>
        </w:tc>
        <w:tc>
          <w:tcPr>
            <w:tcW w:w="1320" w:type="dxa"/>
          </w:tcPr>
          <w:p w14:paraId="7A1C16AA" w14:textId="77777777" w:rsidR="00853259" w:rsidRPr="002F6879" w:rsidRDefault="00853259" w:rsidP="00D44749">
            <w:pPr>
              <w:jc w:val="right"/>
            </w:pPr>
            <w:r w:rsidRPr="002F6879">
              <w:t>499 000</w:t>
            </w:r>
          </w:p>
        </w:tc>
        <w:tc>
          <w:tcPr>
            <w:tcW w:w="1320" w:type="dxa"/>
          </w:tcPr>
          <w:p w14:paraId="229E83CD" w14:textId="77777777" w:rsidR="00853259" w:rsidRPr="002F6879" w:rsidRDefault="00853259" w:rsidP="00D44749">
            <w:pPr>
              <w:jc w:val="right"/>
            </w:pPr>
            <w:r w:rsidRPr="002F6879">
              <w:t>423 000</w:t>
            </w:r>
          </w:p>
        </w:tc>
        <w:tc>
          <w:tcPr>
            <w:tcW w:w="1321" w:type="dxa"/>
          </w:tcPr>
          <w:p w14:paraId="36332411" w14:textId="77777777" w:rsidR="00853259" w:rsidRPr="002F6879" w:rsidRDefault="00853259" w:rsidP="00D44749">
            <w:pPr>
              <w:jc w:val="right"/>
            </w:pPr>
            <w:r w:rsidRPr="002F6879">
              <w:t>56 000</w:t>
            </w:r>
          </w:p>
        </w:tc>
        <w:tc>
          <w:tcPr>
            <w:tcW w:w="1321" w:type="dxa"/>
          </w:tcPr>
          <w:p w14:paraId="62FB7CC9" w14:textId="77777777" w:rsidR="00853259" w:rsidRPr="002F6879" w:rsidRDefault="00853259" w:rsidP="00D44749">
            <w:pPr>
              <w:jc w:val="right"/>
            </w:pPr>
            <w:r w:rsidRPr="002F6879">
              <w:t>485 000</w:t>
            </w:r>
          </w:p>
        </w:tc>
      </w:tr>
      <w:tr w:rsidR="00853259" w:rsidRPr="002F6879" w14:paraId="274BD639" w14:textId="77777777" w:rsidTr="00D44749">
        <w:trPr>
          <w:jc w:val="center"/>
        </w:trPr>
        <w:tc>
          <w:tcPr>
            <w:tcW w:w="992" w:type="dxa"/>
          </w:tcPr>
          <w:p w14:paraId="43859BF8" w14:textId="77777777" w:rsidR="00853259" w:rsidRPr="002F6879" w:rsidRDefault="00853259" w:rsidP="00D44749">
            <w:pPr>
              <w:jc w:val="both"/>
            </w:pPr>
            <w:r w:rsidRPr="002F6879">
              <w:rPr>
                <w:b/>
                <w:bCs/>
                <w:sz w:val="20"/>
                <w:szCs w:val="20"/>
              </w:rPr>
              <w:t>Total at risk</w:t>
            </w:r>
          </w:p>
        </w:tc>
        <w:tc>
          <w:tcPr>
            <w:tcW w:w="1320" w:type="dxa"/>
            <w:vAlign w:val="center"/>
          </w:tcPr>
          <w:p w14:paraId="77BD552D" w14:textId="77777777" w:rsidR="00853259" w:rsidRPr="002F6879" w:rsidRDefault="00853259" w:rsidP="00D44749">
            <w:pPr>
              <w:jc w:val="right"/>
              <w:rPr>
                <w:b/>
              </w:rPr>
            </w:pPr>
            <w:r w:rsidRPr="002F6879">
              <w:rPr>
                <w:b/>
              </w:rPr>
              <w:t>600 000</w:t>
            </w:r>
          </w:p>
        </w:tc>
        <w:tc>
          <w:tcPr>
            <w:tcW w:w="1320" w:type="dxa"/>
            <w:vAlign w:val="center"/>
          </w:tcPr>
          <w:p w14:paraId="3579A89E" w14:textId="77777777" w:rsidR="00853259" w:rsidRPr="002F6879" w:rsidRDefault="00853259" w:rsidP="00D44749">
            <w:pPr>
              <w:jc w:val="right"/>
              <w:rPr>
                <w:b/>
              </w:rPr>
            </w:pPr>
            <w:r w:rsidRPr="002F6879">
              <w:rPr>
                <w:b/>
              </w:rPr>
              <w:t>74 000</w:t>
            </w:r>
          </w:p>
        </w:tc>
        <w:tc>
          <w:tcPr>
            <w:tcW w:w="1320" w:type="dxa"/>
            <w:vAlign w:val="center"/>
          </w:tcPr>
          <w:p w14:paraId="17468640" w14:textId="77777777" w:rsidR="00853259" w:rsidRPr="002F6879" w:rsidRDefault="00853259" w:rsidP="00D44749">
            <w:pPr>
              <w:jc w:val="right"/>
              <w:rPr>
                <w:b/>
              </w:rPr>
            </w:pPr>
            <w:r w:rsidRPr="002F6879">
              <w:rPr>
                <w:b/>
              </w:rPr>
              <w:t>674 000</w:t>
            </w:r>
          </w:p>
        </w:tc>
        <w:tc>
          <w:tcPr>
            <w:tcW w:w="1320" w:type="dxa"/>
            <w:vAlign w:val="center"/>
          </w:tcPr>
          <w:p w14:paraId="0798F85B" w14:textId="77777777" w:rsidR="00853259" w:rsidRPr="002F6879" w:rsidRDefault="00853259" w:rsidP="00D44749">
            <w:pPr>
              <w:jc w:val="right"/>
              <w:rPr>
                <w:b/>
              </w:rPr>
            </w:pPr>
            <w:r w:rsidRPr="002F6879">
              <w:rPr>
                <w:b/>
              </w:rPr>
              <w:t>465 000</w:t>
            </w:r>
          </w:p>
        </w:tc>
        <w:tc>
          <w:tcPr>
            <w:tcW w:w="1321" w:type="dxa"/>
            <w:vAlign w:val="center"/>
          </w:tcPr>
          <w:p w14:paraId="127C69E4" w14:textId="77777777" w:rsidR="00853259" w:rsidRPr="002F6879" w:rsidRDefault="00853259" w:rsidP="00D44749">
            <w:pPr>
              <w:jc w:val="right"/>
              <w:rPr>
                <w:b/>
              </w:rPr>
            </w:pPr>
            <w:r w:rsidRPr="002F6879">
              <w:rPr>
                <w:b/>
              </w:rPr>
              <w:t>65 000</w:t>
            </w:r>
          </w:p>
        </w:tc>
        <w:tc>
          <w:tcPr>
            <w:tcW w:w="1321" w:type="dxa"/>
            <w:vAlign w:val="center"/>
          </w:tcPr>
          <w:p w14:paraId="49F71776" w14:textId="77777777" w:rsidR="00853259" w:rsidRPr="002F6879" w:rsidRDefault="00853259" w:rsidP="00D44749">
            <w:pPr>
              <w:jc w:val="right"/>
              <w:rPr>
                <w:b/>
              </w:rPr>
            </w:pPr>
            <w:r w:rsidRPr="002F6879">
              <w:rPr>
                <w:b/>
              </w:rPr>
              <w:t>536 000</w:t>
            </w:r>
          </w:p>
        </w:tc>
      </w:tr>
    </w:tbl>
    <w:p w14:paraId="2365FFB5" w14:textId="77777777" w:rsidR="00853259" w:rsidRPr="002F6879" w:rsidRDefault="00853259" w:rsidP="00A25CDA">
      <w:pPr>
        <w:jc w:val="both"/>
      </w:pPr>
    </w:p>
    <w:p w14:paraId="052AD6D0" w14:textId="5BE36251" w:rsidR="00EF70AA" w:rsidRPr="002F6879" w:rsidRDefault="007A6F47" w:rsidP="00A25CDA">
      <w:pPr>
        <w:jc w:val="both"/>
      </w:pPr>
      <w:r w:rsidRPr="002F6879">
        <w:t>The Thames RFCC’s programme aims to reduce the number of properties at risk from all</w:t>
      </w:r>
      <w:r w:rsidRPr="002F6879">
        <w:rPr>
          <w:i/>
        </w:rPr>
        <w:t xml:space="preserve"> </w:t>
      </w:r>
      <w:r w:rsidRPr="002F6879">
        <w:t>sources of flooding.</w:t>
      </w:r>
      <w:r w:rsidR="00FC3EB1" w:rsidRPr="002F6879">
        <w:t xml:space="preserve"> </w:t>
      </w:r>
    </w:p>
    <w:p w14:paraId="44DDADE9" w14:textId="480C28CB" w:rsidR="00CE4E0D" w:rsidRPr="002F6879" w:rsidRDefault="00CE4E0D" w:rsidP="00A25CDA">
      <w:pPr>
        <w:jc w:val="both"/>
      </w:pPr>
      <w:r w:rsidRPr="002F6879">
        <w:t xml:space="preserve">As projects on the Thames RFCC’s programme become complete, the properties at risk in Table 1 will reduce. The next full data update is expected at the end of 2017. </w:t>
      </w:r>
    </w:p>
    <w:p w14:paraId="54097F65" w14:textId="77777777" w:rsidR="003F7C06" w:rsidRPr="002F6879" w:rsidRDefault="003F7C06" w:rsidP="003F7C06">
      <w:pPr>
        <w:pStyle w:val="Heading2"/>
        <w:jc w:val="both"/>
      </w:pPr>
      <w:r w:rsidRPr="002F6879">
        <w:lastRenderedPageBreak/>
        <w:t xml:space="preserve">Sources of funding for flood defence projects </w:t>
      </w:r>
    </w:p>
    <w:p w14:paraId="0B6926BA" w14:textId="5712AFB7" w:rsidR="003F7C06" w:rsidRPr="002F6879" w:rsidRDefault="003F7C06" w:rsidP="003F7C06">
      <w:pPr>
        <w:jc w:val="both"/>
      </w:pPr>
      <w:r w:rsidRPr="002F6879">
        <w:t xml:space="preserve">The allocation of funding to flood defence projects within the Thames RFCC programme is based upon an established Defra framework. There are three main sources of funding for flood defence projects: </w:t>
      </w:r>
    </w:p>
    <w:p w14:paraId="5BFF69A9" w14:textId="5CEB93C8" w:rsidR="003F7C06" w:rsidRPr="002F6879" w:rsidRDefault="003F7C06" w:rsidP="003F7C06">
      <w:pPr>
        <w:pStyle w:val="ListParagraph"/>
        <w:numPr>
          <w:ilvl w:val="0"/>
          <w:numId w:val="2"/>
        </w:numPr>
        <w:spacing w:after="120"/>
        <w:ind w:left="714" w:hanging="357"/>
        <w:jc w:val="both"/>
        <w:rPr>
          <w:rFonts w:ascii="Arial" w:hAnsi="Arial" w:cs="Arial"/>
          <w:sz w:val="24"/>
          <w:szCs w:val="24"/>
        </w:rPr>
      </w:pPr>
      <w:r w:rsidRPr="002F6879">
        <w:rPr>
          <w:rFonts w:ascii="Arial" w:hAnsi="Arial" w:cs="Arial"/>
          <w:sz w:val="24"/>
          <w:szCs w:val="24"/>
        </w:rPr>
        <w:t>Flood Defence Grant in Aid from central government (</w:t>
      </w:r>
      <w:r w:rsidR="007B20F6" w:rsidRPr="002F6879">
        <w:rPr>
          <w:rFonts w:ascii="Arial" w:hAnsi="Arial" w:cs="Arial"/>
          <w:sz w:val="24"/>
          <w:szCs w:val="24"/>
        </w:rPr>
        <w:t>Grant in Aid</w:t>
      </w:r>
      <w:r w:rsidRPr="002F6879">
        <w:rPr>
          <w:rFonts w:ascii="Arial" w:hAnsi="Arial" w:cs="Arial"/>
          <w:sz w:val="24"/>
          <w:szCs w:val="24"/>
        </w:rPr>
        <w:t>);</w:t>
      </w:r>
    </w:p>
    <w:p w14:paraId="70856C28" w14:textId="77777777" w:rsidR="003F7C06" w:rsidRPr="002F6879" w:rsidRDefault="003F7C06" w:rsidP="003F7C06">
      <w:pPr>
        <w:pStyle w:val="ListParagraph"/>
        <w:numPr>
          <w:ilvl w:val="0"/>
          <w:numId w:val="2"/>
        </w:numPr>
        <w:spacing w:after="120"/>
        <w:ind w:left="714" w:hanging="357"/>
        <w:jc w:val="both"/>
        <w:rPr>
          <w:rFonts w:ascii="Arial" w:hAnsi="Arial" w:cs="Arial"/>
          <w:sz w:val="24"/>
          <w:szCs w:val="24"/>
        </w:rPr>
      </w:pPr>
      <w:r w:rsidRPr="002F6879">
        <w:rPr>
          <w:rFonts w:ascii="Arial" w:hAnsi="Arial" w:cs="Arial"/>
          <w:sz w:val="24"/>
          <w:szCs w:val="24"/>
        </w:rPr>
        <w:t xml:space="preserve">Local levy contributions from Lead Local Flood Authorities (all London boroughs as well as the unitary and county councils outside London in the catchment area); </w:t>
      </w:r>
    </w:p>
    <w:p w14:paraId="49932CB9" w14:textId="77777777" w:rsidR="003F7C06" w:rsidRPr="002F6879" w:rsidRDefault="003F7C06" w:rsidP="003F7C06">
      <w:pPr>
        <w:pStyle w:val="ListParagraph"/>
        <w:numPr>
          <w:ilvl w:val="0"/>
          <w:numId w:val="2"/>
        </w:numPr>
        <w:spacing w:after="120"/>
        <w:ind w:left="714" w:hanging="357"/>
        <w:jc w:val="both"/>
        <w:rPr>
          <w:rFonts w:ascii="Arial" w:hAnsi="Arial" w:cs="Arial"/>
          <w:sz w:val="24"/>
          <w:szCs w:val="24"/>
        </w:rPr>
      </w:pPr>
      <w:r w:rsidRPr="002F6879">
        <w:rPr>
          <w:rFonts w:ascii="Arial" w:hAnsi="Arial" w:cs="Arial"/>
          <w:sz w:val="24"/>
          <w:szCs w:val="24"/>
        </w:rPr>
        <w:t>Partner / beneficiary contributions, for example from developers.</w:t>
      </w:r>
    </w:p>
    <w:p w14:paraId="2E278827" w14:textId="4741286C" w:rsidR="003F7C06" w:rsidRPr="002F6879" w:rsidRDefault="003F7C06" w:rsidP="003F7C06">
      <w:pPr>
        <w:jc w:val="both"/>
      </w:pPr>
      <w:r w:rsidRPr="002F6879">
        <w:t xml:space="preserve">The maximum amount of central government funding on offer to each project is based on the </w:t>
      </w:r>
      <w:r w:rsidR="00853259" w:rsidRPr="002F6879">
        <w:t>number of outcomes it meets, which are defined</w:t>
      </w:r>
      <w:r w:rsidRPr="002F6879">
        <w:t xml:space="preserve"> by Defra. The projects that have large outcomes relative to their cost are eligible for </w:t>
      </w:r>
      <w:r w:rsidR="008E16E7" w:rsidRPr="002F6879">
        <w:t>full funding from central government, for example</w:t>
      </w:r>
      <w:r w:rsidRPr="002F6879">
        <w:t xml:space="preserve"> works to the Thames tidal d</w:t>
      </w:r>
      <w:r w:rsidR="008E16E7" w:rsidRPr="002F6879">
        <w:t>efences.</w:t>
      </w:r>
      <w:r w:rsidRPr="002F6879">
        <w:t xml:space="preserve"> Many projects to address surface water, groundwater and river flooding require local contributions to secure the central government funding because their cost: benefit ratios are not as strong. </w:t>
      </w:r>
    </w:p>
    <w:p w14:paraId="46119FB8" w14:textId="77777777" w:rsidR="0055040E" w:rsidRPr="002F6879" w:rsidRDefault="0055040E" w:rsidP="0055040E">
      <w:pPr>
        <w:pStyle w:val="Heading2"/>
        <w:jc w:val="both"/>
      </w:pPr>
      <w:r w:rsidRPr="002F6879">
        <w:t>Planned investment to reduce flood risk</w:t>
      </w:r>
    </w:p>
    <w:p w14:paraId="2D293873" w14:textId="1A72E31D" w:rsidR="00873943" w:rsidRPr="002F6879" w:rsidRDefault="00873943" w:rsidP="00873943">
      <w:pPr>
        <w:jc w:val="both"/>
      </w:pPr>
      <w:r w:rsidRPr="002F6879">
        <w:t xml:space="preserve">In the original programme </w:t>
      </w:r>
      <w:r w:rsidR="00CE4E0D" w:rsidRPr="002F6879">
        <w:t xml:space="preserve">agreed in 2015/16 </w:t>
      </w:r>
      <w:r w:rsidRPr="002F6879">
        <w:t xml:space="preserve">the Thames RFCC </w:t>
      </w:r>
      <w:r w:rsidR="00CE4E0D" w:rsidRPr="002F6879">
        <w:t>secured £302 million of Grant in Aid</w:t>
      </w:r>
      <w:r w:rsidR="008E16E7" w:rsidRPr="002F6879">
        <w:t xml:space="preserve"> from government</w:t>
      </w:r>
      <w:r w:rsidR="00CE4E0D" w:rsidRPr="002F6879">
        <w:t xml:space="preserve">. It was able to do this because of the </w:t>
      </w:r>
      <w:r w:rsidRPr="002F6879">
        <w:t xml:space="preserve">levy contribution of £67.5 million </w:t>
      </w:r>
      <w:r w:rsidR="00BC4CDD" w:rsidRPr="002F6879">
        <w:t>over six years</w:t>
      </w:r>
      <w:r w:rsidR="00CE4E0D" w:rsidRPr="002F6879">
        <w:t xml:space="preserve"> </w:t>
      </w:r>
      <w:r w:rsidRPr="002F6879">
        <w:t xml:space="preserve">(based </w:t>
      </w:r>
      <w:r w:rsidR="00BC4CDD" w:rsidRPr="002F6879">
        <w:t xml:space="preserve">on </w:t>
      </w:r>
      <w:r w:rsidR="00CE4E0D" w:rsidRPr="002F6879">
        <w:t>an ‘</w:t>
      </w:r>
      <w:r w:rsidRPr="002F6879">
        <w:t>in principle</w:t>
      </w:r>
      <w:r w:rsidR="00CE4E0D" w:rsidRPr="002F6879">
        <w:t>’</w:t>
      </w:r>
      <w:r w:rsidRPr="002F6879">
        <w:t xml:space="preserve"> levy increase) </w:t>
      </w:r>
      <w:r w:rsidR="00CE4E0D" w:rsidRPr="002F6879">
        <w:t xml:space="preserve">and </w:t>
      </w:r>
      <w:r w:rsidR="008E16E7" w:rsidRPr="002F6879">
        <w:t>having a</w:t>
      </w:r>
      <w:r w:rsidR="00D21393" w:rsidRPr="002F6879">
        <w:t xml:space="preserve"> Major Project Fund balance of £8.7 </w:t>
      </w:r>
      <w:r w:rsidR="00A903F1" w:rsidRPr="002F6879">
        <w:t>million</w:t>
      </w:r>
      <w:r w:rsidR="00BC4CDD" w:rsidRPr="002F6879">
        <w:t xml:space="preserve"> (which is levy set aside over time for spending on major projects)</w:t>
      </w:r>
      <w:r w:rsidR="00CE4E0D" w:rsidRPr="002F6879">
        <w:t xml:space="preserve">. </w:t>
      </w:r>
    </w:p>
    <w:p w14:paraId="21676F1E" w14:textId="6F2769D7" w:rsidR="00873943" w:rsidRPr="002F6879" w:rsidRDefault="003F7C06" w:rsidP="00873943">
      <w:pPr>
        <w:jc w:val="both"/>
      </w:pPr>
      <w:r w:rsidRPr="002F6879">
        <w:rPr>
          <w:rFonts w:cs="Arial"/>
        </w:rPr>
        <w:t xml:space="preserve">Each year, </w:t>
      </w:r>
      <w:r w:rsidR="008E16E7" w:rsidRPr="002F6879">
        <w:rPr>
          <w:rFonts w:cs="Arial"/>
        </w:rPr>
        <w:t xml:space="preserve">the </w:t>
      </w:r>
      <w:r w:rsidRPr="002F6879">
        <w:rPr>
          <w:rFonts w:cs="Arial"/>
        </w:rPr>
        <w:t xml:space="preserve">Thames RFCC has the opportunity to refresh the six year programme to take account of any delays in projects, projects determined to be unviable, and any new projects coming forward for the programme. This annual cycle allows for continual strengthening of the programme as data and information improves and new opportunities arise, whilst maintaining the certainty of a six year programme. </w:t>
      </w:r>
      <w:r w:rsidR="00CE4E0D" w:rsidRPr="002F6879">
        <w:t xml:space="preserve">The January 2016 </w:t>
      </w:r>
      <w:r w:rsidR="00D21393" w:rsidRPr="002F6879">
        <w:t>refresh maintained the £302 million of G</w:t>
      </w:r>
      <w:r w:rsidR="00FD10F9" w:rsidRPr="002F6879">
        <w:t xml:space="preserve">rant </w:t>
      </w:r>
      <w:r w:rsidR="00D21393" w:rsidRPr="002F6879">
        <w:t>i</w:t>
      </w:r>
      <w:r w:rsidR="00FD10F9" w:rsidRPr="002F6879">
        <w:t xml:space="preserve">n </w:t>
      </w:r>
      <w:r w:rsidR="00D21393" w:rsidRPr="002F6879">
        <w:t>A</w:t>
      </w:r>
      <w:r w:rsidR="00FD10F9" w:rsidRPr="002F6879">
        <w:t>id</w:t>
      </w:r>
      <w:r w:rsidR="00D21393" w:rsidRPr="002F6879">
        <w:t xml:space="preserve"> </w:t>
      </w:r>
      <w:r w:rsidR="00A903F1" w:rsidRPr="002F6879">
        <w:t>and included</w:t>
      </w:r>
      <w:r w:rsidR="00D21393" w:rsidRPr="002F6879">
        <w:t xml:space="preserve"> an additional 43 potential schemes</w:t>
      </w:r>
      <w:r w:rsidR="00FD10F9" w:rsidRPr="002F6879">
        <w:t>, of which</w:t>
      </w:r>
      <w:r w:rsidR="00D21393" w:rsidRPr="002F6879">
        <w:t xml:space="preserve"> 37 </w:t>
      </w:r>
      <w:r w:rsidR="00FD10F9" w:rsidRPr="002F6879">
        <w:t xml:space="preserve">are being led by local authorities. </w:t>
      </w:r>
      <w:r w:rsidR="00D21393" w:rsidRPr="002F6879">
        <w:t xml:space="preserve">As a result 69% of </w:t>
      </w:r>
      <w:r w:rsidR="00FD10F9" w:rsidRPr="002F6879">
        <w:t xml:space="preserve">Lead Local Flood Authorities </w:t>
      </w:r>
      <w:r w:rsidR="00D21393" w:rsidRPr="002F6879">
        <w:t>in the Thames RFCC</w:t>
      </w:r>
      <w:r w:rsidR="008E16E7" w:rsidRPr="002F6879">
        <w:t xml:space="preserve"> area</w:t>
      </w:r>
      <w:r w:rsidR="00D21393" w:rsidRPr="002F6879">
        <w:t xml:space="preserve"> now have either a surface or groundwater scheme within the programme. </w:t>
      </w:r>
      <w:r w:rsidR="00873943" w:rsidRPr="002F6879">
        <w:t xml:space="preserve">Based on this revised programme the planned investment in </w:t>
      </w:r>
      <w:r w:rsidR="00F47313" w:rsidRPr="002F6879">
        <w:t>London by</w:t>
      </w:r>
      <w:r w:rsidR="00A903F1" w:rsidRPr="002F6879">
        <w:t xml:space="preserve"> 2021 </w:t>
      </w:r>
      <w:r w:rsidR="00873943" w:rsidRPr="002F6879">
        <w:t xml:space="preserve">comprises: </w:t>
      </w:r>
    </w:p>
    <w:p w14:paraId="181E957D" w14:textId="77777777" w:rsidR="00873943" w:rsidRPr="002F6879" w:rsidRDefault="00873943" w:rsidP="00873943">
      <w:pPr>
        <w:pStyle w:val="ListParagraph"/>
        <w:numPr>
          <w:ilvl w:val="0"/>
          <w:numId w:val="7"/>
        </w:numPr>
        <w:jc w:val="both"/>
        <w:rPr>
          <w:rFonts w:ascii="Arial" w:hAnsi="Arial" w:cs="Arial"/>
          <w:sz w:val="24"/>
          <w:szCs w:val="24"/>
        </w:rPr>
      </w:pPr>
      <w:r w:rsidRPr="002F6879">
        <w:rPr>
          <w:rFonts w:ascii="Arial" w:hAnsi="Arial" w:cs="Arial"/>
          <w:sz w:val="24"/>
          <w:szCs w:val="24"/>
        </w:rPr>
        <w:t>£86m of investment at the Thames Barrier and walls and embankments along the Thames to ensure that the risk of tidal flooding in London remains at current levels;</w:t>
      </w:r>
    </w:p>
    <w:p w14:paraId="685989BD" w14:textId="77777777" w:rsidR="00873943" w:rsidRPr="002F6879" w:rsidRDefault="00873943" w:rsidP="00873943">
      <w:pPr>
        <w:pStyle w:val="ListParagraph"/>
        <w:numPr>
          <w:ilvl w:val="0"/>
          <w:numId w:val="7"/>
        </w:numPr>
        <w:jc w:val="both"/>
        <w:rPr>
          <w:rFonts w:ascii="Arial" w:hAnsi="Arial" w:cs="Arial"/>
          <w:sz w:val="24"/>
          <w:szCs w:val="24"/>
        </w:rPr>
      </w:pPr>
      <w:r w:rsidRPr="002F6879">
        <w:rPr>
          <w:rFonts w:ascii="Arial" w:hAnsi="Arial" w:cs="Arial"/>
          <w:sz w:val="24"/>
          <w:szCs w:val="24"/>
        </w:rPr>
        <w:t>£16.5m of investment in reducing the risks from surface water flooding in London;</w:t>
      </w:r>
    </w:p>
    <w:p w14:paraId="4E0613BE" w14:textId="77777777" w:rsidR="00873943" w:rsidRPr="002F6879" w:rsidRDefault="00873943" w:rsidP="00873943">
      <w:pPr>
        <w:pStyle w:val="ListParagraph"/>
        <w:numPr>
          <w:ilvl w:val="0"/>
          <w:numId w:val="7"/>
        </w:numPr>
        <w:jc w:val="both"/>
        <w:rPr>
          <w:rFonts w:ascii="Arial" w:hAnsi="Arial" w:cs="Arial"/>
          <w:sz w:val="24"/>
          <w:szCs w:val="24"/>
        </w:rPr>
      </w:pPr>
      <w:r w:rsidRPr="002F6879">
        <w:rPr>
          <w:rFonts w:ascii="Arial" w:hAnsi="Arial" w:cs="Arial"/>
          <w:sz w:val="24"/>
          <w:szCs w:val="24"/>
        </w:rPr>
        <w:t>£41m of investment to reduce the risk of flooding from rivers including large scale schemes in Bromley, Kingston, Ealing, Hillingdon, Redbridge, Waltham Forest, Brent and Harrow.</w:t>
      </w:r>
    </w:p>
    <w:p w14:paraId="5A303212" w14:textId="54B5901D" w:rsidR="00D21393" w:rsidRPr="002F6879" w:rsidRDefault="00D21393" w:rsidP="00D21393">
      <w:pPr>
        <w:spacing w:before="120"/>
        <w:jc w:val="both"/>
      </w:pPr>
      <w:r w:rsidRPr="002F6879">
        <w:lastRenderedPageBreak/>
        <w:t xml:space="preserve">As part of this refresh the Thames RFCC </w:t>
      </w:r>
      <w:r w:rsidR="00D61AC5" w:rsidRPr="002F6879">
        <w:t xml:space="preserve">was </w:t>
      </w:r>
      <w:r w:rsidRPr="002F6879">
        <w:t xml:space="preserve">able to use the balances in the Major Projects </w:t>
      </w:r>
      <w:r w:rsidR="00D61AC5" w:rsidRPr="002F6879">
        <w:t>F</w:t>
      </w:r>
      <w:r w:rsidRPr="002F6879">
        <w:t xml:space="preserve">und and the </w:t>
      </w:r>
      <w:r w:rsidR="00D61AC5" w:rsidRPr="002F6879">
        <w:t>‘</w:t>
      </w:r>
      <w:r w:rsidRPr="002F6879">
        <w:t>in principle</w:t>
      </w:r>
      <w:r w:rsidR="00D61AC5" w:rsidRPr="002F6879">
        <w:t>’</w:t>
      </w:r>
      <w:r w:rsidRPr="002F6879">
        <w:t xml:space="preserve"> agreement for Levy increases to </w:t>
      </w:r>
      <w:r w:rsidR="00974F15" w:rsidRPr="002F6879">
        <w:t xml:space="preserve">underwrite these additional 43 schemes and ensure that they were included in the refreshed programme to access future Grant in Aid that becomes available. As a result the total amount of </w:t>
      </w:r>
      <w:r w:rsidR="00D61AC5" w:rsidRPr="002F6879">
        <w:t xml:space="preserve">planned </w:t>
      </w:r>
      <w:r w:rsidR="00974F15" w:rsidRPr="002F6879">
        <w:t xml:space="preserve">levy spend in the programme currently exceeds the total levy income. The </w:t>
      </w:r>
      <w:r w:rsidR="00D61AC5" w:rsidRPr="002F6879">
        <w:t xml:space="preserve">Thames </w:t>
      </w:r>
      <w:r w:rsidR="00974F15" w:rsidRPr="002F6879">
        <w:t xml:space="preserve">RFCC </w:t>
      </w:r>
      <w:r w:rsidR="00D61AC5" w:rsidRPr="002F6879">
        <w:t xml:space="preserve">has </w:t>
      </w:r>
      <w:r w:rsidR="00A903F1" w:rsidRPr="002F6879">
        <w:t>committed to</w:t>
      </w:r>
      <w:r w:rsidR="00974F15" w:rsidRPr="002F6879">
        <w:t xml:space="preserve"> maintain</w:t>
      </w:r>
      <w:r w:rsidR="00D61AC5" w:rsidRPr="002F6879">
        <w:t>ing</w:t>
      </w:r>
      <w:r w:rsidR="00974F15" w:rsidRPr="002F6879">
        <w:t xml:space="preserve"> </w:t>
      </w:r>
      <w:r w:rsidR="00D61AC5" w:rsidRPr="002F6879">
        <w:t xml:space="preserve">this </w:t>
      </w:r>
      <w:r w:rsidR="00974F15" w:rsidRPr="002F6879">
        <w:t>over-programm</w:t>
      </w:r>
      <w:r w:rsidR="00D61AC5" w:rsidRPr="002F6879">
        <w:t xml:space="preserve">ing of schemes </w:t>
      </w:r>
      <w:r w:rsidR="00974F15" w:rsidRPr="002F6879">
        <w:t xml:space="preserve">to ensure </w:t>
      </w:r>
      <w:r w:rsidR="00D61AC5" w:rsidRPr="002F6879">
        <w:t xml:space="preserve">it </w:t>
      </w:r>
      <w:r w:rsidR="00974F15" w:rsidRPr="002F6879">
        <w:t>continue</w:t>
      </w:r>
      <w:r w:rsidR="0092255F" w:rsidRPr="002F6879">
        <w:t>s</w:t>
      </w:r>
      <w:r w:rsidR="00974F15" w:rsidRPr="002F6879">
        <w:t xml:space="preserve"> to secure </w:t>
      </w:r>
      <w:r w:rsidR="0092255F" w:rsidRPr="002F6879">
        <w:t xml:space="preserve">Grant in Aid </w:t>
      </w:r>
      <w:r w:rsidR="00974F15" w:rsidRPr="002F6879">
        <w:t xml:space="preserve">investment. In any one year </w:t>
      </w:r>
      <w:r w:rsidR="0092255F" w:rsidRPr="002F6879">
        <w:t xml:space="preserve">Grant in Aid </w:t>
      </w:r>
      <w:r w:rsidR="00974F15" w:rsidRPr="002F6879">
        <w:t xml:space="preserve">originally allocated elsewhere </w:t>
      </w:r>
      <w:r w:rsidR="00A903F1" w:rsidRPr="002F6879">
        <w:t xml:space="preserve">in the country </w:t>
      </w:r>
      <w:r w:rsidR="00974F15" w:rsidRPr="002F6879">
        <w:t>may become available</w:t>
      </w:r>
      <w:r w:rsidR="00A903F1" w:rsidRPr="002F6879">
        <w:t>. As</w:t>
      </w:r>
      <w:r w:rsidR="00974F15" w:rsidRPr="002F6879">
        <w:t xml:space="preserve"> this occurs the Thames RFCC will be in a position to secure and allocate any underspent </w:t>
      </w:r>
      <w:r w:rsidR="0092255F" w:rsidRPr="002F6879">
        <w:t xml:space="preserve">Grant in Aid </w:t>
      </w:r>
      <w:r w:rsidR="00974F15" w:rsidRPr="002F6879">
        <w:t xml:space="preserve">to the </w:t>
      </w:r>
      <w:r w:rsidR="0092255F" w:rsidRPr="002F6879">
        <w:t xml:space="preserve">Thames </w:t>
      </w:r>
      <w:r w:rsidR="00974F15" w:rsidRPr="002F6879">
        <w:t xml:space="preserve">RFCC programme, reducing </w:t>
      </w:r>
      <w:r w:rsidR="00F47313" w:rsidRPr="002F6879">
        <w:t>the commitment</w:t>
      </w:r>
      <w:r w:rsidR="00974F15" w:rsidRPr="002F6879">
        <w:t xml:space="preserve"> on levy. Adopting this approach has enabled the </w:t>
      </w:r>
      <w:r w:rsidR="0092255F" w:rsidRPr="002F6879">
        <w:t xml:space="preserve">Thames </w:t>
      </w:r>
      <w:r w:rsidR="00974F15" w:rsidRPr="002F6879">
        <w:t xml:space="preserve">RFCC to secure an additional £10 million </w:t>
      </w:r>
      <w:r w:rsidR="0092255F" w:rsidRPr="002F6879">
        <w:t xml:space="preserve">Grant in Aid </w:t>
      </w:r>
      <w:r w:rsidR="00974F15" w:rsidRPr="002F6879">
        <w:t xml:space="preserve">to the </w:t>
      </w:r>
      <w:r w:rsidR="0092255F" w:rsidRPr="002F6879">
        <w:t>2016/17 programme</w:t>
      </w:r>
      <w:r w:rsidR="00974F15" w:rsidRPr="002F6879">
        <w:t>.</w:t>
      </w:r>
    </w:p>
    <w:p w14:paraId="05FDB269" w14:textId="2F7C213E" w:rsidR="0055040E" w:rsidRPr="002F6879" w:rsidRDefault="00023A90" w:rsidP="0055040E">
      <w:pPr>
        <w:jc w:val="both"/>
      </w:pPr>
      <w:r w:rsidRPr="002F6879">
        <w:t>As shown in Table 2 t</w:t>
      </w:r>
      <w:r w:rsidR="0055040E" w:rsidRPr="002F6879">
        <w:t xml:space="preserve">he Thames RFCC programme </w:t>
      </w:r>
      <w:r w:rsidRPr="002F6879">
        <w:t xml:space="preserve">to April 2021 currently </w:t>
      </w:r>
      <w:r w:rsidR="0055040E" w:rsidRPr="002F6879">
        <w:t xml:space="preserve">attracts </w:t>
      </w:r>
      <w:r w:rsidRPr="002F6879">
        <w:t xml:space="preserve">a total of </w:t>
      </w:r>
      <w:r w:rsidR="0055040E" w:rsidRPr="002F6879">
        <w:t xml:space="preserve">£314 million </w:t>
      </w:r>
      <w:r w:rsidR="0092255F" w:rsidRPr="002F6879">
        <w:t xml:space="preserve">Grant in Aid </w:t>
      </w:r>
      <w:r w:rsidR="0055040E" w:rsidRPr="002F6879">
        <w:t xml:space="preserve">capital funding. This is supported by </w:t>
      </w:r>
      <w:r w:rsidRPr="002F6879">
        <w:t>a potential expenditure of</w:t>
      </w:r>
      <w:r w:rsidR="0055040E" w:rsidRPr="002F6879">
        <w:t xml:space="preserve"> £103 million of local levy across the 6 years</w:t>
      </w:r>
      <w:r w:rsidRPr="002F6879">
        <w:t xml:space="preserve">.  The </w:t>
      </w:r>
      <w:r w:rsidR="003D53E6" w:rsidRPr="002F6879">
        <w:t xml:space="preserve">Thames </w:t>
      </w:r>
      <w:r w:rsidRPr="002F6879">
        <w:t xml:space="preserve">RFCC will manage </w:t>
      </w:r>
      <w:r w:rsidR="00A903F1" w:rsidRPr="002F6879">
        <w:t xml:space="preserve">the ongoing balance between levy and </w:t>
      </w:r>
      <w:r w:rsidR="003D53E6" w:rsidRPr="002F6879">
        <w:t xml:space="preserve">Grant in Aid </w:t>
      </w:r>
      <w:r w:rsidRPr="002F6879">
        <w:t xml:space="preserve">on an annual basis </w:t>
      </w:r>
      <w:r w:rsidR="008E16E7" w:rsidRPr="002F6879">
        <w:t xml:space="preserve">at a ratio </w:t>
      </w:r>
      <w:r w:rsidR="00104FA3" w:rsidRPr="002F6879">
        <w:t xml:space="preserve">of </w:t>
      </w:r>
      <w:r w:rsidR="008E16E7" w:rsidRPr="002F6879">
        <w:t>L</w:t>
      </w:r>
      <w:r w:rsidR="00104FA3" w:rsidRPr="002F6879">
        <w:t xml:space="preserve">evy to </w:t>
      </w:r>
      <w:r w:rsidR="003D53E6" w:rsidRPr="002F6879">
        <w:t xml:space="preserve">Grant in Aid </w:t>
      </w:r>
      <w:r w:rsidR="008267CF" w:rsidRPr="002F6879">
        <w:t xml:space="preserve">in London </w:t>
      </w:r>
      <w:r w:rsidR="003D53E6" w:rsidRPr="002F6879">
        <w:t xml:space="preserve">of </w:t>
      </w:r>
      <w:r w:rsidR="00104FA3" w:rsidRPr="002F6879">
        <w:t>around 1:7.5</w:t>
      </w:r>
      <w:r w:rsidR="00467D5D" w:rsidRPr="002F6879">
        <w:t xml:space="preserve"> during the six year programme</w:t>
      </w:r>
      <w:r w:rsidR="0055040E" w:rsidRPr="002F6879">
        <w:t>.</w:t>
      </w:r>
      <w:r w:rsidR="00467D5D" w:rsidRPr="002F6879">
        <w:t xml:space="preserve"> Surface water schemes tend to have a lower Levy to Grant in Aid ratio, and so over time this ratio may reduce slightly, as more surface water projects are added to the six year programme. </w:t>
      </w:r>
    </w:p>
    <w:p w14:paraId="59C3F8BF" w14:textId="086AC859" w:rsidR="0055040E" w:rsidRPr="002F6879" w:rsidRDefault="0055040E" w:rsidP="0055040E">
      <w:pPr>
        <w:pStyle w:val="Caption"/>
        <w:keepNext/>
        <w:jc w:val="both"/>
      </w:pPr>
      <w:r w:rsidRPr="002F6879">
        <w:t xml:space="preserve">Table </w:t>
      </w:r>
      <w:fldSimple w:instr=" SEQ Table \* ARABIC ">
        <w:r w:rsidR="00BC7904" w:rsidRPr="002F6879">
          <w:rPr>
            <w:noProof/>
          </w:rPr>
          <w:t>2</w:t>
        </w:r>
      </w:fldSimple>
      <w:r w:rsidRPr="002F6879">
        <w:t xml:space="preserve">: Planned investment in </w:t>
      </w:r>
      <w:r w:rsidR="003D53E6" w:rsidRPr="002F6879">
        <w:t xml:space="preserve">the </w:t>
      </w:r>
      <w:r w:rsidRPr="002F6879">
        <w:t xml:space="preserve">Thames </w:t>
      </w:r>
      <w:r w:rsidR="00467D5D" w:rsidRPr="002F6879">
        <w:t xml:space="preserve">RFCC </w:t>
      </w:r>
      <w:r w:rsidR="003D53E6" w:rsidRPr="002F6879">
        <w:t xml:space="preserve">area </w:t>
      </w:r>
      <w:r w:rsidR="00467D5D" w:rsidRPr="002F6879">
        <w:t>to April 2021</w:t>
      </w:r>
    </w:p>
    <w:tbl>
      <w:tblPr>
        <w:tblW w:w="6912" w:type="dxa"/>
        <w:tblInd w:w="709" w:type="dxa"/>
        <w:tblCellMar>
          <w:left w:w="0" w:type="dxa"/>
          <w:right w:w="0" w:type="dxa"/>
        </w:tblCellMar>
        <w:tblLook w:val="04A0" w:firstRow="1" w:lastRow="0" w:firstColumn="1" w:lastColumn="0" w:noHBand="0" w:noVBand="1"/>
      </w:tblPr>
      <w:tblGrid>
        <w:gridCol w:w="1314"/>
        <w:gridCol w:w="1581"/>
        <w:gridCol w:w="1915"/>
        <w:gridCol w:w="1960"/>
        <w:gridCol w:w="142"/>
      </w:tblGrid>
      <w:tr w:rsidR="0055040E" w:rsidRPr="002F6879" w14:paraId="5319E7BF" w14:textId="77777777" w:rsidTr="00BC4CDD">
        <w:tc>
          <w:tcPr>
            <w:tcW w:w="13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E2AA468" w14:textId="77777777" w:rsidR="0055040E" w:rsidRPr="002F6879" w:rsidRDefault="0055040E" w:rsidP="002A7331">
            <w:pPr>
              <w:pStyle w:val="ListParagraph"/>
              <w:ind w:left="0"/>
              <w:jc w:val="both"/>
            </w:pPr>
            <w:r w:rsidRPr="002F6879">
              <w:t>Year</w:t>
            </w:r>
          </w:p>
        </w:tc>
        <w:tc>
          <w:tcPr>
            <w:tcW w:w="15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4F20EA2" w14:textId="77777777" w:rsidR="0055040E" w:rsidRPr="002F6879" w:rsidRDefault="0055040E" w:rsidP="00657B9A">
            <w:pPr>
              <w:pStyle w:val="ListParagraph"/>
              <w:ind w:left="0"/>
              <w:jc w:val="center"/>
            </w:pPr>
            <w:r w:rsidRPr="002F6879">
              <w:t>Properties at reduced risk</w:t>
            </w:r>
          </w:p>
        </w:tc>
        <w:tc>
          <w:tcPr>
            <w:tcW w:w="191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528496C" w14:textId="77777777" w:rsidR="0055040E" w:rsidRPr="002F6879" w:rsidRDefault="0055040E" w:rsidP="00657B9A">
            <w:pPr>
              <w:pStyle w:val="ListParagraph"/>
              <w:ind w:left="0"/>
              <w:jc w:val="center"/>
            </w:pPr>
            <w:r w:rsidRPr="002F6879">
              <w:t>Thames RFCC Levy Investment (millions)</w:t>
            </w:r>
          </w:p>
        </w:tc>
        <w:tc>
          <w:tcPr>
            <w:tcW w:w="1960" w:type="dxa"/>
            <w:tcBorders>
              <w:top w:val="single" w:sz="8" w:space="0" w:color="auto"/>
              <w:left w:val="nil"/>
              <w:bottom w:val="single" w:sz="8" w:space="0" w:color="auto"/>
              <w:right w:val="nil"/>
            </w:tcBorders>
          </w:tcPr>
          <w:p w14:paraId="559595A4" w14:textId="423237A0" w:rsidR="0055040E" w:rsidRPr="002F6879" w:rsidRDefault="0055040E" w:rsidP="00657B9A">
            <w:pPr>
              <w:pStyle w:val="ListParagraph"/>
              <w:ind w:left="0"/>
              <w:jc w:val="center"/>
            </w:pPr>
            <w:r w:rsidRPr="002F6879">
              <w:t>Grant in Aid allocation (millions)</w:t>
            </w:r>
          </w:p>
        </w:tc>
        <w:tc>
          <w:tcPr>
            <w:tcW w:w="142" w:type="dxa"/>
            <w:tcBorders>
              <w:top w:val="single" w:sz="8" w:space="0" w:color="auto"/>
              <w:left w:val="nil"/>
              <w:bottom w:val="single" w:sz="8" w:space="0" w:color="auto"/>
              <w:right w:val="single" w:sz="8" w:space="0" w:color="auto"/>
            </w:tcBorders>
          </w:tcPr>
          <w:p w14:paraId="669A9383" w14:textId="77777777" w:rsidR="0055040E" w:rsidRPr="002F6879" w:rsidRDefault="0055040E" w:rsidP="00657B9A">
            <w:pPr>
              <w:pStyle w:val="ListParagraph"/>
              <w:ind w:left="0"/>
              <w:jc w:val="center"/>
            </w:pPr>
          </w:p>
        </w:tc>
      </w:tr>
      <w:tr w:rsidR="0055040E" w:rsidRPr="002F6879" w14:paraId="3F3ACFF4" w14:textId="77777777" w:rsidTr="00BC4CDD">
        <w:tc>
          <w:tcPr>
            <w:tcW w:w="1314" w:type="dxa"/>
            <w:tcBorders>
              <w:top w:val="nil"/>
              <w:left w:val="single" w:sz="8" w:space="0" w:color="auto"/>
              <w:bottom w:val="single" w:sz="8" w:space="0" w:color="auto"/>
              <w:right w:val="single" w:sz="8" w:space="0" w:color="auto"/>
            </w:tcBorders>
            <w:shd w:val="clear" w:color="auto" w:fill="FFFF66"/>
            <w:tcMar>
              <w:top w:w="0" w:type="dxa"/>
              <w:left w:w="108" w:type="dxa"/>
              <w:bottom w:w="0" w:type="dxa"/>
              <w:right w:w="108" w:type="dxa"/>
            </w:tcMar>
            <w:hideMark/>
          </w:tcPr>
          <w:p w14:paraId="23DC7E74" w14:textId="77777777" w:rsidR="0055040E" w:rsidRPr="002F6879" w:rsidRDefault="0055040E" w:rsidP="00BC4CDD">
            <w:pPr>
              <w:pStyle w:val="ListParagraph"/>
              <w:ind w:left="0"/>
              <w:jc w:val="center"/>
            </w:pPr>
            <w:r w:rsidRPr="002F6879">
              <w:t>2015/16</w:t>
            </w:r>
          </w:p>
        </w:tc>
        <w:tc>
          <w:tcPr>
            <w:tcW w:w="1581" w:type="dxa"/>
            <w:tcBorders>
              <w:top w:val="nil"/>
              <w:left w:val="nil"/>
              <w:bottom w:val="single" w:sz="8" w:space="0" w:color="auto"/>
              <w:right w:val="single" w:sz="8" w:space="0" w:color="auto"/>
            </w:tcBorders>
            <w:shd w:val="clear" w:color="auto" w:fill="FFFF66"/>
            <w:tcMar>
              <w:top w:w="0" w:type="dxa"/>
              <w:left w:w="108" w:type="dxa"/>
              <w:bottom w:w="0" w:type="dxa"/>
              <w:right w:w="108" w:type="dxa"/>
            </w:tcMar>
            <w:hideMark/>
          </w:tcPr>
          <w:p w14:paraId="5CEBE97A" w14:textId="77777777" w:rsidR="0055040E" w:rsidRPr="002F6879" w:rsidRDefault="0055040E" w:rsidP="00BC4CDD">
            <w:pPr>
              <w:pStyle w:val="ListParagraph"/>
              <w:ind w:left="0"/>
              <w:jc w:val="right"/>
            </w:pPr>
            <w:r w:rsidRPr="002F6879">
              <w:t>4,132</w:t>
            </w:r>
          </w:p>
        </w:tc>
        <w:tc>
          <w:tcPr>
            <w:tcW w:w="1915" w:type="dxa"/>
            <w:tcBorders>
              <w:top w:val="nil"/>
              <w:left w:val="nil"/>
              <w:bottom w:val="single" w:sz="8" w:space="0" w:color="auto"/>
              <w:right w:val="single" w:sz="8" w:space="0" w:color="auto"/>
            </w:tcBorders>
            <w:shd w:val="clear" w:color="auto" w:fill="FFFF66"/>
            <w:tcMar>
              <w:top w:w="0" w:type="dxa"/>
              <w:left w:w="108" w:type="dxa"/>
              <w:bottom w:w="0" w:type="dxa"/>
              <w:right w:w="108" w:type="dxa"/>
            </w:tcMar>
            <w:hideMark/>
          </w:tcPr>
          <w:p w14:paraId="6168D625" w14:textId="77777777" w:rsidR="0055040E" w:rsidRPr="002F6879" w:rsidRDefault="0055040E" w:rsidP="00BC4CDD">
            <w:pPr>
              <w:pStyle w:val="ListParagraph"/>
              <w:ind w:left="0"/>
              <w:jc w:val="right"/>
            </w:pPr>
            <w:r w:rsidRPr="002F6879">
              <w:t>£ 4.8</w:t>
            </w:r>
          </w:p>
        </w:tc>
        <w:tc>
          <w:tcPr>
            <w:tcW w:w="1960" w:type="dxa"/>
            <w:tcBorders>
              <w:top w:val="nil"/>
              <w:left w:val="nil"/>
              <w:bottom w:val="single" w:sz="8" w:space="0" w:color="auto"/>
              <w:right w:val="nil"/>
            </w:tcBorders>
            <w:shd w:val="clear" w:color="auto" w:fill="FFFF66"/>
          </w:tcPr>
          <w:p w14:paraId="0DEC27B4" w14:textId="77777777" w:rsidR="0055040E" w:rsidRPr="002F6879" w:rsidRDefault="0055040E" w:rsidP="00BC4CDD">
            <w:pPr>
              <w:pStyle w:val="ListParagraph"/>
              <w:ind w:left="0"/>
              <w:jc w:val="right"/>
            </w:pPr>
            <w:r w:rsidRPr="002F6879">
              <w:t>£ 34</w:t>
            </w:r>
          </w:p>
        </w:tc>
        <w:tc>
          <w:tcPr>
            <w:tcW w:w="142" w:type="dxa"/>
            <w:tcBorders>
              <w:top w:val="nil"/>
              <w:left w:val="nil"/>
              <w:bottom w:val="single" w:sz="8" w:space="0" w:color="auto"/>
              <w:right w:val="single" w:sz="8" w:space="0" w:color="auto"/>
            </w:tcBorders>
            <w:shd w:val="clear" w:color="auto" w:fill="FFFF66"/>
          </w:tcPr>
          <w:p w14:paraId="37BBEB33" w14:textId="77777777" w:rsidR="0055040E" w:rsidRPr="002F6879" w:rsidRDefault="0055040E" w:rsidP="002A7331">
            <w:pPr>
              <w:pStyle w:val="ListParagraph"/>
              <w:ind w:left="0"/>
              <w:jc w:val="center"/>
            </w:pPr>
          </w:p>
        </w:tc>
      </w:tr>
      <w:tr w:rsidR="0055040E" w:rsidRPr="002F6879" w14:paraId="06C2AADB" w14:textId="77777777" w:rsidTr="00BC4CDD">
        <w:tc>
          <w:tcPr>
            <w:tcW w:w="13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48A7F8" w14:textId="77777777" w:rsidR="0055040E" w:rsidRPr="002F6879" w:rsidRDefault="0055040E" w:rsidP="00BC4CDD">
            <w:pPr>
              <w:pStyle w:val="ListParagraph"/>
              <w:ind w:left="0"/>
              <w:jc w:val="center"/>
            </w:pPr>
            <w:r w:rsidRPr="002F6879">
              <w:t>2016/17</w:t>
            </w:r>
          </w:p>
        </w:tc>
        <w:tc>
          <w:tcPr>
            <w:tcW w:w="1581" w:type="dxa"/>
            <w:tcBorders>
              <w:top w:val="nil"/>
              <w:left w:val="nil"/>
              <w:bottom w:val="single" w:sz="8" w:space="0" w:color="auto"/>
              <w:right w:val="single" w:sz="8" w:space="0" w:color="auto"/>
            </w:tcBorders>
            <w:tcMar>
              <w:top w:w="0" w:type="dxa"/>
              <w:left w:w="108" w:type="dxa"/>
              <w:bottom w:w="0" w:type="dxa"/>
              <w:right w:w="108" w:type="dxa"/>
            </w:tcMar>
            <w:hideMark/>
          </w:tcPr>
          <w:p w14:paraId="5460B740" w14:textId="77777777" w:rsidR="0055040E" w:rsidRPr="002F6879" w:rsidRDefault="0055040E" w:rsidP="00BC4CDD">
            <w:pPr>
              <w:pStyle w:val="ListParagraph"/>
              <w:ind w:left="0"/>
              <w:jc w:val="right"/>
            </w:pPr>
            <w:r w:rsidRPr="002F6879">
              <w:t>3,259</w:t>
            </w: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14:paraId="1D62EA25" w14:textId="77777777" w:rsidR="0055040E" w:rsidRPr="002F6879" w:rsidRDefault="0055040E" w:rsidP="00BC4CDD">
            <w:pPr>
              <w:pStyle w:val="ListParagraph"/>
              <w:ind w:left="0"/>
              <w:jc w:val="right"/>
            </w:pPr>
            <w:r w:rsidRPr="002F6879">
              <w:t>£ 3.8</w:t>
            </w:r>
          </w:p>
        </w:tc>
        <w:tc>
          <w:tcPr>
            <w:tcW w:w="1960" w:type="dxa"/>
            <w:tcBorders>
              <w:top w:val="nil"/>
              <w:left w:val="nil"/>
              <w:bottom w:val="single" w:sz="8" w:space="0" w:color="auto"/>
              <w:right w:val="nil"/>
            </w:tcBorders>
          </w:tcPr>
          <w:p w14:paraId="76BD4363" w14:textId="77777777" w:rsidR="0055040E" w:rsidRPr="002F6879" w:rsidRDefault="0055040E" w:rsidP="00BC4CDD">
            <w:pPr>
              <w:pStyle w:val="ListParagraph"/>
              <w:ind w:left="0"/>
              <w:jc w:val="right"/>
            </w:pPr>
            <w:r w:rsidRPr="002F6879">
              <w:t>£ 45</w:t>
            </w:r>
          </w:p>
        </w:tc>
        <w:tc>
          <w:tcPr>
            <w:tcW w:w="142" w:type="dxa"/>
            <w:tcBorders>
              <w:top w:val="nil"/>
              <w:left w:val="nil"/>
              <w:bottom w:val="single" w:sz="8" w:space="0" w:color="auto"/>
              <w:right w:val="single" w:sz="8" w:space="0" w:color="auto"/>
            </w:tcBorders>
          </w:tcPr>
          <w:p w14:paraId="55CF24C6" w14:textId="77777777" w:rsidR="0055040E" w:rsidRPr="002F6879" w:rsidRDefault="0055040E" w:rsidP="002A7331">
            <w:pPr>
              <w:pStyle w:val="ListParagraph"/>
              <w:ind w:left="0"/>
              <w:jc w:val="center"/>
            </w:pPr>
          </w:p>
        </w:tc>
      </w:tr>
      <w:tr w:rsidR="0055040E" w:rsidRPr="002F6879" w14:paraId="72E48FFA" w14:textId="77777777" w:rsidTr="00BC4CDD">
        <w:tc>
          <w:tcPr>
            <w:tcW w:w="13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214EC0" w14:textId="77777777" w:rsidR="0055040E" w:rsidRPr="002F6879" w:rsidRDefault="0055040E" w:rsidP="00BC4CDD">
            <w:pPr>
              <w:pStyle w:val="ListParagraph"/>
              <w:ind w:left="0"/>
              <w:jc w:val="center"/>
            </w:pPr>
            <w:r w:rsidRPr="002F6879">
              <w:t>2017/18</w:t>
            </w:r>
          </w:p>
        </w:tc>
        <w:tc>
          <w:tcPr>
            <w:tcW w:w="1581" w:type="dxa"/>
            <w:tcBorders>
              <w:top w:val="nil"/>
              <w:left w:val="nil"/>
              <w:bottom w:val="single" w:sz="8" w:space="0" w:color="auto"/>
              <w:right w:val="single" w:sz="8" w:space="0" w:color="auto"/>
            </w:tcBorders>
            <w:tcMar>
              <w:top w:w="0" w:type="dxa"/>
              <w:left w:w="108" w:type="dxa"/>
              <w:bottom w:w="0" w:type="dxa"/>
              <w:right w:w="108" w:type="dxa"/>
            </w:tcMar>
            <w:hideMark/>
          </w:tcPr>
          <w:p w14:paraId="19D708A0" w14:textId="77777777" w:rsidR="0055040E" w:rsidRPr="002F6879" w:rsidRDefault="0055040E" w:rsidP="00BC4CDD">
            <w:pPr>
              <w:pStyle w:val="ListParagraph"/>
              <w:ind w:left="0"/>
              <w:jc w:val="right"/>
            </w:pPr>
            <w:r w:rsidRPr="002F6879">
              <w:t>8,211</w:t>
            </w: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14:paraId="697292C0" w14:textId="77777777" w:rsidR="0055040E" w:rsidRPr="002F6879" w:rsidRDefault="0055040E" w:rsidP="00BC4CDD">
            <w:pPr>
              <w:pStyle w:val="ListParagraph"/>
              <w:ind w:left="0"/>
              <w:jc w:val="right"/>
            </w:pPr>
            <w:r w:rsidRPr="002F6879">
              <w:t>£ 17.2</w:t>
            </w:r>
          </w:p>
        </w:tc>
        <w:tc>
          <w:tcPr>
            <w:tcW w:w="1960" w:type="dxa"/>
            <w:tcBorders>
              <w:top w:val="nil"/>
              <w:left w:val="nil"/>
              <w:bottom w:val="single" w:sz="8" w:space="0" w:color="auto"/>
              <w:right w:val="nil"/>
            </w:tcBorders>
          </w:tcPr>
          <w:p w14:paraId="6B74CB87" w14:textId="77777777" w:rsidR="0055040E" w:rsidRPr="002F6879" w:rsidRDefault="0055040E" w:rsidP="00BC4CDD">
            <w:pPr>
              <w:pStyle w:val="ListParagraph"/>
              <w:ind w:left="0"/>
              <w:jc w:val="right"/>
            </w:pPr>
            <w:r w:rsidRPr="002F6879">
              <w:t>£ 51</w:t>
            </w:r>
          </w:p>
        </w:tc>
        <w:tc>
          <w:tcPr>
            <w:tcW w:w="142" w:type="dxa"/>
            <w:tcBorders>
              <w:top w:val="nil"/>
              <w:left w:val="nil"/>
              <w:bottom w:val="single" w:sz="8" w:space="0" w:color="auto"/>
              <w:right w:val="single" w:sz="8" w:space="0" w:color="auto"/>
            </w:tcBorders>
          </w:tcPr>
          <w:p w14:paraId="7AB0FCF0" w14:textId="77777777" w:rsidR="0055040E" w:rsidRPr="002F6879" w:rsidRDefault="0055040E" w:rsidP="002A7331">
            <w:pPr>
              <w:pStyle w:val="ListParagraph"/>
              <w:ind w:left="0"/>
              <w:jc w:val="center"/>
            </w:pPr>
          </w:p>
        </w:tc>
      </w:tr>
      <w:tr w:rsidR="0055040E" w:rsidRPr="002F6879" w14:paraId="167E513D" w14:textId="77777777" w:rsidTr="00BC4CDD">
        <w:tc>
          <w:tcPr>
            <w:tcW w:w="13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744F59" w14:textId="77777777" w:rsidR="0055040E" w:rsidRPr="002F6879" w:rsidRDefault="0055040E" w:rsidP="00BC4CDD">
            <w:pPr>
              <w:pStyle w:val="ListParagraph"/>
              <w:ind w:left="0"/>
              <w:jc w:val="center"/>
            </w:pPr>
            <w:r w:rsidRPr="002F6879">
              <w:t>2018/19</w:t>
            </w:r>
          </w:p>
        </w:tc>
        <w:tc>
          <w:tcPr>
            <w:tcW w:w="1581" w:type="dxa"/>
            <w:tcBorders>
              <w:top w:val="nil"/>
              <w:left w:val="nil"/>
              <w:bottom w:val="single" w:sz="8" w:space="0" w:color="auto"/>
              <w:right w:val="single" w:sz="8" w:space="0" w:color="auto"/>
            </w:tcBorders>
            <w:tcMar>
              <w:top w:w="0" w:type="dxa"/>
              <w:left w:w="108" w:type="dxa"/>
              <w:bottom w:w="0" w:type="dxa"/>
              <w:right w:w="108" w:type="dxa"/>
            </w:tcMar>
            <w:hideMark/>
          </w:tcPr>
          <w:p w14:paraId="1A14E7F8" w14:textId="77777777" w:rsidR="0055040E" w:rsidRPr="002F6879" w:rsidRDefault="0055040E" w:rsidP="00BC4CDD">
            <w:pPr>
              <w:pStyle w:val="ListParagraph"/>
              <w:ind w:left="0"/>
              <w:jc w:val="right"/>
            </w:pPr>
            <w:r w:rsidRPr="002F6879">
              <w:t>5,716</w:t>
            </w: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14:paraId="2F13D861" w14:textId="77777777" w:rsidR="0055040E" w:rsidRPr="002F6879" w:rsidRDefault="0055040E" w:rsidP="00BC4CDD">
            <w:pPr>
              <w:pStyle w:val="ListParagraph"/>
              <w:ind w:left="0"/>
              <w:jc w:val="right"/>
            </w:pPr>
            <w:r w:rsidRPr="002F6879">
              <w:t>£ 31.5</w:t>
            </w:r>
          </w:p>
        </w:tc>
        <w:tc>
          <w:tcPr>
            <w:tcW w:w="1960" w:type="dxa"/>
            <w:tcBorders>
              <w:top w:val="nil"/>
              <w:left w:val="nil"/>
              <w:bottom w:val="single" w:sz="8" w:space="0" w:color="auto"/>
              <w:right w:val="nil"/>
            </w:tcBorders>
          </w:tcPr>
          <w:p w14:paraId="2760DF6D" w14:textId="77777777" w:rsidR="0055040E" w:rsidRPr="002F6879" w:rsidRDefault="0055040E" w:rsidP="00BC4CDD">
            <w:pPr>
              <w:pStyle w:val="ListParagraph"/>
              <w:ind w:left="0"/>
              <w:jc w:val="right"/>
            </w:pPr>
            <w:r w:rsidRPr="002F6879">
              <w:t>£ 56</w:t>
            </w:r>
          </w:p>
        </w:tc>
        <w:tc>
          <w:tcPr>
            <w:tcW w:w="142" w:type="dxa"/>
            <w:tcBorders>
              <w:top w:val="nil"/>
              <w:left w:val="nil"/>
              <w:bottom w:val="single" w:sz="8" w:space="0" w:color="auto"/>
              <w:right w:val="single" w:sz="8" w:space="0" w:color="auto"/>
            </w:tcBorders>
          </w:tcPr>
          <w:p w14:paraId="4A681870" w14:textId="77777777" w:rsidR="0055040E" w:rsidRPr="002F6879" w:rsidRDefault="0055040E" w:rsidP="002A7331">
            <w:pPr>
              <w:pStyle w:val="ListParagraph"/>
              <w:ind w:left="0"/>
              <w:jc w:val="center"/>
            </w:pPr>
          </w:p>
        </w:tc>
      </w:tr>
      <w:tr w:rsidR="0055040E" w:rsidRPr="002F6879" w14:paraId="05CD7C48" w14:textId="77777777" w:rsidTr="00BC4CDD">
        <w:tc>
          <w:tcPr>
            <w:tcW w:w="13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FF4EC1" w14:textId="77777777" w:rsidR="0055040E" w:rsidRPr="002F6879" w:rsidRDefault="0055040E" w:rsidP="00BC4CDD">
            <w:pPr>
              <w:pStyle w:val="ListParagraph"/>
              <w:ind w:left="0"/>
              <w:jc w:val="center"/>
            </w:pPr>
            <w:r w:rsidRPr="002F6879">
              <w:t>2019/20</w:t>
            </w:r>
          </w:p>
        </w:tc>
        <w:tc>
          <w:tcPr>
            <w:tcW w:w="1581" w:type="dxa"/>
            <w:tcBorders>
              <w:top w:val="nil"/>
              <w:left w:val="nil"/>
              <w:bottom w:val="single" w:sz="8" w:space="0" w:color="auto"/>
              <w:right w:val="single" w:sz="8" w:space="0" w:color="auto"/>
            </w:tcBorders>
            <w:tcMar>
              <w:top w:w="0" w:type="dxa"/>
              <w:left w:w="108" w:type="dxa"/>
              <w:bottom w:w="0" w:type="dxa"/>
              <w:right w:w="108" w:type="dxa"/>
            </w:tcMar>
            <w:hideMark/>
          </w:tcPr>
          <w:p w14:paraId="0B7D016E" w14:textId="77777777" w:rsidR="0055040E" w:rsidRPr="002F6879" w:rsidRDefault="0055040E" w:rsidP="00BC4CDD">
            <w:pPr>
              <w:pStyle w:val="ListParagraph"/>
              <w:ind w:left="0"/>
              <w:jc w:val="right"/>
            </w:pPr>
            <w:r w:rsidRPr="002F6879">
              <w:t>10,687</w:t>
            </w: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14:paraId="55AC9F18" w14:textId="77777777" w:rsidR="0055040E" w:rsidRPr="002F6879" w:rsidRDefault="0055040E" w:rsidP="00BC4CDD">
            <w:pPr>
              <w:pStyle w:val="ListParagraph"/>
              <w:ind w:left="0"/>
              <w:jc w:val="right"/>
            </w:pPr>
            <w:r w:rsidRPr="002F6879">
              <w:t>£ 20.2</w:t>
            </w:r>
          </w:p>
        </w:tc>
        <w:tc>
          <w:tcPr>
            <w:tcW w:w="1960" w:type="dxa"/>
            <w:tcBorders>
              <w:top w:val="nil"/>
              <w:left w:val="nil"/>
              <w:bottom w:val="single" w:sz="8" w:space="0" w:color="auto"/>
              <w:right w:val="nil"/>
            </w:tcBorders>
          </w:tcPr>
          <w:p w14:paraId="5A603628" w14:textId="77777777" w:rsidR="0055040E" w:rsidRPr="002F6879" w:rsidRDefault="0055040E" w:rsidP="00BC4CDD">
            <w:pPr>
              <w:pStyle w:val="ListParagraph"/>
              <w:ind w:left="0"/>
              <w:jc w:val="right"/>
            </w:pPr>
            <w:r w:rsidRPr="002F6879">
              <w:t>£ 53</w:t>
            </w:r>
          </w:p>
        </w:tc>
        <w:tc>
          <w:tcPr>
            <w:tcW w:w="142" w:type="dxa"/>
            <w:tcBorders>
              <w:top w:val="nil"/>
              <w:left w:val="nil"/>
              <w:bottom w:val="single" w:sz="8" w:space="0" w:color="auto"/>
              <w:right w:val="single" w:sz="8" w:space="0" w:color="auto"/>
            </w:tcBorders>
          </w:tcPr>
          <w:p w14:paraId="380A7F96" w14:textId="77777777" w:rsidR="0055040E" w:rsidRPr="002F6879" w:rsidRDefault="0055040E" w:rsidP="002A7331">
            <w:pPr>
              <w:pStyle w:val="ListParagraph"/>
              <w:ind w:left="0"/>
              <w:jc w:val="center"/>
            </w:pPr>
          </w:p>
        </w:tc>
      </w:tr>
      <w:tr w:rsidR="0055040E" w:rsidRPr="002F6879" w14:paraId="245B49BE" w14:textId="77777777" w:rsidTr="00BC4CDD">
        <w:tc>
          <w:tcPr>
            <w:tcW w:w="13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258104" w14:textId="77777777" w:rsidR="0055040E" w:rsidRPr="002F6879" w:rsidRDefault="0055040E" w:rsidP="00BC4CDD">
            <w:pPr>
              <w:pStyle w:val="ListParagraph"/>
              <w:ind w:left="0"/>
              <w:jc w:val="center"/>
            </w:pPr>
            <w:r w:rsidRPr="002F6879">
              <w:t>2020/21</w:t>
            </w:r>
          </w:p>
        </w:tc>
        <w:tc>
          <w:tcPr>
            <w:tcW w:w="1581" w:type="dxa"/>
            <w:tcBorders>
              <w:top w:val="nil"/>
              <w:left w:val="nil"/>
              <w:bottom w:val="single" w:sz="8" w:space="0" w:color="auto"/>
              <w:right w:val="single" w:sz="8" w:space="0" w:color="auto"/>
            </w:tcBorders>
            <w:tcMar>
              <w:top w:w="0" w:type="dxa"/>
              <w:left w:w="108" w:type="dxa"/>
              <w:bottom w:w="0" w:type="dxa"/>
              <w:right w:w="108" w:type="dxa"/>
            </w:tcMar>
            <w:hideMark/>
          </w:tcPr>
          <w:p w14:paraId="34D34C66" w14:textId="77777777" w:rsidR="0055040E" w:rsidRPr="002F6879" w:rsidRDefault="0055040E" w:rsidP="00BC4CDD">
            <w:pPr>
              <w:pStyle w:val="ListParagraph"/>
              <w:ind w:left="0"/>
              <w:jc w:val="right"/>
            </w:pPr>
            <w:r w:rsidRPr="002F6879">
              <w:t>9,269</w:t>
            </w: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14:paraId="2926A5A5" w14:textId="77777777" w:rsidR="0055040E" w:rsidRPr="002F6879" w:rsidRDefault="0055040E" w:rsidP="00BC4CDD">
            <w:pPr>
              <w:pStyle w:val="ListParagraph"/>
              <w:ind w:left="0"/>
              <w:jc w:val="right"/>
            </w:pPr>
            <w:r w:rsidRPr="002F6879">
              <w:t>£ 25.0</w:t>
            </w:r>
          </w:p>
        </w:tc>
        <w:tc>
          <w:tcPr>
            <w:tcW w:w="1960" w:type="dxa"/>
            <w:tcBorders>
              <w:top w:val="nil"/>
              <w:left w:val="nil"/>
              <w:bottom w:val="single" w:sz="8" w:space="0" w:color="auto"/>
              <w:right w:val="nil"/>
            </w:tcBorders>
          </w:tcPr>
          <w:p w14:paraId="4AAD7472" w14:textId="77777777" w:rsidR="0055040E" w:rsidRPr="002F6879" w:rsidRDefault="0055040E" w:rsidP="00BC4CDD">
            <w:pPr>
              <w:pStyle w:val="ListParagraph"/>
              <w:ind w:left="0"/>
              <w:jc w:val="right"/>
            </w:pPr>
            <w:r w:rsidRPr="002F6879">
              <w:t>£ 75</w:t>
            </w:r>
          </w:p>
        </w:tc>
        <w:tc>
          <w:tcPr>
            <w:tcW w:w="142" w:type="dxa"/>
            <w:tcBorders>
              <w:top w:val="nil"/>
              <w:left w:val="nil"/>
              <w:bottom w:val="single" w:sz="8" w:space="0" w:color="auto"/>
              <w:right w:val="single" w:sz="8" w:space="0" w:color="auto"/>
            </w:tcBorders>
          </w:tcPr>
          <w:p w14:paraId="7B591A85" w14:textId="77777777" w:rsidR="0055040E" w:rsidRPr="002F6879" w:rsidRDefault="0055040E" w:rsidP="002A7331">
            <w:pPr>
              <w:pStyle w:val="ListParagraph"/>
              <w:ind w:left="0"/>
              <w:jc w:val="center"/>
            </w:pPr>
          </w:p>
        </w:tc>
      </w:tr>
      <w:tr w:rsidR="0055040E" w:rsidRPr="002F6879" w14:paraId="39BE6567" w14:textId="77777777" w:rsidTr="00BC4CDD">
        <w:tc>
          <w:tcPr>
            <w:tcW w:w="13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28C760" w14:textId="77777777" w:rsidR="0055040E" w:rsidRPr="002F6879" w:rsidRDefault="0055040E" w:rsidP="00BC4CDD">
            <w:pPr>
              <w:pStyle w:val="ListParagraph"/>
              <w:ind w:left="0"/>
              <w:jc w:val="center"/>
              <w:rPr>
                <w:b/>
                <w:bCs/>
              </w:rPr>
            </w:pPr>
            <w:r w:rsidRPr="002F6879">
              <w:rPr>
                <w:b/>
                <w:bCs/>
              </w:rPr>
              <w:t>Total</w:t>
            </w:r>
          </w:p>
        </w:tc>
        <w:tc>
          <w:tcPr>
            <w:tcW w:w="1581" w:type="dxa"/>
            <w:tcBorders>
              <w:top w:val="nil"/>
              <w:left w:val="nil"/>
              <w:bottom w:val="single" w:sz="8" w:space="0" w:color="auto"/>
              <w:right w:val="single" w:sz="8" w:space="0" w:color="auto"/>
            </w:tcBorders>
            <w:tcMar>
              <w:top w:w="0" w:type="dxa"/>
              <w:left w:w="108" w:type="dxa"/>
              <w:bottom w:w="0" w:type="dxa"/>
              <w:right w:w="108" w:type="dxa"/>
            </w:tcMar>
            <w:hideMark/>
          </w:tcPr>
          <w:p w14:paraId="0075A76A" w14:textId="77777777" w:rsidR="0055040E" w:rsidRPr="002F6879" w:rsidRDefault="0055040E" w:rsidP="00BC4CDD">
            <w:pPr>
              <w:pStyle w:val="ListParagraph"/>
              <w:ind w:left="0"/>
              <w:jc w:val="right"/>
              <w:rPr>
                <w:b/>
                <w:bCs/>
              </w:rPr>
            </w:pPr>
            <w:r w:rsidRPr="002F6879">
              <w:rPr>
                <w:b/>
                <w:bCs/>
              </w:rPr>
              <w:t>41,274</w:t>
            </w: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14:paraId="3CA43273" w14:textId="77777777" w:rsidR="0055040E" w:rsidRPr="002F6879" w:rsidRDefault="0055040E" w:rsidP="00BC4CDD">
            <w:pPr>
              <w:pStyle w:val="ListParagraph"/>
              <w:ind w:left="0"/>
              <w:jc w:val="right"/>
              <w:rPr>
                <w:b/>
                <w:bCs/>
              </w:rPr>
            </w:pPr>
            <w:r w:rsidRPr="002F6879">
              <w:rPr>
                <w:b/>
                <w:bCs/>
              </w:rPr>
              <w:t>£ 103.0</w:t>
            </w:r>
          </w:p>
        </w:tc>
        <w:tc>
          <w:tcPr>
            <w:tcW w:w="1960" w:type="dxa"/>
            <w:tcBorders>
              <w:top w:val="nil"/>
              <w:left w:val="nil"/>
              <w:bottom w:val="single" w:sz="8" w:space="0" w:color="auto"/>
              <w:right w:val="nil"/>
            </w:tcBorders>
          </w:tcPr>
          <w:p w14:paraId="02302E50" w14:textId="77777777" w:rsidR="0055040E" w:rsidRPr="002F6879" w:rsidRDefault="0055040E" w:rsidP="00BC4CDD">
            <w:pPr>
              <w:pStyle w:val="ListParagraph"/>
              <w:ind w:left="0"/>
              <w:jc w:val="right"/>
              <w:rPr>
                <w:b/>
                <w:bCs/>
              </w:rPr>
            </w:pPr>
            <w:r w:rsidRPr="002F6879">
              <w:rPr>
                <w:b/>
                <w:bCs/>
              </w:rPr>
              <w:t>£ 314</w:t>
            </w:r>
          </w:p>
        </w:tc>
        <w:tc>
          <w:tcPr>
            <w:tcW w:w="142" w:type="dxa"/>
            <w:tcBorders>
              <w:top w:val="nil"/>
              <w:left w:val="nil"/>
              <w:bottom w:val="single" w:sz="8" w:space="0" w:color="auto"/>
              <w:right w:val="single" w:sz="8" w:space="0" w:color="auto"/>
            </w:tcBorders>
          </w:tcPr>
          <w:p w14:paraId="0D6D6B69" w14:textId="77777777" w:rsidR="0055040E" w:rsidRPr="002F6879" w:rsidRDefault="0055040E" w:rsidP="002A7331">
            <w:pPr>
              <w:pStyle w:val="ListParagraph"/>
              <w:ind w:left="0"/>
              <w:jc w:val="center"/>
              <w:rPr>
                <w:b/>
                <w:bCs/>
              </w:rPr>
            </w:pPr>
          </w:p>
        </w:tc>
      </w:tr>
    </w:tbl>
    <w:p w14:paraId="5844EB1F" w14:textId="1B6E4A23" w:rsidR="0055040E" w:rsidRPr="002F6879" w:rsidRDefault="0055040E" w:rsidP="0055040E">
      <w:pPr>
        <w:spacing w:after="120"/>
        <w:jc w:val="both"/>
        <w:rPr>
          <w:i/>
          <w:sz w:val="20"/>
        </w:rPr>
      </w:pPr>
      <w:r w:rsidRPr="002F6879">
        <w:rPr>
          <w:i/>
          <w:sz w:val="20"/>
        </w:rPr>
        <w:t xml:space="preserve">Note: 2015/16 shows actual figures, 2016/17 is based on the mid-year forecast, </w:t>
      </w:r>
      <w:proofErr w:type="gramStart"/>
      <w:r w:rsidRPr="002F6879">
        <w:rPr>
          <w:i/>
          <w:sz w:val="20"/>
        </w:rPr>
        <w:t>2017</w:t>
      </w:r>
      <w:proofErr w:type="gramEnd"/>
      <w:r w:rsidRPr="002F6879">
        <w:rPr>
          <w:i/>
          <w:sz w:val="20"/>
        </w:rPr>
        <w:t xml:space="preserve">/18 onwards shows </w:t>
      </w:r>
      <w:r w:rsidR="00BC4CDD" w:rsidRPr="002F6879">
        <w:rPr>
          <w:i/>
          <w:sz w:val="20"/>
        </w:rPr>
        <w:t>planned six</w:t>
      </w:r>
      <w:r w:rsidRPr="002F6879">
        <w:rPr>
          <w:i/>
          <w:sz w:val="20"/>
        </w:rPr>
        <w:t xml:space="preserve"> year programme figures</w:t>
      </w:r>
    </w:p>
    <w:p w14:paraId="66FCE1C5" w14:textId="783B854D" w:rsidR="00104FA3" w:rsidRPr="002F6879" w:rsidRDefault="00104FA3" w:rsidP="0055040E">
      <w:pPr>
        <w:spacing w:after="120"/>
        <w:jc w:val="both"/>
      </w:pPr>
      <w:r w:rsidRPr="002F6879">
        <w:t xml:space="preserve">In the first two years of the </w:t>
      </w:r>
      <w:r w:rsidR="003D53E6" w:rsidRPr="002F6879">
        <w:t>six</w:t>
      </w:r>
      <w:r w:rsidRPr="002F6879">
        <w:t xml:space="preserve"> year programme, flood risk has been reduced for over 5</w:t>
      </w:r>
      <w:r w:rsidR="003D53E6" w:rsidRPr="002F6879">
        <w:t>,</w:t>
      </w:r>
      <w:r w:rsidRPr="002F6879">
        <w:t xml:space="preserve">000 properties in London. Through delivery of </w:t>
      </w:r>
      <w:r w:rsidR="008E16E7" w:rsidRPr="002F6879">
        <w:t>the</w:t>
      </w:r>
      <w:r w:rsidRPr="002F6879">
        <w:t xml:space="preserve"> </w:t>
      </w:r>
      <w:r w:rsidR="003F7C06" w:rsidRPr="002F6879">
        <w:t>six</w:t>
      </w:r>
      <w:r w:rsidRPr="002F6879">
        <w:t xml:space="preserve"> year programme, </w:t>
      </w:r>
      <w:r w:rsidR="00BC4CDD" w:rsidRPr="002F6879">
        <w:t xml:space="preserve">the </w:t>
      </w:r>
      <w:r w:rsidRPr="002F6879">
        <w:t>Thames RFCC forecasts a reduction in flood risk to approximately 41,274 properties in the Thames RFCC area. This is an increase of circa 8</w:t>
      </w:r>
      <w:r w:rsidR="003F7C06" w:rsidRPr="002F6879">
        <w:t>,</w:t>
      </w:r>
      <w:r w:rsidRPr="002F6879">
        <w:t xml:space="preserve">000 </w:t>
      </w:r>
      <w:r w:rsidR="003F7C06" w:rsidRPr="002F6879">
        <w:t xml:space="preserve">properties </w:t>
      </w:r>
      <w:r w:rsidRPr="002F6879">
        <w:t xml:space="preserve">on the figure reported </w:t>
      </w:r>
      <w:r w:rsidR="008E16E7" w:rsidRPr="002F6879">
        <w:t xml:space="preserve">to TEC </w:t>
      </w:r>
      <w:r w:rsidRPr="002F6879">
        <w:t xml:space="preserve">last year. </w:t>
      </w:r>
      <w:r w:rsidR="00BC4CDD" w:rsidRPr="002F6879">
        <w:t xml:space="preserve">This is due to the increased number of projects in the programme. </w:t>
      </w:r>
      <w:r w:rsidRPr="002F6879">
        <w:t xml:space="preserve">The list of projects at Appendix </w:t>
      </w:r>
      <w:r w:rsidR="003D53E6" w:rsidRPr="002F6879">
        <w:t>B</w:t>
      </w:r>
      <w:r w:rsidRPr="002F6879">
        <w:t xml:space="preserve"> gives more information about where the properties are that will benefit.</w:t>
      </w:r>
    </w:p>
    <w:p w14:paraId="63BF7DF1" w14:textId="2F17AC47" w:rsidR="00F756D3" w:rsidRPr="002F6879" w:rsidRDefault="00467D5D" w:rsidP="00A25CDA">
      <w:pPr>
        <w:pStyle w:val="Heading2"/>
        <w:jc w:val="both"/>
      </w:pPr>
      <w:r w:rsidRPr="002F6879">
        <w:t>U</w:t>
      </w:r>
      <w:r w:rsidR="00F756D3" w:rsidRPr="002F6879">
        <w:t xml:space="preserve">se of levy </w:t>
      </w:r>
    </w:p>
    <w:p w14:paraId="378487B8" w14:textId="298E1BB4" w:rsidR="00104137" w:rsidRPr="002F6879" w:rsidRDefault="003F7C06" w:rsidP="00A25CDA">
      <w:pPr>
        <w:jc w:val="both"/>
        <w:rPr>
          <w:rFonts w:cs="Arial"/>
        </w:rPr>
      </w:pPr>
      <w:r w:rsidRPr="002F6879">
        <w:rPr>
          <w:rFonts w:cs="Arial"/>
        </w:rPr>
        <w:t xml:space="preserve">The </w:t>
      </w:r>
      <w:r w:rsidR="00104137" w:rsidRPr="002F6879">
        <w:rPr>
          <w:rFonts w:cs="Arial"/>
        </w:rPr>
        <w:t xml:space="preserve">Thames RFCC </w:t>
      </w:r>
      <w:r w:rsidRPr="002F6879">
        <w:rPr>
          <w:rFonts w:cs="Arial"/>
        </w:rPr>
        <w:t xml:space="preserve">has </w:t>
      </w:r>
      <w:r w:rsidR="00104137" w:rsidRPr="002F6879">
        <w:rPr>
          <w:rFonts w:cs="Arial"/>
        </w:rPr>
        <w:t xml:space="preserve">agreed the following principles to guide the use of levy in </w:t>
      </w:r>
      <w:r w:rsidR="006426C5" w:rsidRPr="002F6879">
        <w:rPr>
          <w:rFonts w:cs="Arial"/>
        </w:rPr>
        <w:t xml:space="preserve">its </w:t>
      </w:r>
      <w:r w:rsidR="00104137" w:rsidRPr="002F6879">
        <w:rPr>
          <w:rFonts w:cs="Arial"/>
        </w:rPr>
        <w:t xml:space="preserve">programme: </w:t>
      </w:r>
    </w:p>
    <w:p w14:paraId="72577F06" w14:textId="0C915E7C" w:rsidR="00104137" w:rsidRPr="002F6879" w:rsidRDefault="00104137" w:rsidP="00A25CDA">
      <w:pPr>
        <w:pStyle w:val="ListParagraph"/>
        <w:numPr>
          <w:ilvl w:val="0"/>
          <w:numId w:val="6"/>
        </w:numPr>
        <w:autoSpaceDE w:val="0"/>
        <w:autoSpaceDN w:val="0"/>
        <w:adjustRightInd w:val="0"/>
        <w:jc w:val="both"/>
        <w:rPr>
          <w:rFonts w:cs="Arial"/>
          <w:szCs w:val="24"/>
        </w:rPr>
      </w:pPr>
      <w:r w:rsidRPr="002F6879">
        <w:rPr>
          <w:rFonts w:ascii="Arial" w:hAnsi="Arial" w:cs="Arial"/>
          <w:sz w:val="24"/>
          <w:szCs w:val="24"/>
        </w:rPr>
        <w:t>risk-led approach with focus on significant risk</w:t>
      </w:r>
      <w:r w:rsidR="003F7C06" w:rsidRPr="002F6879">
        <w:rPr>
          <w:rFonts w:ascii="Arial" w:hAnsi="Arial" w:cs="Arial"/>
          <w:sz w:val="24"/>
          <w:szCs w:val="24"/>
        </w:rPr>
        <w:t>;</w:t>
      </w:r>
    </w:p>
    <w:p w14:paraId="21B0F993" w14:textId="3FE26DA0" w:rsidR="00104137" w:rsidRPr="002F6879" w:rsidRDefault="00104137" w:rsidP="00A25CDA">
      <w:pPr>
        <w:pStyle w:val="ListParagraph"/>
        <w:numPr>
          <w:ilvl w:val="0"/>
          <w:numId w:val="6"/>
        </w:numPr>
        <w:autoSpaceDE w:val="0"/>
        <w:autoSpaceDN w:val="0"/>
        <w:adjustRightInd w:val="0"/>
        <w:jc w:val="both"/>
        <w:rPr>
          <w:rFonts w:cs="Arial"/>
          <w:szCs w:val="24"/>
        </w:rPr>
      </w:pPr>
      <w:r w:rsidRPr="002F6879">
        <w:rPr>
          <w:rFonts w:ascii="Arial" w:hAnsi="Arial" w:cs="Arial"/>
          <w:sz w:val="24"/>
          <w:szCs w:val="24"/>
        </w:rPr>
        <w:t>mix of schemes (major, smaller, community, innovation)</w:t>
      </w:r>
      <w:r w:rsidR="003F7C06" w:rsidRPr="002F6879">
        <w:rPr>
          <w:rFonts w:ascii="Arial" w:hAnsi="Arial" w:cs="Arial"/>
          <w:sz w:val="24"/>
          <w:szCs w:val="24"/>
        </w:rPr>
        <w:t>;</w:t>
      </w:r>
    </w:p>
    <w:p w14:paraId="1D634190" w14:textId="2A3B00F6" w:rsidR="00104137" w:rsidRPr="002F6879" w:rsidRDefault="00104137" w:rsidP="00A25CDA">
      <w:pPr>
        <w:pStyle w:val="ListParagraph"/>
        <w:numPr>
          <w:ilvl w:val="0"/>
          <w:numId w:val="6"/>
        </w:numPr>
        <w:autoSpaceDE w:val="0"/>
        <w:autoSpaceDN w:val="0"/>
        <w:adjustRightInd w:val="0"/>
        <w:jc w:val="both"/>
        <w:rPr>
          <w:rFonts w:cs="Arial"/>
          <w:szCs w:val="24"/>
        </w:rPr>
      </w:pPr>
      <w:r w:rsidRPr="002F6879">
        <w:rPr>
          <w:rFonts w:ascii="Arial" w:hAnsi="Arial" w:cs="Arial"/>
          <w:sz w:val="24"/>
          <w:szCs w:val="24"/>
        </w:rPr>
        <w:t>value for money (</w:t>
      </w:r>
      <w:r w:rsidR="003F7C06" w:rsidRPr="002F6879">
        <w:rPr>
          <w:rFonts w:ascii="Arial" w:hAnsi="Arial" w:cs="Arial"/>
          <w:sz w:val="24"/>
          <w:szCs w:val="24"/>
        </w:rPr>
        <w:t xml:space="preserve">assessed using </w:t>
      </w:r>
      <w:r w:rsidRPr="002F6879">
        <w:rPr>
          <w:rFonts w:ascii="Arial" w:hAnsi="Arial" w:cs="Arial"/>
          <w:sz w:val="24"/>
          <w:szCs w:val="24"/>
        </w:rPr>
        <w:t xml:space="preserve">cost: benefit </w:t>
      </w:r>
      <w:r w:rsidR="008E16E7" w:rsidRPr="002F6879">
        <w:rPr>
          <w:rFonts w:ascii="Arial" w:hAnsi="Arial" w:cs="Arial"/>
          <w:sz w:val="24"/>
          <w:szCs w:val="24"/>
        </w:rPr>
        <w:t xml:space="preserve">ratio </w:t>
      </w:r>
      <w:r w:rsidRPr="002F6879">
        <w:rPr>
          <w:rFonts w:ascii="Arial" w:hAnsi="Arial" w:cs="Arial"/>
          <w:sz w:val="24"/>
          <w:szCs w:val="24"/>
        </w:rPr>
        <w:t>and partnership funding score)</w:t>
      </w:r>
      <w:r w:rsidR="003F7C06" w:rsidRPr="002F6879">
        <w:rPr>
          <w:rFonts w:ascii="Arial" w:hAnsi="Arial" w:cs="Arial"/>
          <w:sz w:val="24"/>
          <w:szCs w:val="24"/>
        </w:rPr>
        <w:t>;</w:t>
      </w:r>
    </w:p>
    <w:p w14:paraId="03D6FDE5" w14:textId="12E34B66" w:rsidR="00104137" w:rsidRPr="002F6879" w:rsidRDefault="00104137" w:rsidP="00A25CDA">
      <w:pPr>
        <w:pStyle w:val="ListParagraph"/>
        <w:numPr>
          <w:ilvl w:val="0"/>
          <w:numId w:val="6"/>
        </w:numPr>
        <w:autoSpaceDE w:val="0"/>
        <w:autoSpaceDN w:val="0"/>
        <w:adjustRightInd w:val="0"/>
        <w:jc w:val="both"/>
        <w:rPr>
          <w:rFonts w:cs="Arial"/>
          <w:szCs w:val="24"/>
        </w:rPr>
      </w:pPr>
      <w:r w:rsidRPr="002F6879">
        <w:rPr>
          <w:rFonts w:ascii="Arial" w:hAnsi="Arial" w:cs="Arial"/>
          <w:sz w:val="24"/>
          <w:szCs w:val="24"/>
        </w:rPr>
        <w:t>deliver efficiencies by planning ahead and packaging work</w:t>
      </w:r>
      <w:r w:rsidR="003F7C06" w:rsidRPr="002F6879">
        <w:rPr>
          <w:rFonts w:ascii="Arial" w:hAnsi="Arial" w:cs="Arial"/>
          <w:sz w:val="24"/>
          <w:szCs w:val="24"/>
        </w:rPr>
        <w:t>;</w:t>
      </w:r>
    </w:p>
    <w:p w14:paraId="69D6DFBA" w14:textId="34D051DC" w:rsidR="00104137" w:rsidRPr="002F6879" w:rsidRDefault="00104137" w:rsidP="00A25CDA">
      <w:pPr>
        <w:pStyle w:val="ListParagraph"/>
        <w:numPr>
          <w:ilvl w:val="0"/>
          <w:numId w:val="6"/>
        </w:numPr>
        <w:autoSpaceDE w:val="0"/>
        <w:autoSpaceDN w:val="0"/>
        <w:adjustRightInd w:val="0"/>
        <w:jc w:val="both"/>
        <w:rPr>
          <w:rFonts w:cs="Arial"/>
          <w:szCs w:val="24"/>
        </w:rPr>
      </w:pPr>
      <w:r w:rsidRPr="002F6879">
        <w:rPr>
          <w:rFonts w:ascii="Arial" w:hAnsi="Arial" w:cs="Arial"/>
          <w:sz w:val="24"/>
          <w:szCs w:val="24"/>
        </w:rPr>
        <w:t>link to redevelopment and water company and transport investment</w:t>
      </w:r>
      <w:r w:rsidR="003F7C06" w:rsidRPr="002F6879">
        <w:rPr>
          <w:rFonts w:ascii="Arial" w:hAnsi="Arial" w:cs="Arial"/>
          <w:sz w:val="24"/>
          <w:szCs w:val="24"/>
        </w:rPr>
        <w:t>;</w:t>
      </w:r>
    </w:p>
    <w:p w14:paraId="7351E2D8" w14:textId="36E13B8A" w:rsidR="00104137" w:rsidRPr="002F6879" w:rsidRDefault="00104137" w:rsidP="00A25CDA">
      <w:pPr>
        <w:pStyle w:val="ListParagraph"/>
        <w:numPr>
          <w:ilvl w:val="0"/>
          <w:numId w:val="6"/>
        </w:numPr>
        <w:autoSpaceDE w:val="0"/>
        <w:autoSpaceDN w:val="0"/>
        <w:adjustRightInd w:val="0"/>
        <w:jc w:val="both"/>
        <w:rPr>
          <w:rFonts w:cs="Arial"/>
          <w:szCs w:val="24"/>
        </w:rPr>
      </w:pPr>
      <w:r w:rsidRPr="002F6879">
        <w:rPr>
          <w:rFonts w:ascii="Arial" w:hAnsi="Arial" w:cs="Arial"/>
          <w:sz w:val="24"/>
          <w:szCs w:val="24"/>
        </w:rPr>
        <w:t>adopt integrated approaches to all types of flood risk</w:t>
      </w:r>
      <w:r w:rsidR="003F7C06" w:rsidRPr="002F6879">
        <w:rPr>
          <w:rFonts w:ascii="Arial" w:hAnsi="Arial" w:cs="Arial"/>
          <w:sz w:val="24"/>
          <w:szCs w:val="24"/>
        </w:rPr>
        <w:t>;</w:t>
      </w:r>
    </w:p>
    <w:p w14:paraId="27787779" w14:textId="5354B792" w:rsidR="00104137" w:rsidRPr="002F6879" w:rsidRDefault="00104137" w:rsidP="00A25CDA">
      <w:pPr>
        <w:pStyle w:val="ListParagraph"/>
        <w:numPr>
          <w:ilvl w:val="0"/>
          <w:numId w:val="6"/>
        </w:numPr>
        <w:autoSpaceDE w:val="0"/>
        <w:autoSpaceDN w:val="0"/>
        <w:adjustRightInd w:val="0"/>
        <w:jc w:val="both"/>
        <w:rPr>
          <w:rFonts w:cs="Arial"/>
          <w:szCs w:val="24"/>
        </w:rPr>
      </w:pPr>
      <w:r w:rsidRPr="002F6879">
        <w:rPr>
          <w:rFonts w:ascii="Arial" w:hAnsi="Arial" w:cs="Arial"/>
          <w:sz w:val="24"/>
          <w:szCs w:val="24"/>
        </w:rPr>
        <w:t xml:space="preserve">plan pipeline </w:t>
      </w:r>
      <w:r w:rsidR="003F7C06" w:rsidRPr="002F6879">
        <w:rPr>
          <w:rFonts w:ascii="Arial" w:hAnsi="Arial" w:cs="Arial"/>
          <w:sz w:val="24"/>
          <w:szCs w:val="24"/>
        </w:rPr>
        <w:t xml:space="preserve">a planned pipeline </w:t>
      </w:r>
      <w:r w:rsidRPr="002F6879">
        <w:rPr>
          <w:rFonts w:ascii="Arial" w:hAnsi="Arial" w:cs="Arial"/>
          <w:sz w:val="24"/>
          <w:szCs w:val="24"/>
        </w:rPr>
        <w:t>including major schemes and “spade ready” portfolio</w:t>
      </w:r>
      <w:r w:rsidR="003F7C06" w:rsidRPr="002F6879">
        <w:rPr>
          <w:rFonts w:ascii="Arial" w:hAnsi="Arial" w:cs="Arial"/>
          <w:sz w:val="24"/>
          <w:szCs w:val="24"/>
        </w:rPr>
        <w:t>;</w:t>
      </w:r>
    </w:p>
    <w:p w14:paraId="538C324D" w14:textId="54AE01AE" w:rsidR="00104137" w:rsidRPr="002F6879" w:rsidRDefault="00104137" w:rsidP="00A25CDA">
      <w:pPr>
        <w:pStyle w:val="ListParagraph"/>
        <w:numPr>
          <w:ilvl w:val="0"/>
          <w:numId w:val="6"/>
        </w:numPr>
        <w:autoSpaceDE w:val="0"/>
        <w:autoSpaceDN w:val="0"/>
        <w:adjustRightInd w:val="0"/>
        <w:jc w:val="both"/>
        <w:rPr>
          <w:rFonts w:cs="Arial"/>
          <w:szCs w:val="24"/>
        </w:rPr>
      </w:pPr>
      <w:r w:rsidRPr="002F6879">
        <w:rPr>
          <w:rFonts w:ascii="Arial" w:hAnsi="Arial" w:cs="Arial"/>
          <w:sz w:val="24"/>
          <w:szCs w:val="24"/>
        </w:rPr>
        <w:t>invest in existing assets as well as new</w:t>
      </w:r>
      <w:r w:rsidR="003F7C06" w:rsidRPr="002F6879">
        <w:rPr>
          <w:rFonts w:ascii="Arial" w:hAnsi="Arial" w:cs="Arial"/>
          <w:sz w:val="24"/>
          <w:szCs w:val="24"/>
        </w:rPr>
        <w:t>;</w:t>
      </w:r>
    </w:p>
    <w:p w14:paraId="4472898A" w14:textId="328354D7" w:rsidR="00104137" w:rsidRPr="002F6879" w:rsidRDefault="00104137" w:rsidP="00A25CDA">
      <w:pPr>
        <w:pStyle w:val="ListParagraph"/>
        <w:numPr>
          <w:ilvl w:val="0"/>
          <w:numId w:val="6"/>
        </w:numPr>
        <w:autoSpaceDE w:val="0"/>
        <w:autoSpaceDN w:val="0"/>
        <w:adjustRightInd w:val="0"/>
        <w:jc w:val="both"/>
        <w:rPr>
          <w:rFonts w:cs="Arial"/>
          <w:szCs w:val="24"/>
        </w:rPr>
      </w:pPr>
      <w:r w:rsidRPr="002F6879">
        <w:rPr>
          <w:rFonts w:ascii="Arial" w:hAnsi="Arial" w:cs="Arial"/>
          <w:sz w:val="24"/>
          <w:szCs w:val="24"/>
        </w:rPr>
        <w:t>integrated approach to outcomes including environmental</w:t>
      </w:r>
      <w:r w:rsidR="003F7C06" w:rsidRPr="002F6879">
        <w:rPr>
          <w:rFonts w:ascii="Arial" w:hAnsi="Arial" w:cs="Arial"/>
          <w:sz w:val="24"/>
          <w:szCs w:val="24"/>
        </w:rPr>
        <w:t>;</w:t>
      </w:r>
    </w:p>
    <w:p w14:paraId="79135D9A" w14:textId="735A93C5" w:rsidR="00104137" w:rsidRPr="002F6879" w:rsidRDefault="00104137" w:rsidP="00A25CDA">
      <w:pPr>
        <w:pStyle w:val="ListParagraph"/>
        <w:numPr>
          <w:ilvl w:val="0"/>
          <w:numId w:val="6"/>
        </w:numPr>
        <w:autoSpaceDE w:val="0"/>
        <w:autoSpaceDN w:val="0"/>
        <w:adjustRightInd w:val="0"/>
        <w:jc w:val="both"/>
        <w:rPr>
          <w:rFonts w:cs="Arial"/>
          <w:szCs w:val="24"/>
        </w:rPr>
      </w:pPr>
      <w:r w:rsidRPr="002F6879">
        <w:rPr>
          <w:rFonts w:ascii="Arial" w:hAnsi="Arial" w:cs="Arial"/>
          <w:sz w:val="24"/>
          <w:szCs w:val="24"/>
        </w:rPr>
        <w:t>good spread across RFCC area</w:t>
      </w:r>
      <w:r w:rsidR="003F7C06" w:rsidRPr="002F6879">
        <w:rPr>
          <w:rFonts w:ascii="Arial" w:hAnsi="Arial" w:cs="Arial"/>
          <w:sz w:val="24"/>
          <w:szCs w:val="24"/>
        </w:rPr>
        <w:t>;</w:t>
      </w:r>
    </w:p>
    <w:p w14:paraId="76FAE16A" w14:textId="46669371" w:rsidR="00104137" w:rsidRPr="002F6879" w:rsidRDefault="00104137" w:rsidP="00A25CDA">
      <w:pPr>
        <w:pStyle w:val="ListParagraph"/>
        <w:numPr>
          <w:ilvl w:val="0"/>
          <w:numId w:val="6"/>
        </w:numPr>
        <w:autoSpaceDE w:val="0"/>
        <w:autoSpaceDN w:val="0"/>
        <w:adjustRightInd w:val="0"/>
        <w:jc w:val="both"/>
        <w:rPr>
          <w:rFonts w:cs="Arial"/>
          <w:szCs w:val="24"/>
        </w:rPr>
      </w:pPr>
      <w:r w:rsidRPr="002F6879">
        <w:rPr>
          <w:rFonts w:ascii="Arial" w:hAnsi="Arial" w:cs="Arial"/>
          <w:sz w:val="24"/>
          <w:szCs w:val="24"/>
        </w:rPr>
        <w:t>a surface water scheme in each L</w:t>
      </w:r>
      <w:r w:rsidR="008267CF" w:rsidRPr="002F6879">
        <w:rPr>
          <w:rFonts w:ascii="Arial" w:hAnsi="Arial" w:cs="Arial"/>
          <w:sz w:val="24"/>
          <w:szCs w:val="24"/>
        </w:rPr>
        <w:t>ead Local Flood Authority (L</w:t>
      </w:r>
      <w:r w:rsidRPr="002F6879">
        <w:rPr>
          <w:rFonts w:ascii="Arial" w:hAnsi="Arial" w:cs="Arial"/>
          <w:sz w:val="24"/>
          <w:szCs w:val="24"/>
        </w:rPr>
        <w:t>LFA</w:t>
      </w:r>
      <w:r w:rsidR="008267CF" w:rsidRPr="002F6879">
        <w:rPr>
          <w:rFonts w:ascii="Arial" w:hAnsi="Arial" w:cs="Arial"/>
          <w:sz w:val="24"/>
          <w:szCs w:val="24"/>
        </w:rPr>
        <w:t>)</w:t>
      </w:r>
      <w:r w:rsidR="003F7C06" w:rsidRPr="002F6879">
        <w:rPr>
          <w:rFonts w:ascii="Arial" w:hAnsi="Arial" w:cs="Arial"/>
          <w:sz w:val="24"/>
          <w:szCs w:val="24"/>
        </w:rPr>
        <w:t>;</w:t>
      </w:r>
    </w:p>
    <w:p w14:paraId="11A6A51C" w14:textId="643BF320" w:rsidR="00104137" w:rsidRPr="002F6879" w:rsidRDefault="00104137" w:rsidP="00A25CDA">
      <w:pPr>
        <w:pStyle w:val="ListParagraph"/>
        <w:numPr>
          <w:ilvl w:val="0"/>
          <w:numId w:val="6"/>
        </w:numPr>
        <w:jc w:val="both"/>
        <w:rPr>
          <w:rFonts w:cs="Arial"/>
          <w:szCs w:val="24"/>
        </w:rPr>
      </w:pPr>
      <w:proofErr w:type="gramStart"/>
      <w:r w:rsidRPr="002F6879">
        <w:rPr>
          <w:rFonts w:ascii="Arial" w:hAnsi="Arial" w:cs="Arial"/>
          <w:sz w:val="24"/>
          <w:szCs w:val="24"/>
        </w:rPr>
        <w:t>an</w:t>
      </w:r>
      <w:proofErr w:type="gramEnd"/>
      <w:r w:rsidRPr="002F6879">
        <w:rPr>
          <w:rFonts w:ascii="Arial" w:hAnsi="Arial" w:cs="Arial"/>
          <w:sz w:val="24"/>
          <w:szCs w:val="24"/>
        </w:rPr>
        <w:t xml:space="preserve"> integrated scheme in each LLFA partnership</w:t>
      </w:r>
      <w:r w:rsidR="003F7C06" w:rsidRPr="002F6879">
        <w:rPr>
          <w:rFonts w:ascii="Arial" w:hAnsi="Arial" w:cs="Arial"/>
          <w:sz w:val="24"/>
          <w:szCs w:val="24"/>
        </w:rPr>
        <w:t>.</w:t>
      </w:r>
    </w:p>
    <w:p w14:paraId="4118D18E" w14:textId="77777777" w:rsidR="00AD177F" w:rsidRPr="002F6879" w:rsidRDefault="00AD177F" w:rsidP="00A25CDA">
      <w:pPr>
        <w:autoSpaceDE w:val="0"/>
        <w:autoSpaceDN w:val="0"/>
        <w:adjustRightInd w:val="0"/>
        <w:spacing w:after="0" w:line="240" w:lineRule="auto"/>
        <w:jc w:val="both"/>
        <w:rPr>
          <w:rFonts w:cs="Arial"/>
        </w:rPr>
      </w:pPr>
    </w:p>
    <w:p w14:paraId="702BF8C5" w14:textId="371E038A" w:rsidR="00F5751E" w:rsidRPr="002F6879" w:rsidRDefault="008267CF" w:rsidP="00A25CDA">
      <w:pPr>
        <w:autoSpaceDE w:val="0"/>
        <w:autoSpaceDN w:val="0"/>
        <w:adjustRightInd w:val="0"/>
        <w:spacing w:after="0" w:line="240" w:lineRule="auto"/>
        <w:jc w:val="both"/>
        <w:rPr>
          <w:rFonts w:cs="Arial"/>
        </w:rPr>
      </w:pPr>
      <w:r w:rsidRPr="002F6879">
        <w:rPr>
          <w:rFonts w:cs="Arial"/>
        </w:rPr>
        <w:t xml:space="preserve">Surface water flood risk is a significant risk in the Thames RFCC area. To achieve a surface water scheme in each local authority, the </w:t>
      </w:r>
      <w:r w:rsidR="006426C5" w:rsidRPr="002F6879">
        <w:rPr>
          <w:rFonts w:cs="Arial"/>
        </w:rPr>
        <w:t xml:space="preserve">Thames </w:t>
      </w:r>
      <w:r w:rsidR="00F5751E" w:rsidRPr="002F6879">
        <w:rPr>
          <w:rFonts w:cs="Arial"/>
        </w:rPr>
        <w:t xml:space="preserve">RFCC </w:t>
      </w:r>
      <w:r w:rsidRPr="002F6879">
        <w:rPr>
          <w:rFonts w:cs="Arial"/>
        </w:rPr>
        <w:t xml:space="preserve">uses levy to </w:t>
      </w:r>
      <w:r w:rsidR="00F5751E" w:rsidRPr="002F6879">
        <w:rPr>
          <w:rFonts w:cs="Arial"/>
        </w:rPr>
        <w:t xml:space="preserve">achieve a 100% partnership funding score </w:t>
      </w:r>
      <w:r w:rsidRPr="002F6879">
        <w:rPr>
          <w:rFonts w:cs="Arial"/>
        </w:rPr>
        <w:t xml:space="preserve">in order to carry out </w:t>
      </w:r>
      <w:r w:rsidR="00F5751E" w:rsidRPr="002F6879">
        <w:rPr>
          <w:rFonts w:cs="Arial"/>
        </w:rPr>
        <w:t>investigat</w:t>
      </w:r>
      <w:r w:rsidRPr="002F6879">
        <w:rPr>
          <w:rFonts w:cs="Arial"/>
        </w:rPr>
        <w:t>ive work.</w:t>
      </w:r>
      <w:r w:rsidR="00F5751E" w:rsidRPr="002F6879">
        <w:rPr>
          <w:rFonts w:cs="Arial"/>
        </w:rPr>
        <w:t xml:space="preserve"> </w:t>
      </w:r>
      <w:r w:rsidR="00AF0D5E" w:rsidRPr="002F6879">
        <w:rPr>
          <w:rFonts w:cs="Arial"/>
        </w:rPr>
        <w:t xml:space="preserve">This approach has </w:t>
      </w:r>
      <w:r w:rsidRPr="002F6879">
        <w:rPr>
          <w:rFonts w:cs="Arial"/>
        </w:rPr>
        <w:t xml:space="preserve">enabled </w:t>
      </w:r>
      <w:r w:rsidR="00AF0D5E" w:rsidRPr="002F6879">
        <w:rPr>
          <w:rFonts w:cs="Arial"/>
        </w:rPr>
        <w:t xml:space="preserve">new surface water schemes </w:t>
      </w:r>
      <w:r w:rsidRPr="002F6879">
        <w:rPr>
          <w:rFonts w:cs="Arial"/>
        </w:rPr>
        <w:t xml:space="preserve">to be added </w:t>
      </w:r>
      <w:r w:rsidR="00AF0D5E" w:rsidRPr="002F6879">
        <w:rPr>
          <w:rFonts w:cs="Arial"/>
        </w:rPr>
        <w:t xml:space="preserve">to the </w:t>
      </w:r>
      <w:r w:rsidRPr="002F6879">
        <w:rPr>
          <w:rFonts w:cs="Arial"/>
        </w:rPr>
        <w:t xml:space="preserve">six year </w:t>
      </w:r>
      <w:r w:rsidR="00AF0D5E" w:rsidRPr="002F6879">
        <w:rPr>
          <w:rFonts w:cs="Arial"/>
        </w:rPr>
        <w:t>programme</w:t>
      </w:r>
      <w:r w:rsidRPr="002F6879">
        <w:rPr>
          <w:rFonts w:cs="Arial"/>
        </w:rPr>
        <w:t xml:space="preserve"> for funding</w:t>
      </w:r>
      <w:r w:rsidR="00DC0408" w:rsidRPr="002F6879">
        <w:rPr>
          <w:rFonts w:cs="Arial"/>
        </w:rPr>
        <w:t>.</w:t>
      </w:r>
    </w:p>
    <w:p w14:paraId="4B0FE22C" w14:textId="77777777" w:rsidR="006426C5" w:rsidRPr="002F6879" w:rsidRDefault="006426C5" w:rsidP="00A25CDA">
      <w:pPr>
        <w:autoSpaceDE w:val="0"/>
        <w:autoSpaceDN w:val="0"/>
        <w:adjustRightInd w:val="0"/>
        <w:spacing w:after="0" w:line="240" w:lineRule="auto"/>
        <w:jc w:val="both"/>
        <w:rPr>
          <w:rFonts w:cs="Arial"/>
        </w:rPr>
      </w:pPr>
    </w:p>
    <w:p w14:paraId="61F382A5" w14:textId="0D8741BF" w:rsidR="00F756D3" w:rsidRPr="002F6879" w:rsidRDefault="00160D06" w:rsidP="00A25CDA">
      <w:pPr>
        <w:autoSpaceDE w:val="0"/>
        <w:autoSpaceDN w:val="0"/>
        <w:adjustRightInd w:val="0"/>
        <w:spacing w:after="0" w:line="240" w:lineRule="auto"/>
        <w:jc w:val="both"/>
        <w:rPr>
          <w:rFonts w:cs="Arial"/>
        </w:rPr>
      </w:pPr>
      <w:r w:rsidRPr="002F6879">
        <w:rPr>
          <w:rFonts w:cs="Arial"/>
        </w:rPr>
        <w:t>The</w:t>
      </w:r>
      <w:r w:rsidR="000517D2" w:rsidRPr="002F6879">
        <w:rPr>
          <w:rFonts w:cs="Arial"/>
        </w:rPr>
        <w:t xml:space="preserve"> principle of a 1.99% increase in levy each year has been agreed by the Thames RFCC, with a vote on the levy amount for the next financial year taking place each November. </w:t>
      </w:r>
      <w:r w:rsidRPr="002F6879">
        <w:rPr>
          <w:rFonts w:cs="Arial"/>
        </w:rPr>
        <w:t xml:space="preserve">The levy increase, </w:t>
      </w:r>
      <w:r w:rsidR="006D4850" w:rsidRPr="002F6879">
        <w:rPr>
          <w:rFonts w:cs="Arial"/>
        </w:rPr>
        <w:t xml:space="preserve">which ensures a healthy </w:t>
      </w:r>
      <w:r w:rsidR="000517D2" w:rsidRPr="002F6879">
        <w:rPr>
          <w:rFonts w:cs="Arial"/>
        </w:rPr>
        <w:t>Major Projects Fund, allow</w:t>
      </w:r>
      <w:r w:rsidRPr="002F6879">
        <w:rPr>
          <w:rFonts w:cs="Arial"/>
        </w:rPr>
        <w:t>s the</w:t>
      </w:r>
      <w:r w:rsidR="000517D2" w:rsidRPr="002F6879">
        <w:rPr>
          <w:rFonts w:cs="Arial"/>
        </w:rPr>
        <w:t xml:space="preserve"> Thames RFCC to maintain a stable but flexible </w:t>
      </w:r>
      <w:r w:rsidRPr="002F6879">
        <w:rPr>
          <w:rFonts w:cs="Arial"/>
        </w:rPr>
        <w:t xml:space="preserve">six </w:t>
      </w:r>
      <w:r w:rsidR="000517D2" w:rsidRPr="002F6879">
        <w:rPr>
          <w:rFonts w:cs="Arial"/>
        </w:rPr>
        <w:t>year programme, and support the development of pipeline schemes.</w:t>
      </w:r>
      <w:r w:rsidR="002E20A3" w:rsidRPr="002F6879">
        <w:rPr>
          <w:rFonts w:cs="Arial"/>
        </w:rPr>
        <w:t xml:space="preserve"> The Major Projects Fund allows the </w:t>
      </w:r>
      <w:r w:rsidRPr="002F6879">
        <w:rPr>
          <w:rFonts w:cs="Arial"/>
        </w:rPr>
        <w:t xml:space="preserve">Thames </w:t>
      </w:r>
      <w:r w:rsidR="002E20A3" w:rsidRPr="002F6879">
        <w:rPr>
          <w:rFonts w:cs="Arial"/>
        </w:rPr>
        <w:t xml:space="preserve">RFCC to commit to large scale and long term </w:t>
      </w:r>
      <w:r w:rsidRPr="002F6879">
        <w:rPr>
          <w:rFonts w:cs="Arial"/>
        </w:rPr>
        <w:t xml:space="preserve">river flooding </w:t>
      </w:r>
      <w:r w:rsidR="002E20A3" w:rsidRPr="002F6879">
        <w:rPr>
          <w:rFonts w:cs="Arial"/>
        </w:rPr>
        <w:t>projects</w:t>
      </w:r>
      <w:r w:rsidRPr="002F6879">
        <w:rPr>
          <w:rFonts w:cs="Arial"/>
        </w:rPr>
        <w:t>;</w:t>
      </w:r>
      <w:r w:rsidR="00300472" w:rsidRPr="002F6879">
        <w:rPr>
          <w:rFonts w:cs="Arial"/>
        </w:rPr>
        <w:t xml:space="preserve"> deliver critical projects tackling residual tidal risks to deliver benefits to people and the economy</w:t>
      </w:r>
      <w:r w:rsidRPr="002F6879">
        <w:rPr>
          <w:rFonts w:cs="Arial"/>
        </w:rPr>
        <w:t>;</w:t>
      </w:r>
      <w:r w:rsidR="00300472" w:rsidRPr="002F6879">
        <w:rPr>
          <w:rFonts w:cs="Arial"/>
        </w:rPr>
        <w:t xml:space="preserve"> and construct a strong pipeline of projects, </w:t>
      </w:r>
      <w:r w:rsidR="005C2A55" w:rsidRPr="002F6879">
        <w:rPr>
          <w:rFonts w:cs="Arial"/>
        </w:rPr>
        <w:t>including investing</w:t>
      </w:r>
      <w:r w:rsidRPr="002F6879">
        <w:rPr>
          <w:rFonts w:cs="Arial"/>
        </w:rPr>
        <w:t xml:space="preserve"> </w:t>
      </w:r>
      <w:r w:rsidR="00300472" w:rsidRPr="002F6879">
        <w:rPr>
          <w:rFonts w:cs="Arial"/>
        </w:rPr>
        <w:t xml:space="preserve">in </w:t>
      </w:r>
      <w:r w:rsidRPr="002F6879">
        <w:rPr>
          <w:rFonts w:cs="Arial"/>
        </w:rPr>
        <w:t xml:space="preserve">the </w:t>
      </w:r>
      <w:r w:rsidR="00300472" w:rsidRPr="002F6879">
        <w:rPr>
          <w:rFonts w:cs="Arial"/>
        </w:rPr>
        <w:t xml:space="preserve">development of surface water schemes. </w:t>
      </w:r>
    </w:p>
    <w:p w14:paraId="55E7CF21" w14:textId="77777777" w:rsidR="00AF0D5E" w:rsidRPr="002F6879" w:rsidRDefault="00AF0D5E" w:rsidP="00A25CDA">
      <w:pPr>
        <w:autoSpaceDE w:val="0"/>
        <w:autoSpaceDN w:val="0"/>
        <w:adjustRightInd w:val="0"/>
        <w:spacing w:after="0" w:line="240" w:lineRule="auto"/>
        <w:jc w:val="both"/>
        <w:rPr>
          <w:rFonts w:cs="Arial"/>
        </w:rPr>
      </w:pPr>
    </w:p>
    <w:p w14:paraId="5D350B7A" w14:textId="225CB956" w:rsidR="00A05F77" w:rsidRPr="002F6879" w:rsidRDefault="00A05F77" w:rsidP="004252E5">
      <w:pPr>
        <w:autoSpaceDE w:val="0"/>
        <w:autoSpaceDN w:val="0"/>
        <w:adjustRightInd w:val="0"/>
        <w:spacing w:after="0" w:line="240" w:lineRule="auto"/>
        <w:rPr>
          <w:rFonts w:cs="Arial"/>
          <w:szCs w:val="24"/>
        </w:rPr>
      </w:pPr>
      <w:r w:rsidRPr="002F6879">
        <w:rPr>
          <w:rFonts w:cs="Arial"/>
          <w:szCs w:val="24"/>
        </w:rPr>
        <w:t xml:space="preserve">Efficiencies made throughout the </w:t>
      </w:r>
      <w:r w:rsidR="00160D06" w:rsidRPr="002F6879">
        <w:rPr>
          <w:rFonts w:cs="Arial"/>
          <w:szCs w:val="24"/>
        </w:rPr>
        <w:t xml:space="preserve">six </w:t>
      </w:r>
      <w:r w:rsidRPr="002F6879">
        <w:rPr>
          <w:rFonts w:cs="Arial"/>
          <w:szCs w:val="24"/>
        </w:rPr>
        <w:t xml:space="preserve">year programme also allow </w:t>
      </w:r>
      <w:r w:rsidR="00160D06" w:rsidRPr="002F6879">
        <w:rPr>
          <w:rFonts w:cs="Arial"/>
          <w:szCs w:val="24"/>
        </w:rPr>
        <w:t xml:space="preserve">Grant in Aid </w:t>
      </w:r>
      <w:r w:rsidRPr="002F6879">
        <w:rPr>
          <w:rFonts w:cs="Arial"/>
          <w:szCs w:val="24"/>
        </w:rPr>
        <w:t xml:space="preserve">to be reinvested across further projects. </w:t>
      </w:r>
      <w:r w:rsidR="004252E5" w:rsidRPr="002F6879">
        <w:rPr>
          <w:rFonts w:cs="Arial"/>
          <w:szCs w:val="24"/>
        </w:rPr>
        <w:t xml:space="preserve">In 2015/16, £5.2 million of efficiencies were </w:t>
      </w:r>
      <w:r w:rsidR="00160D06" w:rsidRPr="002F6879">
        <w:rPr>
          <w:rFonts w:cs="Arial"/>
          <w:szCs w:val="24"/>
        </w:rPr>
        <w:t>achieved</w:t>
      </w:r>
      <w:r w:rsidR="004252E5" w:rsidRPr="002F6879">
        <w:rPr>
          <w:rFonts w:cs="Arial"/>
          <w:szCs w:val="24"/>
        </w:rPr>
        <w:t xml:space="preserve">. </w:t>
      </w:r>
    </w:p>
    <w:p w14:paraId="5706238E" w14:textId="77777777" w:rsidR="00712BB6" w:rsidRPr="002F6879" w:rsidRDefault="00712BB6" w:rsidP="00A25CDA">
      <w:pPr>
        <w:spacing w:after="120"/>
        <w:jc w:val="both"/>
        <w:rPr>
          <w:i/>
          <w:sz w:val="20"/>
        </w:rPr>
      </w:pPr>
    </w:p>
    <w:p w14:paraId="218EEF6E" w14:textId="2AD0492D" w:rsidR="006237F8" w:rsidRPr="002F6879" w:rsidRDefault="0075348C" w:rsidP="00467D5D">
      <w:pPr>
        <w:pStyle w:val="Heading2"/>
        <w:spacing w:after="240"/>
        <w:jc w:val="both"/>
      </w:pPr>
      <w:r w:rsidRPr="002F6879">
        <w:t xml:space="preserve">The </w:t>
      </w:r>
      <w:r w:rsidR="004E0C1C" w:rsidRPr="002F6879">
        <w:t xml:space="preserve">Case for </w:t>
      </w:r>
      <w:r w:rsidRPr="002F6879">
        <w:t xml:space="preserve">a </w:t>
      </w:r>
      <w:r w:rsidR="00AD177F" w:rsidRPr="002F6879">
        <w:t xml:space="preserve">Levy </w:t>
      </w:r>
      <w:r w:rsidR="00467D5D" w:rsidRPr="002F6879">
        <w:t>I</w:t>
      </w:r>
      <w:r w:rsidR="004E0C1C" w:rsidRPr="002F6879">
        <w:t>ncrease</w:t>
      </w:r>
      <w:r w:rsidR="00FF4536" w:rsidRPr="002F6879">
        <w:t xml:space="preserve"> </w:t>
      </w:r>
      <w:r w:rsidR="00467D5D" w:rsidRPr="002F6879">
        <w:t xml:space="preserve">totalling </w:t>
      </w:r>
      <w:r w:rsidR="00430509" w:rsidRPr="002F6879">
        <w:t>£217,157</w:t>
      </w:r>
      <w:r w:rsidR="00D24556" w:rsidRPr="002F6879">
        <w:t xml:space="preserve"> </w:t>
      </w:r>
      <w:r w:rsidR="00FF4536" w:rsidRPr="002F6879">
        <w:t>in 201</w:t>
      </w:r>
      <w:r w:rsidR="00430509" w:rsidRPr="002F6879">
        <w:t>7/18</w:t>
      </w:r>
    </w:p>
    <w:p w14:paraId="1CADFD45" w14:textId="2A021A18" w:rsidR="00467D5D" w:rsidRPr="002F6879" w:rsidRDefault="008E16E7" w:rsidP="00467D5D">
      <w:pPr>
        <w:jc w:val="both"/>
      </w:pPr>
      <w:r w:rsidRPr="002F6879">
        <w:t>As described above, t</w:t>
      </w:r>
      <w:r w:rsidR="00467D5D" w:rsidRPr="002F6879">
        <w:t xml:space="preserve">he Thames RFCC uses some levy to develop and maintain a Major Projects Fund. </w:t>
      </w:r>
    </w:p>
    <w:p w14:paraId="050AA365" w14:textId="391300A3" w:rsidR="00467D5D" w:rsidRPr="002F6879" w:rsidRDefault="00467D5D" w:rsidP="00467D5D">
      <w:pPr>
        <w:jc w:val="both"/>
      </w:pPr>
      <w:r w:rsidRPr="002F6879">
        <w:t xml:space="preserve">Table 3 below shows the balance of the Major Project Fund in the far right column and </w:t>
      </w:r>
      <w:r w:rsidR="00393ADE" w:rsidRPr="002F6879">
        <w:t>its relationship to the annual levy increase</w:t>
      </w:r>
      <w:r w:rsidR="008E16E7" w:rsidRPr="002F6879">
        <w:t xml:space="preserve"> in the middle column</w:t>
      </w:r>
      <w:r w:rsidR="00393ADE" w:rsidRPr="002F6879">
        <w:t>.</w:t>
      </w:r>
      <w:r w:rsidR="008E16E7" w:rsidRPr="002F6879">
        <w:t xml:space="preserve"> </w:t>
      </w:r>
      <w:r w:rsidR="00393ADE" w:rsidRPr="002F6879">
        <w:t>Table 3 shows that</w:t>
      </w:r>
      <w:r w:rsidRPr="002F6879">
        <w:t xml:space="preserve"> even with </w:t>
      </w:r>
      <w:r w:rsidR="00393ADE" w:rsidRPr="002F6879">
        <w:t>the</w:t>
      </w:r>
      <w:r w:rsidRPr="002F6879">
        <w:t xml:space="preserve"> 1.99% annual increase the Major Project Fund, and the Thames RFCC</w:t>
      </w:r>
      <w:r w:rsidR="008E16E7" w:rsidRPr="002F6879">
        <w:t>’</w:t>
      </w:r>
      <w:r w:rsidRPr="002F6879">
        <w:t>s capacity to initiate future major schemes</w:t>
      </w:r>
      <w:r w:rsidR="00393ADE" w:rsidRPr="002F6879">
        <w:t>,</w:t>
      </w:r>
      <w:r w:rsidRPr="002F6879">
        <w:t xml:space="preserve"> will </w:t>
      </w:r>
      <w:r w:rsidR="008E16E7" w:rsidRPr="002F6879">
        <w:t xml:space="preserve">reduce </w:t>
      </w:r>
      <w:r w:rsidRPr="002F6879">
        <w:t>over the period to April 2021.</w:t>
      </w:r>
    </w:p>
    <w:p w14:paraId="56984FC9" w14:textId="77777777" w:rsidR="00467D5D" w:rsidRPr="002F6879" w:rsidRDefault="00467D5D" w:rsidP="00467D5D">
      <w:pPr>
        <w:pStyle w:val="Caption"/>
        <w:keepNext/>
        <w:jc w:val="both"/>
      </w:pPr>
      <w:r w:rsidRPr="002F6879">
        <w:t xml:space="preserve">Table 3: Impact on levy </w:t>
      </w:r>
    </w:p>
    <w:tbl>
      <w:tblPr>
        <w:tblStyle w:val="TableGrid"/>
        <w:tblW w:w="0" w:type="auto"/>
        <w:tblInd w:w="570" w:type="dxa"/>
        <w:tblLook w:val="04A0" w:firstRow="1" w:lastRow="0" w:firstColumn="1" w:lastColumn="0" w:noHBand="0" w:noVBand="1"/>
      </w:tblPr>
      <w:tblGrid>
        <w:gridCol w:w="1502"/>
        <w:gridCol w:w="1725"/>
        <w:gridCol w:w="1701"/>
      </w:tblGrid>
      <w:tr w:rsidR="00467D5D" w:rsidRPr="002F6879" w14:paraId="2E9BA142" w14:textId="77777777" w:rsidTr="00321B86">
        <w:tc>
          <w:tcPr>
            <w:tcW w:w="1502" w:type="dxa"/>
          </w:tcPr>
          <w:p w14:paraId="6B7BE009" w14:textId="77777777" w:rsidR="00467D5D" w:rsidRPr="002F6879" w:rsidRDefault="00467D5D" w:rsidP="00467D5D">
            <w:pPr>
              <w:rPr>
                <w:rFonts w:asciiTheme="minorHAnsi" w:hAnsiTheme="minorHAnsi" w:cstheme="minorHAnsi"/>
                <w:b/>
                <w:sz w:val="22"/>
              </w:rPr>
            </w:pPr>
            <w:r w:rsidRPr="002F6879">
              <w:rPr>
                <w:rFonts w:asciiTheme="minorHAnsi" w:hAnsiTheme="minorHAnsi" w:cstheme="minorHAnsi"/>
                <w:b/>
                <w:sz w:val="22"/>
              </w:rPr>
              <w:t>Year</w:t>
            </w:r>
          </w:p>
        </w:tc>
        <w:tc>
          <w:tcPr>
            <w:tcW w:w="1725" w:type="dxa"/>
          </w:tcPr>
          <w:p w14:paraId="0A4EB894" w14:textId="77777777" w:rsidR="00467D5D" w:rsidRPr="002F6879" w:rsidRDefault="00467D5D" w:rsidP="008E16E7">
            <w:pPr>
              <w:jc w:val="center"/>
              <w:rPr>
                <w:rFonts w:asciiTheme="minorHAnsi" w:hAnsiTheme="minorHAnsi" w:cstheme="minorHAnsi"/>
                <w:b/>
                <w:sz w:val="22"/>
              </w:rPr>
            </w:pPr>
            <w:r w:rsidRPr="002F6879">
              <w:rPr>
                <w:rFonts w:asciiTheme="minorHAnsi" w:hAnsiTheme="minorHAnsi" w:cstheme="minorHAnsi"/>
                <w:b/>
                <w:sz w:val="22"/>
              </w:rPr>
              <w:t>Annual levy income (with 1.99% increase)</w:t>
            </w:r>
          </w:p>
          <w:p w14:paraId="090BAA42" w14:textId="77777777" w:rsidR="00467D5D" w:rsidRPr="002F6879" w:rsidRDefault="00467D5D" w:rsidP="008E16E7">
            <w:pPr>
              <w:jc w:val="center"/>
              <w:rPr>
                <w:rFonts w:asciiTheme="minorHAnsi" w:hAnsiTheme="minorHAnsi" w:cstheme="minorHAnsi"/>
                <w:sz w:val="22"/>
              </w:rPr>
            </w:pPr>
            <w:r w:rsidRPr="002F6879">
              <w:rPr>
                <w:rFonts w:asciiTheme="minorHAnsi" w:hAnsiTheme="minorHAnsi" w:cstheme="minorHAnsi"/>
                <w:sz w:val="22"/>
              </w:rPr>
              <w:t>thousands</w:t>
            </w:r>
          </w:p>
        </w:tc>
        <w:tc>
          <w:tcPr>
            <w:tcW w:w="1701" w:type="dxa"/>
            <w:vAlign w:val="bottom"/>
          </w:tcPr>
          <w:p w14:paraId="1F8F6B10" w14:textId="1B552D5E" w:rsidR="00467D5D" w:rsidRPr="002F6879" w:rsidRDefault="008E16E7" w:rsidP="008E16E7">
            <w:pPr>
              <w:jc w:val="center"/>
              <w:rPr>
                <w:rFonts w:asciiTheme="minorHAnsi" w:hAnsiTheme="minorHAnsi" w:cstheme="minorHAnsi"/>
                <w:b/>
                <w:sz w:val="22"/>
              </w:rPr>
            </w:pPr>
            <w:r w:rsidRPr="002F6879">
              <w:rPr>
                <w:rFonts w:asciiTheme="minorHAnsi" w:hAnsiTheme="minorHAnsi" w:cstheme="minorHAnsi"/>
                <w:b/>
                <w:sz w:val="22"/>
              </w:rPr>
              <w:t>Major Project Fund balance</w:t>
            </w:r>
          </w:p>
          <w:p w14:paraId="5C0B0A6B" w14:textId="77777777" w:rsidR="00467D5D" w:rsidRPr="002F6879" w:rsidRDefault="00467D5D" w:rsidP="008E16E7">
            <w:pPr>
              <w:jc w:val="center"/>
              <w:rPr>
                <w:rFonts w:asciiTheme="minorHAnsi" w:hAnsiTheme="minorHAnsi" w:cstheme="minorHAnsi"/>
                <w:sz w:val="22"/>
              </w:rPr>
            </w:pPr>
            <w:r w:rsidRPr="002F6879">
              <w:rPr>
                <w:rFonts w:asciiTheme="minorHAnsi" w:hAnsiTheme="minorHAnsi" w:cstheme="minorHAnsi"/>
                <w:sz w:val="22"/>
              </w:rPr>
              <w:t>thousands</w:t>
            </w:r>
          </w:p>
        </w:tc>
      </w:tr>
      <w:tr w:rsidR="00467D5D" w:rsidRPr="002F6879" w14:paraId="1ED168F3" w14:textId="77777777" w:rsidTr="00321B86">
        <w:tc>
          <w:tcPr>
            <w:tcW w:w="1502" w:type="dxa"/>
            <w:shd w:val="clear" w:color="auto" w:fill="FFFF00"/>
          </w:tcPr>
          <w:p w14:paraId="23863A85" w14:textId="77777777" w:rsidR="00467D5D" w:rsidRPr="002F6879" w:rsidRDefault="00467D5D" w:rsidP="00467D5D">
            <w:pPr>
              <w:rPr>
                <w:rFonts w:asciiTheme="minorHAnsi" w:hAnsiTheme="minorHAnsi" w:cstheme="minorHAnsi"/>
                <w:sz w:val="22"/>
              </w:rPr>
            </w:pPr>
            <w:r w:rsidRPr="002F6879">
              <w:rPr>
                <w:rFonts w:asciiTheme="minorHAnsi" w:hAnsiTheme="minorHAnsi" w:cstheme="minorHAnsi"/>
                <w:sz w:val="22"/>
              </w:rPr>
              <w:t>2015/16</w:t>
            </w:r>
          </w:p>
        </w:tc>
        <w:tc>
          <w:tcPr>
            <w:tcW w:w="1725" w:type="dxa"/>
            <w:shd w:val="clear" w:color="auto" w:fill="FFFF00"/>
          </w:tcPr>
          <w:p w14:paraId="6F7FB61D" w14:textId="77777777" w:rsidR="00467D5D" w:rsidRPr="002F6879" w:rsidRDefault="00467D5D" w:rsidP="00467D5D">
            <w:pPr>
              <w:jc w:val="center"/>
              <w:rPr>
                <w:rFonts w:asciiTheme="minorHAnsi" w:hAnsiTheme="minorHAnsi" w:cstheme="minorHAnsi"/>
                <w:sz w:val="22"/>
              </w:rPr>
            </w:pPr>
            <w:r w:rsidRPr="002F6879">
              <w:rPr>
                <w:rFonts w:asciiTheme="minorHAnsi" w:hAnsiTheme="minorHAnsi" w:cstheme="minorHAnsi"/>
                <w:sz w:val="22"/>
              </w:rPr>
              <w:t>£10,708</w:t>
            </w:r>
          </w:p>
        </w:tc>
        <w:tc>
          <w:tcPr>
            <w:tcW w:w="1701" w:type="dxa"/>
            <w:shd w:val="clear" w:color="auto" w:fill="FFFF00"/>
          </w:tcPr>
          <w:p w14:paraId="117A6069" w14:textId="77777777" w:rsidR="00467D5D" w:rsidRPr="002F6879" w:rsidRDefault="00467D5D" w:rsidP="00467D5D">
            <w:pPr>
              <w:jc w:val="center"/>
              <w:rPr>
                <w:rFonts w:asciiTheme="minorHAnsi" w:hAnsiTheme="minorHAnsi" w:cstheme="minorHAnsi"/>
                <w:sz w:val="22"/>
              </w:rPr>
            </w:pPr>
          </w:p>
        </w:tc>
      </w:tr>
      <w:tr w:rsidR="00467D5D" w:rsidRPr="002F6879" w14:paraId="6BFBA339" w14:textId="77777777" w:rsidTr="00321B86">
        <w:tc>
          <w:tcPr>
            <w:tcW w:w="1502" w:type="dxa"/>
          </w:tcPr>
          <w:p w14:paraId="62B3ECB8" w14:textId="77777777" w:rsidR="00467D5D" w:rsidRPr="002F6879" w:rsidRDefault="00467D5D" w:rsidP="00467D5D">
            <w:pPr>
              <w:rPr>
                <w:rFonts w:asciiTheme="minorHAnsi" w:hAnsiTheme="minorHAnsi" w:cstheme="minorHAnsi"/>
                <w:sz w:val="22"/>
              </w:rPr>
            </w:pPr>
            <w:r w:rsidRPr="002F6879">
              <w:rPr>
                <w:rFonts w:asciiTheme="minorHAnsi" w:hAnsiTheme="minorHAnsi" w:cstheme="minorHAnsi"/>
                <w:sz w:val="22"/>
              </w:rPr>
              <w:t>2016/17</w:t>
            </w:r>
          </w:p>
        </w:tc>
        <w:tc>
          <w:tcPr>
            <w:tcW w:w="1725" w:type="dxa"/>
          </w:tcPr>
          <w:p w14:paraId="2B8D42C2" w14:textId="77777777" w:rsidR="00467D5D" w:rsidRPr="002F6879" w:rsidRDefault="00467D5D" w:rsidP="00467D5D">
            <w:pPr>
              <w:jc w:val="center"/>
              <w:rPr>
                <w:rFonts w:asciiTheme="minorHAnsi" w:hAnsiTheme="minorHAnsi" w:cstheme="minorHAnsi"/>
                <w:sz w:val="22"/>
              </w:rPr>
            </w:pPr>
            <w:r w:rsidRPr="002F6879">
              <w:rPr>
                <w:rFonts w:asciiTheme="minorHAnsi" w:hAnsiTheme="minorHAnsi" w:cstheme="minorHAnsi"/>
                <w:sz w:val="22"/>
              </w:rPr>
              <w:t>£10,910</w:t>
            </w:r>
          </w:p>
        </w:tc>
        <w:tc>
          <w:tcPr>
            <w:tcW w:w="1701" w:type="dxa"/>
          </w:tcPr>
          <w:p w14:paraId="6546E63D" w14:textId="77777777" w:rsidR="00467D5D" w:rsidRPr="002F6879" w:rsidRDefault="00467D5D" w:rsidP="00467D5D">
            <w:pPr>
              <w:jc w:val="center"/>
              <w:rPr>
                <w:rFonts w:asciiTheme="minorHAnsi" w:hAnsiTheme="minorHAnsi" w:cstheme="minorHAnsi"/>
                <w:sz w:val="22"/>
              </w:rPr>
            </w:pPr>
            <w:r w:rsidRPr="002F6879">
              <w:rPr>
                <w:rFonts w:asciiTheme="minorHAnsi" w:hAnsiTheme="minorHAnsi" w:cstheme="minorHAnsi"/>
                <w:sz w:val="22"/>
              </w:rPr>
              <w:t>£21,072</w:t>
            </w:r>
          </w:p>
        </w:tc>
      </w:tr>
      <w:tr w:rsidR="00467D5D" w:rsidRPr="002F6879" w14:paraId="04CA6717" w14:textId="77777777" w:rsidTr="00321B86">
        <w:tc>
          <w:tcPr>
            <w:tcW w:w="1502" w:type="dxa"/>
          </w:tcPr>
          <w:p w14:paraId="2FB1C595" w14:textId="77777777" w:rsidR="00467D5D" w:rsidRPr="002F6879" w:rsidRDefault="00467D5D" w:rsidP="00467D5D">
            <w:pPr>
              <w:rPr>
                <w:rFonts w:asciiTheme="minorHAnsi" w:hAnsiTheme="minorHAnsi" w:cstheme="minorHAnsi"/>
                <w:sz w:val="22"/>
              </w:rPr>
            </w:pPr>
            <w:r w:rsidRPr="002F6879">
              <w:rPr>
                <w:rFonts w:asciiTheme="minorHAnsi" w:hAnsiTheme="minorHAnsi" w:cstheme="minorHAnsi"/>
                <w:sz w:val="22"/>
              </w:rPr>
              <w:t>2017/18</w:t>
            </w:r>
          </w:p>
        </w:tc>
        <w:tc>
          <w:tcPr>
            <w:tcW w:w="1725" w:type="dxa"/>
          </w:tcPr>
          <w:p w14:paraId="51F5B2FB" w14:textId="77777777" w:rsidR="00467D5D" w:rsidRPr="002F6879" w:rsidRDefault="00467D5D" w:rsidP="00467D5D">
            <w:pPr>
              <w:jc w:val="center"/>
              <w:rPr>
                <w:rFonts w:asciiTheme="minorHAnsi" w:hAnsiTheme="minorHAnsi" w:cstheme="minorHAnsi"/>
                <w:sz w:val="22"/>
              </w:rPr>
            </w:pPr>
            <w:r w:rsidRPr="002F6879">
              <w:rPr>
                <w:rFonts w:asciiTheme="minorHAnsi" w:hAnsiTheme="minorHAnsi" w:cstheme="minorHAnsi"/>
                <w:sz w:val="22"/>
              </w:rPr>
              <w:t>£11,127</w:t>
            </w:r>
          </w:p>
        </w:tc>
        <w:tc>
          <w:tcPr>
            <w:tcW w:w="1701" w:type="dxa"/>
          </w:tcPr>
          <w:p w14:paraId="59E01675" w14:textId="77777777" w:rsidR="00467D5D" w:rsidRPr="002F6879" w:rsidRDefault="00467D5D" w:rsidP="00467D5D">
            <w:pPr>
              <w:jc w:val="center"/>
              <w:rPr>
                <w:rFonts w:asciiTheme="minorHAnsi" w:hAnsiTheme="minorHAnsi" w:cstheme="minorHAnsi"/>
                <w:sz w:val="22"/>
              </w:rPr>
            </w:pPr>
            <w:r w:rsidRPr="002F6879">
              <w:rPr>
                <w:rFonts w:asciiTheme="minorHAnsi" w:hAnsiTheme="minorHAnsi" w:cstheme="minorHAnsi"/>
                <w:sz w:val="22"/>
              </w:rPr>
              <w:t>£22,088</w:t>
            </w:r>
          </w:p>
        </w:tc>
      </w:tr>
      <w:tr w:rsidR="00467D5D" w:rsidRPr="002F6879" w14:paraId="41DC15C0" w14:textId="77777777" w:rsidTr="00321B86">
        <w:tc>
          <w:tcPr>
            <w:tcW w:w="1502" w:type="dxa"/>
          </w:tcPr>
          <w:p w14:paraId="63E19600" w14:textId="77777777" w:rsidR="00467D5D" w:rsidRPr="002F6879" w:rsidRDefault="00467D5D" w:rsidP="00467D5D">
            <w:pPr>
              <w:rPr>
                <w:rFonts w:asciiTheme="minorHAnsi" w:hAnsiTheme="minorHAnsi" w:cstheme="minorHAnsi"/>
                <w:sz w:val="22"/>
              </w:rPr>
            </w:pPr>
            <w:r w:rsidRPr="002F6879">
              <w:rPr>
                <w:rFonts w:asciiTheme="minorHAnsi" w:hAnsiTheme="minorHAnsi" w:cstheme="minorHAnsi"/>
                <w:sz w:val="22"/>
              </w:rPr>
              <w:t>2018/19</w:t>
            </w:r>
          </w:p>
        </w:tc>
        <w:tc>
          <w:tcPr>
            <w:tcW w:w="1725" w:type="dxa"/>
          </w:tcPr>
          <w:p w14:paraId="60446420" w14:textId="77777777" w:rsidR="00467D5D" w:rsidRPr="002F6879" w:rsidRDefault="00467D5D" w:rsidP="00467D5D">
            <w:pPr>
              <w:jc w:val="center"/>
              <w:rPr>
                <w:rFonts w:asciiTheme="minorHAnsi" w:hAnsiTheme="minorHAnsi" w:cstheme="minorHAnsi"/>
                <w:sz w:val="22"/>
              </w:rPr>
            </w:pPr>
            <w:r w:rsidRPr="002F6879">
              <w:rPr>
                <w:rFonts w:asciiTheme="minorHAnsi" w:hAnsiTheme="minorHAnsi" w:cstheme="minorHAnsi"/>
                <w:sz w:val="22"/>
              </w:rPr>
              <w:t>£11,349</w:t>
            </w:r>
          </w:p>
        </w:tc>
        <w:tc>
          <w:tcPr>
            <w:tcW w:w="1701" w:type="dxa"/>
          </w:tcPr>
          <w:p w14:paraId="3AC20F92" w14:textId="77777777" w:rsidR="00467D5D" w:rsidRPr="002F6879" w:rsidRDefault="00467D5D" w:rsidP="00467D5D">
            <w:pPr>
              <w:jc w:val="center"/>
              <w:rPr>
                <w:rFonts w:asciiTheme="minorHAnsi" w:hAnsiTheme="minorHAnsi" w:cstheme="minorHAnsi"/>
                <w:sz w:val="22"/>
              </w:rPr>
            </w:pPr>
            <w:r w:rsidRPr="002F6879">
              <w:rPr>
                <w:rFonts w:asciiTheme="minorHAnsi" w:hAnsiTheme="minorHAnsi" w:cstheme="minorHAnsi"/>
                <w:sz w:val="22"/>
              </w:rPr>
              <w:t>£10,319</w:t>
            </w:r>
          </w:p>
        </w:tc>
      </w:tr>
      <w:tr w:rsidR="00467D5D" w:rsidRPr="002F6879" w14:paraId="69DC6592" w14:textId="77777777" w:rsidTr="00321B86">
        <w:tc>
          <w:tcPr>
            <w:tcW w:w="1502" w:type="dxa"/>
          </w:tcPr>
          <w:p w14:paraId="333B4C0E" w14:textId="77777777" w:rsidR="00467D5D" w:rsidRPr="002F6879" w:rsidRDefault="00467D5D" w:rsidP="00467D5D">
            <w:pPr>
              <w:rPr>
                <w:rFonts w:asciiTheme="minorHAnsi" w:hAnsiTheme="minorHAnsi" w:cstheme="minorHAnsi"/>
                <w:sz w:val="22"/>
              </w:rPr>
            </w:pPr>
            <w:r w:rsidRPr="002F6879">
              <w:rPr>
                <w:rFonts w:asciiTheme="minorHAnsi" w:hAnsiTheme="minorHAnsi" w:cstheme="minorHAnsi"/>
                <w:sz w:val="22"/>
              </w:rPr>
              <w:t>2019/20</w:t>
            </w:r>
          </w:p>
        </w:tc>
        <w:tc>
          <w:tcPr>
            <w:tcW w:w="1725" w:type="dxa"/>
          </w:tcPr>
          <w:p w14:paraId="04E17EBF" w14:textId="77777777" w:rsidR="00467D5D" w:rsidRPr="002F6879" w:rsidRDefault="00467D5D" w:rsidP="00467D5D">
            <w:pPr>
              <w:jc w:val="center"/>
              <w:rPr>
                <w:rFonts w:asciiTheme="minorHAnsi" w:hAnsiTheme="minorHAnsi" w:cstheme="minorHAnsi"/>
                <w:sz w:val="22"/>
              </w:rPr>
            </w:pPr>
            <w:r w:rsidRPr="002F6879">
              <w:rPr>
                <w:rFonts w:asciiTheme="minorHAnsi" w:hAnsiTheme="minorHAnsi" w:cstheme="minorHAnsi"/>
                <w:sz w:val="22"/>
              </w:rPr>
              <w:t>£11,574</w:t>
            </w:r>
          </w:p>
        </w:tc>
        <w:tc>
          <w:tcPr>
            <w:tcW w:w="1701" w:type="dxa"/>
          </w:tcPr>
          <w:p w14:paraId="59C807B4" w14:textId="77777777" w:rsidR="00467D5D" w:rsidRPr="002F6879" w:rsidRDefault="00467D5D" w:rsidP="00467D5D">
            <w:pPr>
              <w:jc w:val="center"/>
              <w:rPr>
                <w:rFonts w:asciiTheme="minorHAnsi" w:hAnsiTheme="minorHAnsi" w:cstheme="minorHAnsi"/>
                <w:sz w:val="22"/>
              </w:rPr>
            </w:pPr>
            <w:r w:rsidRPr="002F6879">
              <w:rPr>
                <w:rFonts w:asciiTheme="minorHAnsi" w:hAnsiTheme="minorHAnsi" w:cstheme="minorHAnsi"/>
                <w:sz w:val="22"/>
              </w:rPr>
              <w:t>£3,711</w:t>
            </w:r>
          </w:p>
        </w:tc>
      </w:tr>
      <w:tr w:rsidR="00467D5D" w:rsidRPr="002F6879" w14:paraId="2D996C07" w14:textId="77777777" w:rsidTr="00321B86">
        <w:tc>
          <w:tcPr>
            <w:tcW w:w="1502" w:type="dxa"/>
          </w:tcPr>
          <w:p w14:paraId="4731826E" w14:textId="77777777" w:rsidR="00467D5D" w:rsidRPr="002F6879" w:rsidRDefault="00467D5D" w:rsidP="00467D5D">
            <w:pPr>
              <w:rPr>
                <w:rFonts w:asciiTheme="minorHAnsi" w:hAnsiTheme="minorHAnsi" w:cstheme="minorHAnsi"/>
                <w:sz w:val="22"/>
              </w:rPr>
            </w:pPr>
            <w:r w:rsidRPr="002F6879">
              <w:rPr>
                <w:rFonts w:asciiTheme="minorHAnsi" w:hAnsiTheme="minorHAnsi" w:cstheme="minorHAnsi"/>
                <w:sz w:val="22"/>
              </w:rPr>
              <w:t>2020/21</w:t>
            </w:r>
          </w:p>
        </w:tc>
        <w:tc>
          <w:tcPr>
            <w:tcW w:w="1725" w:type="dxa"/>
          </w:tcPr>
          <w:p w14:paraId="5165A17B" w14:textId="77777777" w:rsidR="00467D5D" w:rsidRPr="002F6879" w:rsidRDefault="00467D5D" w:rsidP="00467D5D">
            <w:pPr>
              <w:jc w:val="center"/>
              <w:rPr>
                <w:rFonts w:asciiTheme="minorHAnsi" w:hAnsiTheme="minorHAnsi" w:cstheme="minorHAnsi"/>
                <w:sz w:val="22"/>
              </w:rPr>
            </w:pPr>
            <w:r w:rsidRPr="002F6879">
              <w:rPr>
                <w:rFonts w:asciiTheme="minorHAnsi" w:hAnsiTheme="minorHAnsi" w:cstheme="minorHAnsi"/>
                <w:sz w:val="22"/>
              </w:rPr>
              <w:t>£11,805</w:t>
            </w:r>
          </w:p>
        </w:tc>
        <w:tc>
          <w:tcPr>
            <w:tcW w:w="1701" w:type="dxa"/>
          </w:tcPr>
          <w:p w14:paraId="42F0DEA0" w14:textId="77777777" w:rsidR="00467D5D" w:rsidRPr="002F6879" w:rsidRDefault="00467D5D" w:rsidP="00467D5D">
            <w:pPr>
              <w:jc w:val="center"/>
              <w:rPr>
                <w:rFonts w:asciiTheme="minorHAnsi" w:hAnsiTheme="minorHAnsi" w:cstheme="minorHAnsi"/>
                <w:sz w:val="22"/>
              </w:rPr>
            </w:pPr>
            <w:r w:rsidRPr="002F6879">
              <w:rPr>
                <w:rFonts w:asciiTheme="minorHAnsi" w:hAnsiTheme="minorHAnsi" w:cstheme="minorHAnsi"/>
                <w:color w:val="FF0000"/>
                <w:sz w:val="22"/>
              </w:rPr>
              <w:t>-£2,935</w:t>
            </w:r>
          </w:p>
        </w:tc>
      </w:tr>
    </w:tbl>
    <w:p w14:paraId="7E284F6C" w14:textId="77777777" w:rsidR="00467D5D" w:rsidRPr="002F6879" w:rsidRDefault="00467D5D" w:rsidP="00467D5D">
      <w:pPr>
        <w:jc w:val="both"/>
      </w:pPr>
    </w:p>
    <w:p w14:paraId="6A610529" w14:textId="5AF9ECD6" w:rsidR="00F740F3" w:rsidRPr="002F6879" w:rsidRDefault="00D63ACE" w:rsidP="00467D5D">
      <w:pPr>
        <w:tabs>
          <w:tab w:val="left" w:pos="6113"/>
        </w:tabs>
        <w:spacing w:before="120"/>
        <w:jc w:val="both"/>
      </w:pPr>
      <w:r w:rsidRPr="002F6879">
        <w:t>T</w:t>
      </w:r>
      <w:r w:rsidR="008B13D6" w:rsidRPr="002F6879">
        <w:t xml:space="preserve">he Thames RFCC </w:t>
      </w:r>
      <w:r w:rsidR="00FF7ADD" w:rsidRPr="002F6879">
        <w:t xml:space="preserve">is </w:t>
      </w:r>
      <w:r w:rsidR="008B13D6" w:rsidRPr="002F6879">
        <w:t>currently reviewing the capital programme</w:t>
      </w:r>
      <w:r w:rsidR="00104FA3" w:rsidRPr="002F6879">
        <w:t xml:space="preserve"> for 2017/18 </w:t>
      </w:r>
      <w:r w:rsidR="00DC0408" w:rsidRPr="002F6879">
        <w:t xml:space="preserve">and </w:t>
      </w:r>
      <w:r w:rsidRPr="002F6879">
        <w:t>u</w:t>
      </w:r>
      <w:r w:rsidR="008B13D6" w:rsidRPr="002F6879">
        <w:t>ntil this process is complete and the bid approved it is not</w:t>
      </w:r>
      <w:r w:rsidR="005774C0" w:rsidRPr="002F6879">
        <w:t xml:space="preserve"> possible to provide a </w:t>
      </w:r>
      <w:r w:rsidR="003F6C66" w:rsidRPr="002F6879">
        <w:t xml:space="preserve">fully </w:t>
      </w:r>
      <w:r w:rsidR="005774C0" w:rsidRPr="002F6879">
        <w:t xml:space="preserve">revised </w:t>
      </w:r>
      <w:r w:rsidR="00C2609C" w:rsidRPr="002F6879">
        <w:t>projected levy spend</w:t>
      </w:r>
      <w:r w:rsidR="00DF5A76" w:rsidRPr="002F6879">
        <w:t xml:space="preserve">. </w:t>
      </w:r>
      <w:r w:rsidRPr="002F6879">
        <w:t>However</w:t>
      </w:r>
      <w:r w:rsidR="00DC0408" w:rsidRPr="002F6879">
        <w:t>,</w:t>
      </w:r>
      <w:r w:rsidRPr="002F6879">
        <w:t xml:space="preserve"> a</w:t>
      </w:r>
      <w:r w:rsidR="008B13D6" w:rsidRPr="002F6879">
        <w:t xml:space="preserve">t present </w:t>
      </w:r>
      <w:r w:rsidR="00DC0408" w:rsidRPr="002F6879">
        <w:t xml:space="preserve">it </w:t>
      </w:r>
      <w:r w:rsidR="00294062" w:rsidRPr="002F6879">
        <w:t>is worth noting</w:t>
      </w:r>
      <w:r w:rsidR="005D026E" w:rsidRPr="002F6879">
        <w:t xml:space="preserve"> that the approach the </w:t>
      </w:r>
      <w:r w:rsidR="00FF7ADD" w:rsidRPr="002F6879">
        <w:t xml:space="preserve">Thames </w:t>
      </w:r>
      <w:r w:rsidR="005D026E" w:rsidRPr="002F6879">
        <w:t xml:space="preserve">RFCC adopted last year has placed the </w:t>
      </w:r>
      <w:r w:rsidR="00FF7ADD" w:rsidRPr="002F6879">
        <w:t xml:space="preserve">Thames </w:t>
      </w:r>
      <w:r w:rsidR="005D026E" w:rsidRPr="002F6879">
        <w:t>RFCC in a position where it</w:t>
      </w:r>
      <w:r w:rsidR="008E16E7" w:rsidRPr="002F6879">
        <w:t xml:space="preserve"> can:</w:t>
      </w:r>
    </w:p>
    <w:p w14:paraId="270FF20D" w14:textId="2C455FDC" w:rsidR="00D63ACE" w:rsidRPr="002F6879" w:rsidRDefault="005D026E" w:rsidP="00467D5D">
      <w:pPr>
        <w:pStyle w:val="ListParagraph"/>
        <w:numPr>
          <w:ilvl w:val="0"/>
          <w:numId w:val="3"/>
        </w:numPr>
        <w:spacing w:before="120"/>
        <w:jc w:val="both"/>
        <w:rPr>
          <w:rFonts w:ascii="Arial" w:hAnsi="Arial" w:cs="Arial"/>
          <w:sz w:val="24"/>
          <w:szCs w:val="24"/>
        </w:rPr>
      </w:pPr>
      <w:r w:rsidRPr="002F6879">
        <w:rPr>
          <w:rFonts w:ascii="Arial" w:hAnsi="Arial" w:cs="Arial"/>
          <w:sz w:val="24"/>
          <w:szCs w:val="24"/>
        </w:rPr>
        <w:t xml:space="preserve">Significantly increase </w:t>
      </w:r>
      <w:r w:rsidR="00D63ACE" w:rsidRPr="002F6879">
        <w:rPr>
          <w:rFonts w:ascii="Arial" w:hAnsi="Arial" w:cs="Arial"/>
          <w:sz w:val="24"/>
          <w:szCs w:val="24"/>
        </w:rPr>
        <w:t>investment to reduce the risks from surface water flooding in London</w:t>
      </w:r>
      <w:r w:rsidRPr="002F6879">
        <w:rPr>
          <w:rFonts w:ascii="Arial" w:hAnsi="Arial" w:cs="Arial"/>
          <w:sz w:val="24"/>
          <w:szCs w:val="24"/>
        </w:rPr>
        <w:t xml:space="preserve"> from £16.5 to £35 million </w:t>
      </w:r>
      <w:r w:rsidR="00D63ACE" w:rsidRPr="002F6879">
        <w:rPr>
          <w:rFonts w:ascii="Arial" w:hAnsi="Arial" w:cs="Arial"/>
          <w:sz w:val="24"/>
          <w:szCs w:val="24"/>
        </w:rPr>
        <w:t xml:space="preserve">due to </w:t>
      </w:r>
      <w:r w:rsidRPr="002F6879">
        <w:rPr>
          <w:rFonts w:ascii="Arial" w:hAnsi="Arial" w:cs="Arial"/>
          <w:sz w:val="24"/>
          <w:szCs w:val="24"/>
        </w:rPr>
        <w:t xml:space="preserve">a </w:t>
      </w:r>
      <w:r w:rsidR="00D63ACE" w:rsidRPr="002F6879">
        <w:rPr>
          <w:rFonts w:ascii="Arial" w:hAnsi="Arial" w:cs="Arial"/>
          <w:sz w:val="24"/>
          <w:szCs w:val="24"/>
        </w:rPr>
        <w:t xml:space="preserve">number of new schemes entering the programme from </w:t>
      </w:r>
      <w:r w:rsidR="008E16E7" w:rsidRPr="002F6879">
        <w:rPr>
          <w:rFonts w:ascii="Arial" w:hAnsi="Arial" w:cs="Arial"/>
          <w:sz w:val="24"/>
          <w:szCs w:val="24"/>
        </w:rPr>
        <w:t>local authorities</w:t>
      </w:r>
      <w:r w:rsidRPr="002F6879">
        <w:rPr>
          <w:rFonts w:ascii="Arial" w:hAnsi="Arial" w:cs="Arial"/>
          <w:sz w:val="24"/>
          <w:szCs w:val="24"/>
        </w:rPr>
        <w:t xml:space="preserve">. </w:t>
      </w:r>
      <w:r w:rsidR="00D63ACE" w:rsidRPr="002F6879">
        <w:rPr>
          <w:rFonts w:ascii="Arial" w:hAnsi="Arial" w:cs="Arial"/>
          <w:sz w:val="24"/>
          <w:szCs w:val="24"/>
        </w:rPr>
        <w:t xml:space="preserve">Investigations in Westminster, Enfield and Barking and Dagenham have progressed to scheme options being developed.   </w:t>
      </w:r>
    </w:p>
    <w:p w14:paraId="29C5B5BD" w14:textId="18F1FE67" w:rsidR="00D63ACE" w:rsidRPr="002F6879" w:rsidRDefault="005D026E" w:rsidP="00467D5D">
      <w:pPr>
        <w:pStyle w:val="ListParagraph"/>
        <w:numPr>
          <w:ilvl w:val="0"/>
          <w:numId w:val="3"/>
        </w:numPr>
        <w:spacing w:before="120"/>
        <w:jc w:val="both"/>
        <w:rPr>
          <w:rFonts w:ascii="Arial" w:hAnsi="Arial" w:cs="Arial"/>
          <w:sz w:val="24"/>
          <w:szCs w:val="24"/>
        </w:rPr>
      </w:pPr>
      <w:r w:rsidRPr="002F6879">
        <w:rPr>
          <w:rFonts w:ascii="Arial" w:hAnsi="Arial" w:cs="Arial"/>
          <w:sz w:val="24"/>
          <w:szCs w:val="24"/>
        </w:rPr>
        <w:t>Increase the</w:t>
      </w:r>
      <w:r w:rsidR="00DC0408" w:rsidRPr="002F6879">
        <w:rPr>
          <w:rFonts w:ascii="Arial" w:hAnsi="Arial" w:cs="Arial"/>
          <w:sz w:val="24"/>
          <w:szCs w:val="24"/>
        </w:rPr>
        <w:t xml:space="preserve"> </w:t>
      </w:r>
      <w:r w:rsidR="00D63ACE" w:rsidRPr="002F6879">
        <w:rPr>
          <w:rFonts w:ascii="Arial" w:hAnsi="Arial" w:cs="Arial"/>
          <w:sz w:val="24"/>
          <w:szCs w:val="24"/>
        </w:rPr>
        <w:t xml:space="preserve">investment to reduce the risk of flooding from rivers </w:t>
      </w:r>
      <w:r w:rsidRPr="002F6879">
        <w:rPr>
          <w:rFonts w:ascii="Arial" w:hAnsi="Arial" w:cs="Arial"/>
          <w:sz w:val="24"/>
          <w:szCs w:val="24"/>
        </w:rPr>
        <w:t>from £41 to £53 million</w:t>
      </w:r>
      <w:r w:rsidR="00FF7ADD" w:rsidRPr="002F6879">
        <w:rPr>
          <w:rFonts w:ascii="Arial" w:hAnsi="Arial" w:cs="Arial"/>
          <w:sz w:val="24"/>
          <w:szCs w:val="24"/>
        </w:rPr>
        <w:t>.</w:t>
      </w:r>
      <w:r w:rsidR="005C2A55" w:rsidRPr="002F6879">
        <w:rPr>
          <w:rFonts w:ascii="Arial" w:hAnsi="Arial" w:cs="Arial"/>
          <w:sz w:val="24"/>
          <w:szCs w:val="24"/>
        </w:rPr>
        <w:t xml:space="preserve"> </w:t>
      </w:r>
      <w:r w:rsidR="00FF7ADD" w:rsidRPr="002F6879">
        <w:rPr>
          <w:rFonts w:ascii="Arial" w:hAnsi="Arial" w:cs="Arial"/>
          <w:sz w:val="24"/>
          <w:szCs w:val="24"/>
        </w:rPr>
        <w:t xml:space="preserve">This includes schemes like the Lewisham and </w:t>
      </w:r>
      <w:proofErr w:type="spellStart"/>
      <w:r w:rsidR="00FF7ADD" w:rsidRPr="002F6879">
        <w:rPr>
          <w:rFonts w:ascii="Arial" w:hAnsi="Arial" w:cs="Arial"/>
          <w:sz w:val="24"/>
          <w:szCs w:val="24"/>
        </w:rPr>
        <w:t>Catford</w:t>
      </w:r>
      <w:proofErr w:type="spellEnd"/>
      <w:r w:rsidR="00FF7ADD" w:rsidRPr="002F6879">
        <w:rPr>
          <w:rFonts w:ascii="Arial" w:hAnsi="Arial" w:cs="Arial"/>
          <w:sz w:val="24"/>
          <w:szCs w:val="24"/>
        </w:rPr>
        <w:t xml:space="preserve"> scheme and the recently completed Salmons Brook scheme, as well as </w:t>
      </w:r>
      <w:r w:rsidR="00D63ACE" w:rsidRPr="002F6879">
        <w:rPr>
          <w:rFonts w:ascii="Arial" w:hAnsi="Arial" w:cs="Arial"/>
          <w:sz w:val="24"/>
          <w:szCs w:val="24"/>
        </w:rPr>
        <w:t xml:space="preserve">large scale schemes </w:t>
      </w:r>
      <w:r w:rsidR="00FF7ADD" w:rsidRPr="002F6879">
        <w:rPr>
          <w:rFonts w:ascii="Arial" w:hAnsi="Arial" w:cs="Arial"/>
          <w:sz w:val="24"/>
          <w:szCs w:val="24"/>
        </w:rPr>
        <w:t xml:space="preserve">in </w:t>
      </w:r>
      <w:r w:rsidR="00D63ACE" w:rsidRPr="002F6879">
        <w:rPr>
          <w:rFonts w:ascii="Arial" w:hAnsi="Arial" w:cs="Arial"/>
          <w:sz w:val="24"/>
          <w:szCs w:val="24"/>
        </w:rPr>
        <w:t>Bromley, Kingston, Ealing, Hillingdon, Redbridge, Waltham Forest, Brent and Harrow</w:t>
      </w:r>
      <w:r w:rsidR="00657B9A" w:rsidRPr="002F6879">
        <w:rPr>
          <w:rFonts w:ascii="Arial" w:hAnsi="Arial" w:cs="Arial"/>
          <w:sz w:val="24"/>
          <w:szCs w:val="24"/>
        </w:rPr>
        <w:t xml:space="preserve">. </w:t>
      </w:r>
      <w:r w:rsidR="00D63ACE" w:rsidRPr="002F6879">
        <w:rPr>
          <w:rFonts w:ascii="Arial" w:hAnsi="Arial" w:cs="Arial"/>
          <w:sz w:val="24"/>
          <w:szCs w:val="24"/>
        </w:rPr>
        <w:t>Many of these schemes have recently undergone initial assessment providing more accurate costs</w:t>
      </w:r>
      <w:r w:rsidR="00FF7ADD" w:rsidRPr="002F6879">
        <w:rPr>
          <w:rFonts w:ascii="Arial" w:hAnsi="Arial" w:cs="Arial"/>
          <w:sz w:val="24"/>
          <w:szCs w:val="24"/>
        </w:rPr>
        <w:t xml:space="preserve">. Packaging work means some schemes have been </w:t>
      </w:r>
      <w:r w:rsidR="00D63ACE" w:rsidRPr="002F6879">
        <w:rPr>
          <w:rFonts w:ascii="Arial" w:hAnsi="Arial" w:cs="Arial"/>
          <w:sz w:val="24"/>
          <w:szCs w:val="24"/>
        </w:rPr>
        <w:t xml:space="preserve">accelerated </w:t>
      </w:r>
      <w:r w:rsidR="00FF7ADD" w:rsidRPr="002F6879">
        <w:rPr>
          <w:rFonts w:ascii="Arial" w:hAnsi="Arial" w:cs="Arial"/>
          <w:sz w:val="24"/>
          <w:szCs w:val="24"/>
        </w:rPr>
        <w:t xml:space="preserve">into </w:t>
      </w:r>
      <w:r w:rsidR="00D63ACE" w:rsidRPr="002F6879">
        <w:rPr>
          <w:rFonts w:ascii="Arial" w:hAnsi="Arial" w:cs="Arial"/>
          <w:sz w:val="24"/>
          <w:szCs w:val="24"/>
        </w:rPr>
        <w:t xml:space="preserve">the </w:t>
      </w:r>
      <w:r w:rsidR="00FF7ADD" w:rsidRPr="002F6879">
        <w:rPr>
          <w:rFonts w:ascii="Arial" w:hAnsi="Arial" w:cs="Arial"/>
          <w:sz w:val="24"/>
          <w:szCs w:val="24"/>
        </w:rPr>
        <w:t xml:space="preserve">six </w:t>
      </w:r>
      <w:r w:rsidR="00D63ACE" w:rsidRPr="002F6879">
        <w:rPr>
          <w:rFonts w:ascii="Arial" w:hAnsi="Arial" w:cs="Arial"/>
          <w:sz w:val="24"/>
          <w:szCs w:val="24"/>
        </w:rPr>
        <w:t xml:space="preserve">year programme, increasing spend on </w:t>
      </w:r>
      <w:r w:rsidR="00FF7ADD" w:rsidRPr="002F6879">
        <w:rPr>
          <w:rFonts w:ascii="Arial" w:hAnsi="Arial" w:cs="Arial"/>
          <w:sz w:val="24"/>
          <w:szCs w:val="24"/>
        </w:rPr>
        <w:t xml:space="preserve">river </w:t>
      </w:r>
      <w:r w:rsidR="00D63ACE" w:rsidRPr="002F6879">
        <w:rPr>
          <w:rFonts w:ascii="Arial" w:hAnsi="Arial" w:cs="Arial"/>
          <w:sz w:val="24"/>
          <w:szCs w:val="24"/>
        </w:rPr>
        <w:t xml:space="preserve">schemes. </w:t>
      </w:r>
    </w:p>
    <w:p w14:paraId="20D9E569" w14:textId="77777777" w:rsidR="00222D4C" w:rsidRPr="002F6879" w:rsidRDefault="00B72D33" w:rsidP="00A25CDA">
      <w:pPr>
        <w:spacing w:before="120"/>
        <w:jc w:val="both"/>
      </w:pPr>
      <w:r w:rsidRPr="002F6879">
        <w:rPr>
          <w:rFonts w:cs="Arial"/>
        </w:rPr>
        <w:t>The</w:t>
      </w:r>
      <w:r w:rsidRPr="002F6879">
        <w:t>re</w:t>
      </w:r>
      <w:r w:rsidR="00222D4C" w:rsidRPr="002F6879">
        <w:t xml:space="preserve"> are a number of factors that could increase</w:t>
      </w:r>
      <w:r w:rsidRPr="002F6879">
        <w:t xml:space="preserve"> or decrease</w:t>
      </w:r>
      <w:r w:rsidR="00222D4C" w:rsidRPr="002F6879">
        <w:t xml:space="preserve"> the use of levy across th</w:t>
      </w:r>
      <w:r w:rsidRPr="002F6879">
        <w:t>e</w:t>
      </w:r>
      <w:r w:rsidR="00222D4C" w:rsidRPr="002F6879">
        <w:t xml:space="preserve"> </w:t>
      </w:r>
      <w:r w:rsidRPr="002F6879">
        <w:t xml:space="preserve">remaining </w:t>
      </w:r>
      <w:r w:rsidR="00222D4C" w:rsidRPr="002F6879">
        <w:t>period</w:t>
      </w:r>
      <w:r w:rsidRPr="002F6879">
        <w:t xml:space="preserve"> of the programme including;</w:t>
      </w:r>
    </w:p>
    <w:p w14:paraId="6242A723" w14:textId="77777777" w:rsidR="00621E8E" w:rsidRPr="002F6879" w:rsidRDefault="00621E8E" w:rsidP="00A25CDA">
      <w:pPr>
        <w:pStyle w:val="ListParagraph"/>
        <w:numPr>
          <w:ilvl w:val="0"/>
          <w:numId w:val="4"/>
        </w:numPr>
        <w:spacing w:before="120"/>
        <w:jc w:val="both"/>
        <w:rPr>
          <w:rFonts w:ascii="Arial" w:hAnsi="Arial" w:cs="Arial"/>
          <w:sz w:val="24"/>
          <w:szCs w:val="24"/>
        </w:rPr>
      </w:pPr>
      <w:r w:rsidRPr="002F6879">
        <w:rPr>
          <w:rFonts w:ascii="Arial" w:hAnsi="Arial" w:cs="Arial"/>
          <w:sz w:val="24"/>
          <w:szCs w:val="24"/>
        </w:rPr>
        <w:t>New projects coming forward for funding</w:t>
      </w:r>
      <w:r w:rsidR="00B72D33" w:rsidRPr="002F6879">
        <w:rPr>
          <w:rFonts w:ascii="Arial" w:hAnsi="Arial" w:cs="Arial"/>
          <w:sz w:val="24"/>
          <w:szCs w:val="24"/>
        </w:rPr>
        <w:t xml:space="preserve"> or projects not proving</w:t>
      </w:r>
      <w:r w:rsidR="009D513F" w:rsidRPr="002F6879">
        <w:rPr>
          <w:rFonts w:ascii="Arial" w:hAnsi="Arial" w:cs="Arial"/>
          <w:sz w:val="24"/>
          <w:szCs w:val="24"/>
        </w:rPr>
        <w:t xml:space="preserve"> to be</w:t>
      </w:r>
      <w:r w:rsidR="00B72D33" w:rsidRPr="002F6879">
        <w:rPr>
          <w:rFonts w:ascii="Arial" w:hAnsi="Arial" w:cs="Arial"/>
          <w:sz w:val="24"/>
          <w:szCs w:val="24"/>
        </w:rPr>
        <w:t xml:space="preserve"> viable</w:t>
      </w:r>
      <w:r w:rsidR="001F62E1" w:rsidRPr="002F6879">
        <w:rPr>
          <w:rFonts w:ascii="Arial" w:hAnsi="Arial" w:cs="Arial"/>
          <w:sz w:val="24"/>
          <w:szCs w:val="24"/>
        </w:rPr>
        <w:t>;</w:t>
      </w:r>
    </w:p>
    <w:p w14:paraId="3212DA2F" w14:textId="77777777" w:rsidR="00222D4C" w:rsidRPr="002F6879" w:rsidRDefault="00222D4C" w:rsidP="00A25CDA">
      <w:pPr>
        <w:pStyle w:val="ListParagraph"/>
        <w:numPr>
          <w:ilvl w:val="0"/>
          <w:numId w:val="4"/>
        </w:numPr>
        <w:spacing w:before="120"/>
        <w:jc w:val="both"/>
        <w:rPr>
          <w:rFonts w:ascii="Arial" w:hAnsi="Arial" w:cs="Arial"/>
          <w:sz w:val="24"/>
          <w:szCs w:val="24"/>
        </w:rPr>
      </w:pPr>
      <w:r w:rsidRPr="002F6879">
        <w:rPr>
          <w:rFonts w:ascii="Arial" w:hAnsi="Arial" w:cs="Arial"/>
          <w:sz w:val="24"/>
          <w:szCs w:val="24"/>
        </w:rPr>
        <w:t>Cost inflation</w:t>
      </w:r>
      <w:r w:rsidR="00621E8E" w:rsidRPr="002F6879">
        <w:rPr>
          <w:rFonts w:ascii="Arial" w:hAnsi="Arial" w:cs="Arial"/>
          <w:sz w:val="24"/>
          <w:szCs w:val="24"/>
        </w:rPr>
        <w:t>;</w:t>
      </w:r>
    </w:p>
    <w:p w14:paraId="18490934" w14:textId="77777777" w:rsidR="00222D4C" w:rsidRPr="002F6879" w:rsidRDefault="00222D4C" w:rsidP="00A25CDA">
      <w:pPr>
        <w:pStyle w:val="ListParagraph"/>
        <w:numPr>
          <w:ilvl w:val="0"/>
          <w:numId w:val="4"/>
        </w:numPr>
        <w:spacing w:before="120"/>
        <w:jc w:val="both"/>
        <w:rPr>
          <w:rFonts w:ascii="Arial" w:hAnsi="Arial" w:cs="Arial"/>
          <w:sz w:val="24"/>
          <w:szCs w:val="24"/>
        </w:rPr>
      </w:pPr>
      <w:r w:rsidRPr="002F6879">
        <w:rPr>
          <w:rFonts w:ascii="Arial" w:hAnsi="Arial" w:cs="Arial"/>
          <w:sz w:val="24"/>
          <w:szCs w:val="24"/>
        </w:rPr>
        <w:t xml:space="preserve">The costs of schemes </w:t>
      </w:r>
      <w:r w:rsidR="00B72D33" w:rsidRPr="002F6879">
        <w:rPr>
          <w:rFonts w:ascii="Arial" w:hAnsi="Arial" w:cs="Arial"/>
          <w:sz w:val="24"/>
          <w:szCs w:val="24"/>
        </w:rPr>
        <w:t xml:space="preserve">changing </w:t>
      </w:r>
      <w:r w:rsidRPr="002F6879">
        <w:rPr>
          <w:rFonts w:ascii="Arial" w:hAnsi="Arial" w:cs="Arial"/>
          <w:sz w:val="24"/>
          <w:szCs w:val="24"/>
        </w:rPr>
        <w:t xml:space="preserve">as </w:t>
      </w:r>
      <w:r w:rsidR="00621E8E" w:rsidRPr="002F6879">
        <w:rPr>
          <w:rFonts w:ascii="Arial" w:hAnsi="Arial" w:cs="Arial"/>
          <w:sz w:val="24"/>
          <w:szCs w:val="24"/>
        </w:rPr>
        <w:t xml:space="preserve">preparatory work and </w:t>
      </w:r>
      <w:r w:rsidRPr="002F6879">
        <w:rPr>
          <w:rFonts w:ascii="Arial" w:hAnsi="Arial" w:cs="Arial"/>
          <w:sz w:val="24"/>
          <w:szCs w:val="24"/>
        </w:rPr>
        <w:t>investigations proceed</w:t>
      </w:r>
      <w:r w:rsidR="001F62E1" w:rsidRPr="002F6879">
        <w:rPr>
          <w:rFonts w:ascii="Arial" w:hAnsi="Arial" w:cs="Arial"/>
          <w:sz w:val="24"/>
          <w:szCs w:val="24"/>
        </w:rPr>
        <w:t>;</w:t>
      </w:r>
    </w:p>
    <w:p w14:paraId="44F2D859" w14:textId="5F2FC7D1" w:rsidR="000F3DDD" w:rsidRPr="002F6879" w:rsidRDefault="00222D4C" w:rsidP="00A25CDA">
      <w:pPr>
        <w:pStyle w:val="ListParagraph"/>
        <w:numPr>
          <w:ilvl w:val="0"/>
          <w:numId w:val="4"/>
        </w:numPr>
        <w:spacing w:before="120"/>
        <w:jc w:val="both"/>
        <w:rPr>
          <w:rFonts w:ascii="Arial" w:hAnsi="Arial" w:cs="Arial"/>
          <w:sz w:val="24"/>
          <w:szCs w:val="24"/>
        </w:rPr>
      </w:pPr>
      <w:r w:rsidRPr="002F6879">
        <w:rPr>
          <w:rFonts w:ascii="Arial" w:hAnsi="Arial" w:cs="Arial"/>
          <w:sz w:val="24"/>
          <w:szCs w:val="24"/>
        </w:rPr>
        <w:t xml:space="preserve">Bringing forward </w:t>
      </w:r>
      <w:r w:rsidR="00FF7ADD" w:rsidRPr="002F6879">
        <w:rPr>
          <w:rFonts w:ascii="Arial" w:hAnsi="Arial" w:cs="Arial"/>
          <w:sz w:val="24"/>
          <w:szCs w:val="24"/>
        </w:rPr>
        <w:t xml:space="preserve">expenditure </w:t>
      </w:r>
      <w:r w:rsidRPr="002F6879">
        <w:rPr>
          <w:rFonts w:ascii="Arial" w:hAnsi="Arial" w:cs="Arial"/>
          <w:sz w:val="24"/>
          <w:szCs w:val="24"/>
        </w:rPr>
        <w:t xml:space="preserve">on preliminary assessments </w:t>
      </w:r>
      <w:r w:rsidR="00621E8E" w:rsidRPr="002F6879">
        <w:rPr>
          <w:rFonts w:ascii="Arial" w:hAnsi="Arial" w:cs="Arial"/>
          <w:sz w:val="24"/>
          <w:szCs w:val="24"/>
        </w:rPr>
        <w:t>for schemes in later years of the capital programme</w:t>
      </w:r>
      <w:r w:rsidR="009D513F" w:rsidRPr="002F6879">
        <w:rPr>
          <w:rFonts w:ascii="Arial" w:hAnsi="Arial" w:cs="Arial"/>
          <w:sz w:val="24"/>
          <w:szCs w:val="24"/>
        </w:rPr>
        <w:t>. This will</w:t>
      </w:r>
      <w:r w:rsidRPr="002F6879">
        <w:rPr>
          <w:rFonts w:ascii="Arial" w:hAnsi="Arial" w:cs="Arial"/>
          <w:sz w:val="24"/>
          <w:szCs w:val="24"/>
        </w:rPr>
        <w:t xml:space="preserve"> ensure that there is a pipeline of schemes to accelerate</w:t>
      </w:r>
      <w:r w:rsidR="009D513F" w:rsidRPr="002F6879">
        <w:rPr>
          <w:rFonts w:ascii="Arial" w:hAnsi="Arial" w:cs="Arial"/>
          <w:sz w:val="24"/>
          <w:szCs w:val="24"/>
        </w:rPr>
        <w:t>,</w:t>
      </w:r>
      <w:r w:rsidRPr="002F6879">
        <w:rPr>
          <w:rFonts w:ascii="Arial" w:hAnsi="Arial" w:cs="Arial"/>
          <w:sz w:val="24"/>
          <w:szCs w:val="24"/>
        </w:rPr>
        <w:t xml:space="preserve"> in case any existing schemes drop ou</w:t>
      </w:r>
      <w:r w:rsidR="009D513F" w:rsidRPr="002F6879">
        <w:rPr>
          <w:rFonts w:ascii="Arial" w:hAnsi="Arial" w:cs="Arial"/>
          <w:sz w:val="24"/>
          <w:szCs w:val="24"/>
        </w:rPr>
        <w:t>t and</w:t>
      </w:r>
      <w:r w:rsidR="00621E8E" w:rsidRPr="002F6879">
        <w:rPr>
          <w:rFonts w:ascii="Arial" w:hAnsi="Arial" w:cs="Arial"/>
          <w:sz w:val="24"/>
          <w:szCs w:val="24"/>
        </w:rPr>
        <w:t xml:space="preserve"> enabling the Thames RFCC to continue to secure government funding. </w:t>
      </w:r>
    </w:p>
    <w:p w14:paraId="33629A9C" w14:textId="77777777" w:rsidR="000F3DDD" w:rsidRPr="002F6879" w:rsidRDefault="000F3DDD" w:rsidP="00A25CDA">
      <w:pPr>
        <w:pStyle w:val="Heading2"/>
        <w:jc w:val="both"/>
      </w:pPr>
      <w:r w:rsidRPr="002F6879">
        <w:t>Conclusion</w:t>
      </w:r>
    </w:p>
    <w:p w14:paraId="68D22910" w14:textId="4A4186E8" w:rsidR="003449A6" w:rsidRDefault="003449A6" w:rsidP="00A25CDA">
      <w:pPr>
        <w:jc w:val="both"/>
      </w:pPr>
      <w:r w:rsidRPr="002F6879">
        <w:t>It is recommended that Members support a</w:t>
      </w:r>
      <w:r w:rsidR="00C57CA6" w:rsidRPr="002F6879">
        <w:t xml:space="preserve"> </w:t>
      </w:r>
      <w:r w:rsidR="00DC0408" w:rsidRPr="002F6879">
        <w:t xml:space="preserve">1.99% increase, which </w:t>
      </w:r>
      <w:r w:rsidR="00FF7ADD" w:rsidRPr="002F6879">
        <w:t xml:space="preserve">totals </w:t>
      </w:r>
      <w:r w:rsidR="00C57CA6" w:rsidRPr="002F6879">
        <w:t>£217,157</w:t>
      </w:r>
      <w:r w:rsidR="00D24556" w:rsidRPr="002F6879">
        <w:t xml:space="preserve"> </w:t>
      </w:r>
      <w:r w:rsidR="00C57CA6" w:rsidRPr="002F6879">
        <w:t>in 2017/18</w:t>
      </w:r>
      <w:r w:rsidR="00FF7ADD" w:rsidRPr="002F6879">
        <w:t xml:space="preserve">. This </w:t>
      </w:r>
      <w:r w:rsidR="000A77A8" w:rsidRPr="002F6879">
        <w:t xml:space="preserve">would be paid by the 47 </w:t>
      </w:r>
      <w:r w:rsidR="000110DE" w:rsidRPr="002F6879">
        <w:t xml:space="preserve">London borough, </w:t>
      </w:r>
      <w:r w:rsidRPr="002F6879">
        <w:t>unitary and county councils in the Thames RFCC area, as part of the agreed six year programme.</w:t>
      </w:r>
      <w:r>
        <w:t xml:space="preserve"> </w:t>
      </w:r>
    </w:p>
    <w:p w14:paraId="617E3535" w14:textId="77777777" w:rsidR="001F62E1" w:rsidRPr="000F3DDD" w:rsidRDefault="001F62E1" w:rsidP="00A25CDA">
      <w:pPr>
        <w:spacing w:before="120"/>
        <w:jc w:val="both"/>
        <w:rPr>
          <w:rFonts w:cs="Arial"/>
          <w:szCs w:val="24"/>
        </w:rPr>
      </w:pPr>
    </w:p>
    <w:sectPr w:rsidR="001F62E1" w:rsidRPr="000F3DDD" w:rsidSect="00383413">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454" w:gutter="0"/>
      <w:pgNumType w:start="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D75EB3" w14:textId="77777777" w:rsidR="00393ADE" w:rsidRDefault="00393ADE" w:rsidP="009F4727">
      <w:pPr>
        <w:spacing w:after="0" w:line="240" w:lineRule="auto"/>
      </w:pPr>
      <w:r>
        <w:separator/>
      </w:r>
    </w:p>
  </w:endnote>
  <w:endnote w:type="continuationSeparator" w:id="0">
    <w:p w14:paraId="2D3BF6C1" w14:textId="77777777" w:rsidR="00393ADE" w:rsidRDefault="00393ADE" w:rsidP="009F4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2556A1" w14:textId="77777777" w:rsidR="00383413" w:rsidRDefault="003834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C70DD8" w14:textId="5263AD4D" w:rsidR="00393ADE" w:rsidRDefault="00383413" w:rsidP="00383413">
    <w:pPr>
      <w:pStyle w:val="Footer"/>
      <w:rPr>
        <w:b/>
        <w:sz w:val="16"/>
        <w:szCs w:val="16"/>
      </w:rPr>
    </w:pPr>
    <w:r>
      <w:rPr>
        <w:b/>
        <w:sz w:val="16"/>
        <w:szCs w:val="16"/>
      </w:rPr>
      <w:t>Appendix A – Flooding Investment in London</w:t>
    </w:r>
    <w:r>
      <w:rPr>
        <w:b/>
        <w:sz w:val="16"/>
        <w:szCs w:val="16"/>
      </w:rPr>
      <w:tab/>
    </w:r>
    <w:r>
      <w:rPr>
        <w:b/>
        <w:sz w:val="16"/>
        <w:szCs w:val="16"/>
      </w:rPr>
      <w:tab/>
      <w:t>London Councils’ TEC – 13 October 2016</w:t>
    </w:r>
  </w:p>
  <w:p w14:paraId="2771C372" w14:textId="109D5173" w:rsidR="00383413" w:rsidRPr="00383413" w:rsidRDefault="00383413" w:rsidP="00383413">
    <w:pPr>
      <w:pStyle w:val="Footer"/>
      <w:jc w:val="center"/>
      <w:rPr>
        <w:b/>
        <w:sz w:val="16"/>
        <w:szCs w:val="16"/>
      </w:rPr>
    </w:pPr>
    <w:r>
      <w:rPr>
        <w:b/>
        <w:sz w:val="16"/>
        <w:szCs w:val="16"/>
      </w:rPr>
      <w:t xml:space="preserve">Agenda Item 6, Page </w:t>
    </w:r>
    <w:r w:rsidRPr="00383413">
      <w:rPr>
        <w:b/>
        <w:sz w:val="16"/>
        <w:szCs w:val="16"/>
      </w:rPr>
      <w:fldChar w:fldCharType="begin"/>
    </w:r>
    <w:r w:rsidRPr="00383413">
      <w:rPr>
        <w:b/>
        <w:sz w:val="16"/>
        <w:szCs w:val="16"/>
      </w:rPr>
      <w:instrText xml:space="preserve"> PAGE   \* MERGEFORMAT </w:instrText>
    </w:r>
    <w:r w:rsidRPr="00383413">
      <w:rPr>
        <w:b/>
        <w:sz w:val="16"/>
        <w:szCs w:val="16"/>
      </w:rPr>
      <w:fldChar w:fldCharType="separate"/>
    </w:r>
    <w:r>
      <w:rPr>
        <w:b/>
        <w:noProof/>
        <w:sz w:val="16"/>
        <w:szCs w:val="16"/>
      </w:rPr>
      <w:t>7</w:t>
    </w:r>
    <w:r w:rsidRPr="00383413">
      <w:rPr>
        <w:b/>
        <w:noProof/>
        <w:sz w:val="16"/>
        <w:szCs w:val="16"/>
      </w:rPr>
      <w:fldChar w:fldCharType="end"/>
    </w:r>
    <w:bookmarkStart w:id="0" w:name="_GoBack"/>
    <w:bookmarkEnd w:id="0"/>
  </w:p>
  <w:p w14:paraId="116AC45B" w14:textId="77777777" w:rsidR="00393ADE" w:rsidRDefault="00393AD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513C77" w14:textId="77777777" w:rsidR="00383413" w:rsidRDefault="003834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A6D8E6" w14:textId="77777777" w:rsidR="00393ADE" w:rsidRDefault="00393ADE" w:rsidP="009F4727">
      <w:pPr>
        <w:spacing w:after="0" w:line="240" w:lineRule="auto"/>
      </w:pPr>
      <w:r>
        <w:separator/>
      </w:r>
    </w:p>
  </w:footnote>
  <w:footnote w:type="continuationSeparator" w:id="0">
    <w:p w14:paraId="15B0460A" w14:textId="77777777" w:rsidR="00393ADE" w:rsidRDefault="00393ADE" w:rsidP="009F47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F44265" w14:textId="77777777" w:rsidR="00383413" w:rsidRDefault="003834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C7A807" w14:textId="77777777" w:rsidR="00383413" w:rsidRDefault="0038341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DE466" w14:textId="77777777" w:rsidR="00383413" w:rsidRDefault="003834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F7DA5"/>
    <w:multiLevelType w:val="hybridMultilevel"/>
    <w:tmpl w:val="E752B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A119FF"/>
    <w:multiLevelType w:val="hybridMultilevel"/>
    <w:tmpl w:val="E084C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5CD6E13"/>
    <w:multiLevelType w:val="hybridMultilevel"/>
    <w:tmpl w:val="3E244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B9371B8"/>
    <w:multiLevelType w:val="hybridMultilevel"/>
    <w:tmpl w:val="D8F82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73C5DB7"/>
    <w:multiLevelType w:val="hybridMultilevel"/>
    <w:tmpl w:val="1B748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9542D27"/>
    <w:multiLevelType w:val="hybridMultilevel"/>
    <w:tmpl w:val="D84EC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D7612E4"/>
    <w:multiLevelType w:val="hybridMultilevel"/>
    <w:tmpl w:val="ADAA0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0AA"/>
    <w:rsid w:val="000110DE"/>
    <w:rsid w:val="000120DA"/>
    <w:rsid w:val="00023A90"/>
    <w:rsid w:val="0003447E"/>
    <w:rsid w:val="00046AC3"/>
    <w:rsid w:val="00050D76"/>
    <w:rsid w:val="000517D2"/>
    <w:rsid w:val="00086861"/>
    <w:rsid w:val="000A77A8"/>
    <w:rsid w:val="000E05E1"/>
    <w:rsid w:val="000F2937"/>
    <w:rsid w:val="000F3DDD"/>
    <w:rsid w:val="000F4C2D"/>
    <w:rsid w:val="000F5B8A"/>
    <w:rsid w:val="000F67C0"/>
    <w:rsid w:val="00104137"/>
    <w:rsid w:val="00104FA3"/>
    <w:rsid w:val="0012286D"/>
    <w:rsid w:val="001448EA"/>
    <w:rsid w:val="00160D06"/>
    <w:rsid w:val="001C7E15"/>
    <w:rsid w:val="001D4BD0"/>
    <w:rsid w:val="001F62E1"/>
    <w:rsid w:val="00214583"/>
    <w:rsid w:val="00222D4C"/>
    <w:rsid w:val="00256D85"/>
    <w:rsid w:val="00274840"/>
    <w:rsid w:val="00294062"/>
    <w:rsid w:val="002A0CB6"/>
    <w:rsid w:val="002A7331"/>
    <w:rsid w:val="002C155B"/>
    <w:rsid w:val="002C7450"/>
    <w:rsid w:val="002E20A3"/>
    <w:rsid w:val="002F6879"/>
    <w:rsid w:val="00300472"/>
    <w:rsid w:val="0031702B"/>
    <w:rsid w:val="00321B86"/>
    <w:rsid w:val="003449A6"/>
    <w:rsid w:val="003670D0"/>
    <w:rsid w:val="00382F1B"/>
    <w:rsid w:val="00383413"/>
    <w:rsid w:val="00393ADE"/>
    <w:rsid w:val="003B50EE"/>
    <w:rsid w:val="003D53E6"/>
    <w:rsid w:val="003E25EB"/>
    <w:rsid w:val="003E3B02"/>
    <w:rsid w:val="003F6C66"/>
    <w:rsid w:val="003F7C06"/>
    <w:rsid w:val="00402771"/>
    <w:rsid w:val="0041128D"/>
    <w:rsid w:val="004125A4"/>
    <w:rsid w:val="004127AA"/>
    <w:rsid w:val="004252E5"/>
    <w:rsid w:val="00430509"/>
    <w:rsid w:val="00434879"/>
    <w:rsid w:val="00467D5D"/>
    <w:rsid w:val="004724B5"/>
    <w:rsid w:val="00473BF9"/>
    <w:rsid w:val="0047507C"/>
    <w:rsid w:val="004E0C1C"/>
    <w:rsid w:val="005138B0"/>
    <w:rsid w:val="005164AB"/>
    <w:rsid w:val="0054359C"/>
    <w:rsid w:val="0055040E"/>
    <w:rsid w:val="005774C0"/>
    <w:rsid w:val="0059446D"/>
    <w:rsid w:val="005B0D32"/>
    <w:rsid w:val="005B1795"/>
    <w:rsid w:val="005B4E00"/>
    <w:rsid w:val="005C2A55"/>
    <w:rsid w:val="005C5BD6"/>
    <w:rsid w:val="005C697F"/>
    <w:rsid w:val="005D026E"/>
    <w:rsid w:val="005E2952"/>
    <w:rsid w:val="005E6D12"/>
    <w:rsid w:val="00621E8E"/>
    <w:rsid w:val="006237F8"/>
    <w:rsid w:val="006314ED"/>
    <w:rsid w:val="006426C5"/>
    <w:rsid w:val="00657B9A"/>
    <w:rsid w:val="006645A3"/>
    <w:rsid w:val="00667824"/>
    <w:rsid w:val="0068126F"/>
    <w:rsid w:val="006D4850"/>
    <w:rsid w:val="006D5C6E"/>
    <w:rsid w:val="006D7CE0"/>
    <w:rsid w:val="006E3CCF"/>
    <w:rsid w:val="00703330"/>
    <w:rsid w:val="007064E1"/>
    <w:rsid w:val="00712BB6"/>
    <w:rsid w:val="00732671"/>
    <w:rsid w:val="00732B30"/>
    <w:rsid w:val="0075348C"/>
    <w:rsid w:val="007552F4"/>
    <w:rsid w:val="00775F6F"/>
    <w:rsid w:val="007762B0"/>
    <w:rsid w:val="007A0276"/>
    <w:rsid w:val="007A6F47"/>
    <w:rsid w:val="007B20F6"/>
    <w:rsid w:val="007C5867"/>
    <w:rsid w:val="007F3106"/>
    <w:rsid w:val="007F7716"/>
    <w:rsid w:val="00813424"/>
    <w:rsid w:val="008267CF"/>
    <w:rsid w:val="0083590B"/>
    <w:rsid w:val="008504DA"/>
    <w:rsid w:val="00853259"/>
    <w:rsid w:val="00862010"/>
    <w:rsid w:val="0087127A"/>
    <w:rsid w:val="00873943"/>
    <w:rsid w:val="00883FD8"/>
    <w:rsid w:val="008A5F0E"/>
    <w:rsid w:val="008B13D6"/>
    <w:rsid w:val="008B2607"/>
    <w:rsid w:val="008E0A1E"/>
    <w:rsid w:val="008E16E7"/>
    <w:rsid w:val="008E7BBC"/>
    <w:rsid w:val="008F34A0"/>
    <w:rsid w:val="0092255F"/>
    <w:rsid w:val="00935F22"/>
    <w:rsid w:val="00937D0A"/>
    <w:rsid w:val="00947FAC"/>
    <w:rsid w:val="00974F15"/>
    <w:rsid w:val="00984BC4"/>
    <w:rsid w:val="009B0757"/>
    <w:rsid w:val="009D513F"/>
    <w:rsid w:val="009F4727"/>
    <w:rsid w:val="00A05F77"/>
    <w:rsid w:val="00A119EC"/>
    <w:rsid w:val="00A25CDA"/>
    <w:rsid w:val="00A70D16"/>
    <w:rsid w:val="00A7435D"/>
    <w:rsid w:val="00A8206A"/>
    <w:rsid w:val="00A8624F"/>
    <w:rsid w:val="00A903F1"/>
    <w:rsid w:val="00A94CEB"/>
    <w:rsid w:val="00AB5FF4"/>
    <w:rsid w:val="00AC78B0"/>
    <w:rsid w:val="00AD177F"/>
    <w:rsid w:val="00AE698B"/>
    <w:rsid w:val="00AF0D5E"/>
    <w:rsid w:val="00B27DD1"/>
    <w:rsid w:val="00B44909"/>
    <w:rsid w:val="00B72D33"/>
    <w:rsid w:val="00B7583D"/>
    <w:rsid w:val="00B84809"/>
    <w:rsid w:val="00B90135"/>
    <w:rsid w:val="00B93A35"/>
    <w:rsid w:val="00B97925"/>
    <w:rsid w:val="00BA2232"/>
    <w:rsid w:val="00BA5586"/>
    <w:rsid w:val="00BB1F11"/>
    <w:rsid w:val="00BB5D90"/>
    <w:rsid w:val="00BC4CDD"/>
    <w:rsid w:val="00BC7904"/>
    <w:rsid w:val="00BD00C3"/>
    <w:rsid w:val="00BD5AE2"/>
    <w:rsid w:val="00BE2F38"/>
    <w:rsid w:val="00C011E8"/>
    <w:rsid w:val="00C2609C"/>
    <w:rsid w:val="00C327D9"/>
    <w:rsid w:val="00C4270F"/>
    <w:rsid w:val="00C57CA6"/>
    <w:rsid w:val="00CD4707"/>
    <w:rsid w:val="00CE4E0D"/>
    <w:rsid w:val="00CE6164"/>
    <w:rsid w:val="00D02BAC"/>
    <w:rsid w:val="00D1649C"/>
    <w:rsid w:val="00D21393"/>
    <w:rsid w:val="00D24556"/>
    <w:rsid w:val="00D4337F"/>
    <w:rsid w:val="00D552CF"/>
    <w:rsid w:val="00D56EC7"/>
    <w:rsid w:val="00D60DE2"/>
    <w:rsid w:val="00D61AC5"/>
    <w:rsid w:val="00D6219C"/>
    <w:rsid w:val="00D63ACE"/>
    <w:rsid w:val="00D77CD6"/>
    <w:rsid w:val="00D90042"/>
    <w:rsid w:val="00DA6C4E"/>
    <w:rsid w:val="00DB3A5E"/>
    <w:rsid w:val="00DB3DEE"/>
    <w:rsid w:val="00DC0408"/>
    <w:rsid w:val="00DD0FD0"/>
    <w:rsid w:val="00DE54D6"/>
    <w:rsid w:val="00DF5A76"/>
    <w:rsid w:val="00E01A02"/>
    <w:rsid w:val="00E22351"/>
    <w:rsid w:val="00E22B98"/>
    <w:rsid w:val="00E30F96"/>
    <w:rsid w:val="00E516D1"/>
    <w:rsid w:val="00E611B8"/>
    <w:rsid w:val="00EF70AA"/>
    <w:rsid w:val="00F139A0"/>
    <w:rsid w:val="00F20362"/>
    <w:rsid w:val="00F20BAC"/>
    <w:rsid w:val="00F44C41"/>
    <w:rsid w:val="00F47313"/>
    <w:rsid w:val="00F56853"/>
    <w:rsid w:val="00F5751E"/>
    <w:rsid w:val="00F71686"/>
    <w:rsid w:val="00F740F3"/>
    <w:rsid w:val="00F756D3"/>
    <w:rsid w:val="00FA5BA4"/>
    <w:rsid w:val="00FC2E65"/>
    <w:rsid w:val="00FC3EB1"/>
    <w:rsid w:val="00FC71AC"/>
    <w:rsid w:val="00FD10F9"/>
    <w:rsid w:val="00FE2004"/>
    <w:rsid w:val="00FF4536"/>
    <w:rsid w:val="00FF7A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15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B8A"/>
    <w:rPr>
      <w:rFonts w:ascii="Arial" w:hAnsi="Arial"/>
      <w:sz w:val="24"/>
    </w:rPr>
  </w:style>
  <w:style w:type="paragraph" w:styleId="Heading1">
    <w:name w:val="heading 1"/>
    <w:basedOn w:val="Normal"/>
    <w:next w:val="Normal"/>
    <w:link w:val="Heading1Char"/>
    <w:uiPriority w:val="9"/>
    <w:qFormat/>
    <w:rsid w:val="00EF70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F70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F70A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70A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F70AA"/>
    <w:rPr>
      <w:rFonts w:asciiTheme="majorHAnsi" w:eastAsiaTheme="majorEastAsia" w:hAnsiTheme="majorHAnsi" w:cstheme="majorBidi"/>
      <w:b/>
      <w:bCs/>
      <w:color w:val="4F81BD" w:themeColor="accent1"/>
      <w:sz w:val="26"/>
      <w:szCs w:val="26"/>
    </w:rPr>
  </w:style>
  <w:style w:type="paragraph" w:customStyle="1" w:styleId="Default">
    <w:name w:val="Default"/>
    <w:rsid w:val="00EF70AA"/>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EF70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F70AA"/>
    <w:rPr>
      <w:rFonts w:asciiTheme="majorHAnsi" w:eastAsiaTheme="majorEastAsia" w:hAnsiTheme="majorHAnsi" w:cstheme="majorBidi"/>
      <w:b/>
      <w:bCs/>
      <w:color w:val="4F81BD" w:themeColor="accent1"/>
      <w:sz w:val="24"/>
    </w:rPr>
  </w:style>
  <w:style w:type="character" w:customStyle="1" w:styleId="ListParagraphChar">
    <w:name w:val="List Paragraph Char"/>
    <w:aliases w:val="Dot pt Char,List Paragraph Char Char Char Char,Indicator Text Char,List Paragraph1 Char,No Spacing1 Char,Bullet 1 Char,Numbered Para 1 Char,List Paragraph12 Char,Bullet Points Char,Bullet Style Char,MAIN CONTENT Char"/>
    <w:basedOn w:val="DefaultParagraphFont"/>
    <w:link w:val="ListParagraph"/>
    <w:uiPriority w:val="34"/>
    <w:locked/>
    <w:rsid w:val="00046AC3"/>
    <w:rPr>
      <w:rFonts w:ascii="Calibri" w:hAnsi="Calibri" w:cs="Calibri"/>
    </w:rPr>
  </w:style>
  <w:style w:type="paragraph" w:styleId="ListParagraph">
    <w:name w:val="List Paragraph"/>
    <w:aliases w:val="Dot pt,List Paragraph Char Char Char,Indicator Text,List Paragraph1,No Spacing1,Bullet 1,Numbered Para 1,List Paragraph12,Bullet Points,Bullet Style,MAIN CONTENT,F5 List Paragraph,Colorful List - Accent 11,Normal numbered,List Paragraph2"/>
    <w:basedOn w:val="Normal"/>
    <w:link w:val="ListParagraphChar"/>
    <w:uiPriority w:val="34"/>
    <w:qFormat/>
    <w:rsid w:val="00046AC3"/>
    <w:pPr>
      <w:spacing w:after="0" w:line="240" w:lineRule="auto"/>
      <w:ind w:left="720"/>
    </w:pPr>
    <w:rPr>
      <w:rFonts w:ascii="Calibri" w:hAnsi="Calibri" w:cs="Calibri"/>
      <w:sz w:val="22"/>
    </w:rPr>
  </w:style>
  <w:style w:type="paragraph" w:styleId="BalloonText">
    <w:name w:val="Balloon Text"/>
    <w:basedOn w:val="Normal"/>
    <w:link w:val="BalloonTextChar"/>
    <w:uiPriority w:val="99"/>
    <w:semiHidden/>
    <w:unhideWhenUsed/>
    <w:rsid w:val="005435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59C"/>
    <w:rPr>
      <w:rFonts w:ascii="Tahoma" w:hAnsi="Tahoma" w:cs="Tahoma"/>
      <w:sz w:val="16"/>
      <w:szCs w:val="16"/>
    </w:rPr>
  </w:style>
  <w:style w:type="character" w:styleId="CommentReference">
    <w:name w:val="annotation reference"/>
    <w:basedOn w:val="DefaultParagraphFont"/>
    <w:uiPriority w:val="99"/>
    <w:semiHidden/>
    <w:unhideWhenUsed/>
    <w:rsid w:val="0054359C"/>
    <w:rPr>
      <w:sz w:val="16"/>
      <w:szCs w:val="16"/>
    </w:rPr>
  </w:style>
  <w:style w:type="paragraph" w:styleId="CommentText">
    <w:name w:val="annotation text"/>
    <w:basedOn w:val="Normal"/>
    <w:link w:val="CommentTextChar"/>
    <w:uiPriority w:val="99"/>
    <w:semiHidden/>
    <w:unhideWhenUsed/>
    <w:rsid w:val="0054359C"/>
    <w:pPr>
      <w:spacing w:line="240" w:lineRule="auto"/>
    </w:pPr>
    <w:rPr>
      <w:sz w:val="20"/>
      <w:szCs w:val="20"/>
    </w:rPr>
  </w:style>
  <w:style w:type="character" w:customStyle="1" w:styleId="CommentTextChar">
    <w:name w:val="Comment Text Char"/>
    <w:basedOn w:val="DefaultParagraphFont"/>
    <w:link w:val="CommentText"/>
    <w:uiPriority w:val="99"/>
    <w:semiHidden/>
    <w:rsid w:val="0054359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4359C"/>
    <w:rPr>
      <w:b/>
      <w:bCs/>
    </w:rPr>
  </w:style>
  <w:style w:type="character" w:customStyle="1" w:styleId="CommentSubjectChar">
    <w:name w:val="Comment Subject Char"/>
    <w:basedOn w:val="CommentTextChar"/>
    <w:link w:val="CommentSubject"/>
    <w:uiPriority w:val="99"/>
    <w:semiHidden/>
    <w:rsid w:val="0054359C"/>
    <w:rPr>
      <w:rFonts w:ascii="Arial" w:hAnsi="Arial"/>
      <w:b/>
      <w:bCs/>
      <w:sz w:val="20"/>
      <w:szCs w:val="20"/>
    </w:rPr>
  </w:style>
  <w:style w:type="paragraph" w:styleId="Caption">
    <w:name w:val="caption"/>
    <w:basedOn w:val="Normal"/>
    <w:next w:val="Normal"/>
    <w:uiPriority w:val="35"/>
    <w:unhideWhenUsed/>
    <w:qFormat/>
    <w:rsid w:val="00FF4536"/>
    <w:pPr>
      <w:spacing w:line="240" w:lineRule="auto"/>
    </w:pPr>
    <w:rPr>
      <w:b/>
      <w:bCs/>
      <w:color w:val="4F81BD" w:themeColor="accent1"/>
      <w:sz w:val="18"/>
      <w:szCs w:val="18"/>
    </w:rPr>
  </w:style>
  <w:style w:type="paragraph" w:styleId="Header">
    <w:name w:val="header"/>
    <w:basedOn w:val="Normal"/>
    <w:link w:val="HeaderChar"/>
    <w:uiPriority w:val="99"/>
    <w:unhideWhenUsed/>
    <w:rsid w:val="009F47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4727"/>
    <w:rPr>
      <w:rFonts w:ascii="Arial" w:hAnsi="Arial"/>
      <w:sz w:val="24"/>
    </w:rPr>
  </w:style>
  <w:style w:type="paragraph" w:styleId="Footer">
    <w:name w:val="footer"/>
    <w:basedOn w:val="Normal"/>
    <w:link w:val="FooterChar"/>
    <w:uiPriority w:val="99"/>
    <w:unhideWhenUsed/>
    <w:rsid w:val="009F47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4727"/>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B8A"/>
    <w:rPr>
      <w:rFonts w:ascii="Arial" w:hAnsi="Arial"/>
      <w:sz w:val="24"/>
    </w:rPr>
  </w:style>
  <w:style w:type="paragraph" w:styleId="Heading1">
    <w:name w:val="heading 1"/>
    <w:basedOn w:val="Normal"/>
    <w:next w:val="Normal"/>
    <w:link w:val="Heading1Char"/>
    <w:uiPriority w:val="9"/>
    <w:qFormat/>
    <w:rsid w:val="00EF70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F70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F70A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70A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F70AA"/>
    <w:rPr>
      <w:rFonts w:asciiTheme="majorHAnsi" w:eastAsiaTheme="majorEastAsia" w:hAnsiTheme="majorHAnsi" w:cstheme="majorBidi"/>
      <w:b/>
      <w:bCs/>
      <w:color w:val="4F81BD" w:themeColor="accent1"/>
      <w:sz w:val="26"/>
      <w:szCs w:val="26"/>
    </w:rPr>
  </w:style>
  <w:style w:type="paragraph" w:customStyle="1" w:styleId="Default">
    <w:name w:val="Default"/>
    <w:rsid w:val="00EF70AA"/>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EF70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F70AA"/>
    <w:rPr>
      <w:rFonts w:asciiTheme="majorHAnsi" w:eastAsiaTheme="majorEastAsia" w:hAnsiTheme="majorHAnsi" w:cstheme="majorBidi"/>
      <w:b/>
      <w:bCs/>
      <w:color w:val="4F81BD" w:themeColor="accent1"/>
      <w:sz w:val="24"/>
    </w:rPr>
  </w:style>
  <w:style w:type="character" w:customStyle="1" w:styleId="ListParagraphChar">
    <w:name w:val="List Paragraph Char"/>
    <w:aliases w:val="Dot pt Char,List Paragraph Char Char Char Char,Indicator Text Char,List Paragraph1 Char,No Spacing1 Char,Bullet 1 Char,Numbered Para 1 Char,List Paragraph12 Char,Bullet Points Char,Bullet Style Char,MAIN CONTENT Char"/>
    <w:basedOn w:val="DefaultParagraphFont"/>
    <w:link w:val="ListParagraph"/>
    <w:uiPriority w:val="34"/>
    <w:locked/>
    <w:rsid w:val="00046AC3"/>
    <w:rPr>
      <w:rFonts w:ascii="Calibri" w:hAnsi="Calibri" w:cs="Calibri"/>
    </w:rPr>
  </w:style>
  <w:style w:type="paragraph" w:styleId="ListParagraph">
    <w:name w:val="List Paragraph"/>
    <w:aliases w:val="Dot pt,List Paragraph Char Char Char,Indicator Text,List Paragraph1,No Spacing1,Bullet 1,Numbered Para 1,List Paragraph12,Bullet Points,Bullet Style,MAIN CONTENT,F5 List Paragraph,Colorful List - Accent 11,Normal numbered,List Paragraph2"/>
    <w:basedOn w:val="Normal"/>
    <w:link w:val="ListParagraphChar"/>
    <w:uiPriority w:val="34"/>
    <w:qFormat/>
    <w:rsid w:val="00046AC3"/>
    <w:pPr>
      <w:spacing w:after="0" w:line="240" w:lineRule="auto"/>
      <w:ind w:left="720"/>
    </w:pPr>
    <w:rPr>
      <w:rFonts w:ascii="Calibri" w:hAnsi="Calibri" w:cs="Calibri"/>
      <w:sz w:val="22"/>
    </w:rPr>
  </w:style>
  <w:style w:type="paragraph" w:styleId="BalloonText">
    <w:name w:val="Balloon Text"/>
    <w:basedOn w:val="Normal"/>
    <w:link w:val="BalloonTextChar"/>
    <w:uiPriority w:val="99"/>
    <w:semiHidden/>
    <w:unhideWhenUsed/>
    <w:rsid w:val="005435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59C"/>
    <w:rPr>
      <w:rFonts w:ascii="Tahoma" w:hAnsi="Tahoma" w:cs="Tahoma"/>
      <w:sz w:val="16"/>
      <w:szCs w:val="16"/>
    </w:rPr>
  </w:style>
  <w:style w:type="character" w:styleId="CommentReference">
    <w:name w:val="annotation reference"/>
    <w:basedOn w:val="DefaultParagraphFont"/>
    <w:uiPriority w:val="99"/>
    <w:semiHidden/>
    <w:unhideWhenUsed/>
    <w:rsid w:val="0054359C"/>
    <w:rPr>
      <w:sz w:val="16"/>
      <w:szCs w:val="16"/>
    </w:rPr>
  </w:style>
  <w:style w:type="paragraph" w:styleId="CommentText">
    <w:name w:val="annotation text"/>
    <w:basedOn w:val="Normal"/>
    <w:link w:val="CommentTextChar"/>
    <w:uiPriority w:val="99"/>
    <w:semiHidden/>
    <w:unhideWhenUsed/>
    <w:rsid w:val="0054359C"/>
    <w:pPr>
      <w:spacing w:line="240" w:lineRule="auto"/>
    </w:pPr>
    <w:rPr>
      <w:sz w:val="20"/>
      <w:szCs w:val="20"/>
    </w:rPr>
  </w:style>
  <w:style w:type="character" w:customStyle="1" w:styleId="CommentTextChar">
    <w:name w:val="Comment Text Char"/>
    <w:basedOn w:val="DefaultParagraphFont"/>
    <w:link w:val="CommentText"/>
    <w:uiPriority w:val="99"/>
    <w:semiHidden/>
    <w:rsid w:val="0054359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4359C"/>
    <w:rPr>
      <w:b/>
      <w:bCs/>
    </w:rPr>
  </w:style>
  <w:style w:type="character" w:customStyle="1" w:styleId="CommentSubjectChar">
    <w:name w:val="Comment Subject Char"/>
    <w:basedOn w:val="CommentTextChar"/>
    <w:link w:val="CommentSubject"/>
    <w:uiPriority w:val="99"/>
    <w:semiHidden/>
    <w:rsid w:val="0054359C"/>
    <w:rPr>
      <w:rFonts w:ascii="Arial" w:hAnsi="Arial"/>
      <w:b/>
      <w:bCs/>
      <w:sz w:val="20"/>
      <w:szCs w:val="20"/>
    </w:rPr>
  </w:style>
  <w:style w:type="paragraph" w:styleId="Caption">
    <w:name w:val="caption"/>
    <w:basedOn w:val="Normal"/>
    <w:next w:val="Normal"/>
    <w:uiPriority w:val="35"/>
    <w:unhideWhenUsed/>
    <w:qFormat/>
    <w:rsid w:val="00FF4536"/>
    <w:pPr>
      <w:spacing w:line="240" w:lineRule="auto"/>
    </w:pPr>
    <w:rPr>
      <w:b/>
      <w:bCs/>
      <w:color w:val="4F81BD" w:themeColor="accent1"/>
      <w:sz w:val="18"/>
      <w:szCs w:val="18"/>
    </w:rPr>
  </w:style>
  <w:style w:type="paragraph" w:styleId="Header">
    <w:name w:val="header"/>
    <w:basedOn w:val="Normal"/>
    <w:link w:val="HeaderChar"/>
    <w:uiPriority w:val="99"/>
    <w:unhideWhenUsed/>
    <w:rsid w:val="009F47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4727"/>
    <w:rPr>
      <w:rFonts w:ascii="Arial" w:hAnsi="Arial"/>
      <w:sz w:val="24"/>
    </w:rPr>
  </w:style>
  <w:style w:type="paragraph" w:styleId="Footer">
    <w:name w:val="footer"/>
    <w:basedOn w:val="Normal"/>
    <w:link w:val="FooterChar"/>
    <w:uiPriority w:val="99"/>
    <w:unhideWhenUsed/>
    <w:rsid w:val="009F47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4727"/>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960699">
      <w:bodyDiv w:val="1"/>
      <w:marLeft w:val="0"/>
      <w:marRight w:val="0"/>
      <w:marTop w:val="0"/>
      <w:marBottom w:val="0"/>
      <w:divBdr>
        <w:top w:val="none" w:sz="0" w:space="0" w:color="auto"/>
        <w:left w:val="none" w:sz="0" w:space="0" w:color="auto"/>
        <w:bottom w:val="none" w:sz="0" w:space="0" w:color="auto"/>
        <w:right w:val="none" w:sz="0" w:space="0" w:color="auto"/>
      </w:divBdr>
    </w:div>
    <w:div w:id="156531550">
      <w:bodyDiv w:val="1"/>
      <w:marLeft w:val="0"/>
      <w:marRight w:val="0"/>
      <w:marTop w:val="0"/>
      <w:marBottom w:val="0"/>
      <w:divBdr>
        <w:top w:val="none" w:sz="0" w:space="0" w:color="auto"/>
        <w:left w:val="none" w:sz="0" w:space="0" w:color="auto"/>
        <w:bottom w:val="none" w:sz="0" w:space="0" w:color="auto"/>
        <w:right w:val="none" w:sz="0" w:space="0" w:color="auto"/>
      </w:divBdr>
    </w:div>
    <w:div w:id="718482256">
      <w:bodyDiv w:val="1"/>
      <w:marLeft w:val="0"/>
      <w:marRight w:val="0"/>
      <w:marTop w:val="0"/>
      <w:marBottom w:val="0"/>
      <w:divBdr>
        <w:top w:val="none" w:sz="0" w:space="0" w:color="auto"/>
        <w:left w:val="none" w:sz="0" w:space="0" w:color="auto"/>
        <w:bottom w:val="none" w:sz="0" w:space="0" w:color="auto"/>
        <w:right w:val="none" w:sz="0" w:space="0" w:color="auto"/>
      </w:divBdr>
    </w:div>
    <w:div w:id="752093417">
      <w:bodyDiv w:val="1"/>
      <w:marLeft w:val="0"/>
      <w:marRight w:val="0"/>
      <w:marTop w:val="0"/>
      <w:marBottom w:val="0"/>
      <w:divBdr>
        <w:top w:val="none" w:sz="0" w:space="0" w:color="auto"/>
        <w:left w:val="none" w:sz="0" w:space="0" w:color="auto"/>
        <w:bottom w:val="none" w:sz="0" w:space="0" w:color="auto"/>
        <w:right w:val="none" w:sz="0" w:space="0" w:color="auto"/>
      </w:divBdr>
    </w:div>
    <w:div w:id="985164689">
      <w:bodyDiv w:val="1"/>
      <w:marLeft w:val="0"/>
      <w:marRight w:val="0"/>
      <w:marTop w:val="0"/>
      <w:marBottom w:val="0"/>
      <w:divBdr>
        <w:top w:val="none" w:sz="0" w:space="0" w:color="auto"/>
        <w:left w:val="none" w:sz="0" w:space="0" w:color="auto"/>
        <w:bottom w:val="none" w:sz="0" w:space="0" w:color="auto"/>
        <w:right w:val="none" w:sz="0" w:space="0" w:color="auto"/>
      </w:divBdr>
    </w:div>
    <w:div w:id="1435635678">
      <w:bodyDiv w:val="1"/>
      <w:marLeft w:val="0"/>
      <w:marRight w:val="0"/>
      <w:marTop w:val="0"/>
      <w:marBottom w:val="0"/>
      <w:divBdr>
        <w:top w:val="none" w:sz="0" w:space="0" w:color="auto"/>
        <w:left w:val="none" w:sz="0" w:space="0" w:color="auto"/>
        <w:bottom w:val="none" w:sz="0" w:space="0" w:color="auto"/>
        <w:right w:val="none" w:sz="0" w:space="0" w:color="auto"/>
      </w:divBdr>
    </w:div>
    <w:div w:id="1945111056">
      <w:bodyDiv w:val="1"/>
      <w:marLeft w:val="0"/>
      <w:marRight w:val="0"/>
      <w:marTop w:val="0"/>
      <w:marBottom w:val="0"/>
      <w:divBdr>
        <w:top w:val="none" w:sz="0" w:space="0" w:color="auto"/>
        <w:left w:val="none" w:sz="0" w:space="0" w:color="auto"/>
        <w:bottom w:val="none" w:sz="0" w:space="0" w:color="auto"/>
        <w:right w:val="none" w:sz="0" w:space="0" w:color="auto"/>
      </w:divBdr>
    </w:div>
    <w:div w:id="1976713868">
      <w:bodyDiv w:val="1"/>
      <w:marLeft w:val="0"/>
      <w:marRight w:val="0"/>
      <w:marTop w:val="0"/>
      <w:marBottom w:val="0"/>
      <w:divBdr>
        <w:top w:val="none" w:sz="0" w:space="0" w:color="auto"/>
        <w:left w:val="none" w:sz="0" w:space="0" w:color="auto"/>
        <w:bottom w:val="none" w:sz="0" w:space="0" w:color="auto"/>
        <w:right w:val="none" w:sz="0" w:space="0" w:color="auto"/>
      </w:divBdr>
    </w:div>
    <w:div w:id="205206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C368F-9F9D-4543-B763-FB38576F4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65361851</Template>
  <TotalTime>1</TotalTime>
  <Pages>6</Pages>
  <Words>1877</Words>
  <Characters>10439</Characters>
  <Application>Microsoft Office Word</Application>
  <DocSecurity>4</DocSecurity>
  <Lines>453</Lines>
  <Paragraphs>332</Paragraphs>
  <ScaleCrop>false</ScaleCrop>
  <HeadingPairs>
    <vt:vector size="2" baseType="variant">
      <vt:variant>
        <vt:lpstr>Title</vt:lpstr>
      </vt:variant>
      <vt:variant>
        <vt:i4>1</vt:i4>
      </vt:variant>
    </vt:vector>
  </HeadingPairs>
  <TitlesOfParts>
    <vt:vector size="1" baseType="lpstr">
      <vt:lpstr/>
    </vt:vector>
  </TitlesOfParts>
  <Company>Environment Agency</Company>
  <LinksUpToDate>false</LinksUpToDate>
  <CharactersWithSpaces>11984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cmocke</dc:creator>
  <cp:lastModifiedBy>Alan Edwards</cp:lastModifiedBy>
  <cp:revision>2</cp:revision>
  <cp:lastPrinted>2016-10-07T13:00:00Z</cp:lastPrinted>
  <dcterms:created xsi:type="dcterms:W3CDTF">2016-10-07T14:20:00Z</dcterms:created>
  <dcterms:modified xsi:type="dcterms:W3CDTF">2016-10-07T14:20:00Z</dcterms:modified>
</cp:coreProperties>
</file>