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B0" w:rsidRPr="001122F2" w:rsidRDefault="00AE17B0" w:rsidP="003D5DF6">
      <w:pPr>
        <w:spacing w:line="276" w:lineRule="auto"/>
        <w:rPr>
          <w:rFonts w:cs="Arial"/>
        </w:rPr>
      </w:pPr>
    </w:p>
    <w:p w:rsidR="00AE17B0" w:rsidRPr="001122F2" w:rsidRDefault="00AE17B0" w:rsidP="003D5DF6">
      <w:pPr>
        <w:spacing w:line="276" w:lineRule="auto"/>
        <w:rPr>
          <w:rFonts w:cs="Arial"/>
        </w:rPr>
      </w:pPr>
      <w:r w:rsidRPr="001122F2">
        <w:rPr>
          <w:rFonts w:cs="Arial"/>
          <w:noProof/>
          <w:lang w:eastAsia="en-GB"/>
        </w:rPr>
        <w:drawing>
          <wp:anchor distT="0" distB="0" distL="114300" distR="114300" simplePos="0" relativeHeight="251659264" behindDoc="1" locked="0" layoutInCell="1" allowOverlap="1" wp14:anchorId="0D1E6410" wp14:editId="61F1700F">
            <wp:simplePos x="0" y="0"/>
            <wp:positionH relativeFrom="column">
              <wp:posOffset>4953635</wp:posOffset>
            </wp:positionH>
            <wp:positionV relativeFrom="paragraph">
              <wp:posOffset>-563245</wp:posOffset>
            </wp:positionV>
            <wp:extent cx="1370330" cy="655320"/>
            <wp:effectExtent l="0" t="0" r="1270" b="0"/>
            <wp:wrapTight wrapText="bothSides">
              <wp:wrapPolygon edited="0">
                <wp:start x="0" y="0"/>
                <wp:lineTo x="0" y="20721"/>
                <wp:lineTo x="21320" y="20721"/>
                <wp:lineTo x="21320"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330" cy="6553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108" w:type="dxa"/>
        <w:tblBorders>
          <w:insideH w:val="single" w:sz="4" w:space="0" w:color="auto"/>
        </w:tblBorders>
        <w:tblLayout w:type="fixed"/>
        <w:tblLook w:val="0000" w:firstRow="0" w:lastRow="0" w:firstColumn="0" w:lastColumn="0" w:noHBand="0" w:noVBand="0"/>
      </w:tblPr>
      <w:tblGrid>
        <w:gridCol w:w="1418"/>
        <w:gridCol w:w="2551"/>
        <w:gridCol w:w="1276"/>
        <w:gridCol w:w="2410"/>
        <w:gridCol w:w="1134"/>
        <w:gridCol w:w="709"/>
      </w:tblGrid>
      <w:tr w:rsidR="00AE17B0" w:rsidRPr="001122F2" w:rsidTr="00AE17B0">
        <w:trPr>
          <w:cantSplit/>
        </w:trPr>
        <w:tc>
          <w:tcPr>
            <w:tcW w:w="9498" w:type="dxa"/>
            <w:gridSpan w:val="6"/>
            <w:tcBorders>
              <w:top w:val="nil"/>
              <w:bottom w:val="nil"/>
            </w:tcBorders>
          </w:tcPr>
          <w:p w:rsidR="00AE17B0" w:rsidRPr="001122F2" w:rsidRDefault="00AE17B0" w:rsidP="003D5DF6">
            <w:pPr>
              <w:pStyle w:val="algHeading1"/>
              <w:spacing w:before="0" w:after="0" w:line="276" w:lineRule="auto"/>
              <w:ind w:left="0"/>
              <w:rPr>
                <w:rFonts w:cs="Arial"/>
                <w:sz w:val="52"/>
              </w:rPr>
            </w:pPr>
            <w:r w:rsidRPr="001122F2">
              <w:rPr>
                <w:rFonts w:cs="Arial"/>
                <w:sz w:val="52"/>
              </w:rPr>
              <w:t>Leaders’ Committee</w:t>
            </w:r>
          </w:p>
        </w:tc>
      </w:tr>
      <w:tr w:rsidR="00AE17B0" w:rsidRPr="001122F2" w:rsidTr="00AE17B0">
        <w:trPr>
          <w:cantSplit/>
        </w:trPr>
        <w:tc>
          <w:tcPr>
            <w:tcW w:w="9498" w:type="dxa"/>
            <w:gridSpan w:val="6"/>
            <w:tcBorders>
              <w:top w:val="nil"/>
              <w:bottom w:val="nil"/>
            </w:tcBorders>
          </w:tcPr>
          <w:p w:rsidR="00AE17B0" w:rsidRPr="001122F2" w:rsidRDefault="00AE17B0" w:rsidP="003D5DF6">
            <w:pPr>
              <w:pStyle w:val="Spacer"/>
              <w:spacing w:line="276" w:lineRule="auto"/>
              <w:ind w:left="0"/>
              <w:rPr>
                <w:rFonts w:cs="Arial"/>
                <w:sz w:val="22"/>
              </w:rPr>
            </w:pPr>
          </w:p>
        </w:tc>
      </w:tr>
      <w:tr w:rsidR="00AE17B0" w:rsidRPr="001122F2" w:rsidTr="003379FB">
        <w:trPr>
          <w:cantSplit/>
        </w:trPr>
        <w:tc>
          <w:tcPr>
            <w:tcW w:w="7655" w:type="dxa"/>
            <w:gridSpan w:val="4"/>
            <w:tcBorders>
              <w:top w:val="nil"/>
              <w:bottom w:val="nil"/>
            </w:tcBorders>
          </w:tcPr>
          <w:p w:rsidR="00AE17B0" w:rsidRPr="001122F2" w:rsidRDefault="009A6EBB" w:rsidP="003D5DF6">
            <w:pPr>
              <w:pStyle w:val="Default"/>
              <w:spacing w:line="276" w:lineRule="auto"/>
              <w:rPr>
                <w:sz w:val="40"/>
                <w:szCs w:val="40"/>
              </w:rPr>
            </w:pPr>
            <w:r>
              <w:rPr>
                <w:bCs/>
                <w:sz w:val="40"/>
                <w:szCs w:val="40"/>
              </w:rPr>
              <w:t xml:space="preserve">Business </w:t>
            </w:r>
            <w:r w:rsidR="003D5DF6">
              <w:rPr>
                <w:bCs/>
                <w:sz w:val="40"/>
                <w:szCs w:val="40"/>
              </w:rPr>
              <w:t>r</w:t>
            </w:r>
            <w:r>
              <w:rPr>
                <w:bCs/>
                <w:sz w:val="40"/>
                <w:szCs w:val="40"/>
              </w:rPr>
              <w:t xml:space="preserve">ates </w:t>
            </w:r>
            <w:r w:rsidR="003D5DF6">
              <w:rPr>
                <w:bCs/>
                <w:sz w:val="40"/>
                <w:szCs w:val="40"/>
              </w:rPr>
              <w:t>d</w:t>
            </w:r>
            <w:r>
              <w:rPr>
                <w:bCs/>
                <w:sz w:val="40"/>
                <w:szCs w:val="40"/>
              </w:rPr>
              <w:t>evolution</w:t>
            </w:r>
            <w:r w:rsidR="00B82284">
              <w:rPr>
                <w:bCs/>
                <w:sz w:val="40"/>
                <w:szCs w:val="40"/>
              </w:rPr>
              <w:t xml:space="preserve"> </w:t>
            </w:r>
          </w:p>
        </w:tc>
        <w:tc>
          <w:tcPr>
            <w:tcW w:w="1134" w:type="dxa"/>
            <w:tcBorders>
              <w:top w:val="nil"/>
              <w:bottom w:val="nil"/>
            </w:tcBorders>
          </w:tcPr>
          <w:p w:rsidR="00AE17B0" w:rsidRPr="001122F2" w:rsidRDefault="00AE17B0" w:rsidP="003D5DF6">
            <w:pPr>
              <w:pStyle w:val="algHeading2"/>
              <w:spacing w:line="276" w:lineRule="auto"/>
              <w:jc w:val="left"/>
              <w:rPr>
                <w:b w:val="0"/>
                <w:sz w:val="40"/>
                <w:szCs w:val="40"/>
              </w:rPr>
            </w:pPr>
            <w:r w:rsidRPr="001122F2">
              <w:rPr>
                <w:b w:val="0"/>
                <w:sz w:val="40"/>
                <w:szCs w:val="40"/>
              </w:rPr>
              <w:t>Item</w:t>
            </w:r>
          </w:p>
        </w:tc>
        <w:tc>
          <w:tcPr>
            <w:tcW w:w="709" w:type="dxa"/>
            <w:tcBorders>
              <w:top w:val="nil"/>
              <w:bottom w:val="nil"/>
            </w:tcBorders>
          </w:tcPr>
          <w:p w:rsidR="00AE17B0" w:rsidRPr="001122F2" w:rsidRDefault="0037161A" w:rsidP="003D5DF6">
            <w:pPr>
              <w:pStyle w:val="algHeading2"/>
              <w:spacing w:line="276" w:lineRule="auto"/>
              <w:jc w:val="left"/>
              <w:rPr>
                <w:b w:val="0"/>
                <w:sz w:val="40"/>
                <w:szCs w:val="40"/>
              </w:rPr>
            </w:pPr>
            <w:r>
              <w:rPr>
                <w:b w:val="0"/>
                <w:sz w:val="40"/>
                <w:szCs w:val="40"/>
              </w:rPr>
              <w:t>6</w:t>
            </w:r>
          </w:p>
        </w:tc>
      </w:tr>
      <w:tr w:rsidR="00AE17B0" w:rsidRPr="001122F2" w:rsidTr="00AE17B0">
        <w:trPr>
          <w:cantSplit/>
        </w:trPr>
        <w:tc>
          <w:tcPr>
            <w:tcW w:w="9498" w:type="dxa"/>
            <w:gridSpan w:val="6"/>
            <w:tcBorders>
              <w:top w:val="nil"/>
              <w:bottom w:val="nil"/>
            </w:tcBorders>
          </w:tcPr>
          <w:p w:rsidR="00AE17B0" w:rsidRPr="001122F2" w:rsidRDefault="00AE17B0" w:rsidP="003D5DF6">
            <w:pPr>
              <w:pStyle w:val="Spacer"/>
              <w:spacing w:line="276" w:lineRule="auto"/>
              <w:ind w:left="0"/>
              <w:rPr>
                <w:rFonts w:cs="Arial"/>
                <w:sz w:val="22"/>
              </w:rPr>
            </w:pPr>
          </w:p>
        </w:tc>
      </w:tr>
      <w:tr w:rsidR="00AE17B0" w:rsidRPr="001122F2" w:rsidTr="00AE17B0">
        <w:trPr>
          <w:cantSplit/>
        </w:trPr>
        <w:tc>
          <w:tcPr>
            <w:tcW w:w="1418" w:type="dxa"/>
            <w:tcBorders>
              <w:top w:val="nil"/>
              <w:bottom w:val="nil"/>
              <w:right w:val="nil"/>
            </w:tcBorders>
          </w:tcPr>
          <w:p w:rsidR="00AE17B0" w:rsidRPr="001122F2" w:rsidRDefault="00AE17B0" w:rsidP="003D5DF6">
            <w:pPr>
              <w:pStyle w:val="algFormBold"/>
              <w:spacing w:before="0" w:after="0" w:line="276" w:lineRule="auto"/>
              <w:ind w:left="0"/>
              <w:rPr>
                <w:rFonts w:cs="Arial"/>
                <w:noProof/>
              </w:rPr>
            </w:pPr>
            <w:r w:rsidRPr="001122F2">
              <w:rPr>
                <w:rFonts w:cs="Arial"/>
                <w:noProof/>
              </w:rPr>
              <w:t>Report by:</w:t>
            </w:r>
          </w:p>
        </w:tc>
        <w:tc>
          <w:tcPr>
            <w:tcW w:w="2551" w:type="dxa"/>
            <w:tcBorders>
              <w:top w:val="nil"/>
              <w:left w:val="nil"/>
              <w:bottom w:val="nil"/>
              <w:right w:val="nil"/>
            </w:tcBorders>
          </w:tcPr>
          <w:p w:rsidR="00AE17B0" w:rsidRPr="001122F2" w:rsidRDefault="00AE17B0" w:rsidP="003D5DF6">
            <w:pPr>
              <w:pStyle w:val="algForm"/>
              <w:spacing w:before="0" w:after="0" w:line="276" w:lineRule="auto"/>
              <w:rPr>
                <w:rFonts w:cs="Arial"/>
                <w:noProof/>
              </w:rPr>
            </w:pPr>
            <w:r w:rsidRPr="001122F2">
              <w:rPr>
                <w:rFonts w:cs="Arial"/>
                <w:noProof/>
              </w:rPr>
              <w:t>Paul Honeyben</w:t>
            </w:r>
          </w:p>
        </w:tc>
        <w:tc>
          <w:tcPr>
            <w:tcW w:w="1276" w:type="dxa"/>
            <w:tcBorders>
              <w:top w:val="nil"/>
              <w:left w:val="nil"/>
              <w:bottom w:val="nil"/>
              <w:right w:val="nil"/>
            </w:tcBorders>
          </w:tcPr>
          <w:p w:rsidR="00AE17B0" w:rsidRPr="001122F2" w:rsidRDefault="00AE17B0" w:rsidP="003D5DF6">
            <w:pPr>
              <w:pStyle w:val="algFormBold"/>
              <w:spacing w:before="0" w:after="0" w:line="276" w:lineRule="auto"/>
              <w:ind w:left="0"/>
              <w:rPr>
                <w:rFonts w:cs="Arial"/>
                <w:noProof/>
              </w:rPr>
            </w:pPr>
            <w:r w:rsidRPr="001122F2">
              <w:rPr>
                <w:rFonts w:cs="Arial"/>
                <w:noProof/>
              </w:rPr>
              <w:t>Job title:</w:t>
            </w:r>
          </w:p>
        </w:tc>
        <w:tc>
          <w:tcPr>
            <w:tcW w:w="4253" w:type="dxa"/>
            <w:gridSpan w:val="3"/>
            <w:tcBorders>
              <w:top w:val="nil"/>
              <w:left w:val="nil"/>
              <w:bottom w:val="nil"/>
            </w:tcBorders>
          </w:tcPr>
          <w:p w:rsidR="00AE17B0" w:rsidRPr="001122F2" w:rsidRDefault="00301E2B" w:rsidP="003D5DF6">
            <w:pPr>
              <w:pStyle w:val="algForm"/>
              <w:spacing w:before="0" w:after="0" w:line="276" w:lineRule="auto"/>
              <w:rPr>
                <w:rFonts w:cs="Arial"/>
              </w:rPr>
            </w:pPr>
            <w:r w:rsidRPr="001122F2">
              <w:rPr>
                <w:rFonts w:cs="Arial"/>
              </w:rPr>
              <w:t>Strategic Lead: Finance, Performance &amp; Procurement</w:t>
            </w:r>
          </w:p>
        </w:tc>
      </w:tr>
      <w:tr w:rsidR="00AE17B0" w:rsidRPr="001122F2" w:rsidTr="00AE17B0">
        <w:trPr>
          <w:cantSplit/>
        </w:trPr>
        <w:tc>
          <w:tcPr>
            <w:tcW w:w="1418" w:type="dxa"/>
            <w:tcBorders>
              <w:top w:val="nil"/>
              <w:bottom w:val="nil"/>
              <w:right w:val="nil"/>
            </w:tcBorders>
          </w:tcPr>
          <w:p w:rsidR="00AE17B0" w:rsidRPr="001122F2" w:rsidRDefault="00AE17B0" w:rsidP="003D5DF6">
            <w:pPr>
              <w:pStyle w:val="algFormBold"/>
              <w:spacing w:before="0" w:after="0" w:line="276" w:lineRule="auto"/>
              <w:ind w:left="0"/>
              <w:rPr>
                <w:rFonts w:cs="Arial"/>
                <w:noProof/>
              </w:rPr>
            </w:pPr>
            <w:r w:rsidRPr="001122F2">
              <w:rPr>
                <w:rFonts w:cs="Arial"/>
                <w:noProof/>
              </w:rPr>
              <w:t>Date:</w:t>
            </w:r>
          </w:p>
        </w:tc>
        <w:tc>
          <w:tcPr>
            <w:tcW w:w="8080" w:type="dxa"/>
            <w:gridSpan w:val="5"/>
            <w:tcBorders>
              <w:top w:val="nil"/>
              <w:left w:val="nil"/>
              <w:bottom w:val="nil"/>
            </w:tcBorders>
          </w:tcPr>
          <w:p w:rsidR="00AE17B0" w:rsidRPr="001122F2" w:rsidRDefault="009A6EBB" w:rsidP="003D5DF6">
            <w:pPr>
              <w:pStyle w:val="algForm"/>
              <w:spacing w:before="0" w:after="0" w:line="276" w:lineRule="auto"/>
              <w:rPr>
                <w:rFonts w:cs="Arial"/>
              </w:rPr>
            </w:pPr>
            <w:r>
              <w:rPr>
                <w:rFonts w:cs="Arial"/>
              </w:rPr>
              <w:t xml:space="preserve">09 October </w:t>
            </w:r>
            <w:r w:rsidR="00AE17B0" w:rsidRPr="001122F2">
              <w:rPr>
                <w:rFonts w:cs="Arial"/>
              </w:rPr>
              <w:t>2015</w:t>
            </w:r>
          </w:p>
        </w:tc>
      </w:tr>
      <w:tr w:rsidR="00AE17B0" w:rsidRPr="001122F2" w:rsidTr="00AE17B0">
        <w:trPr>
          <w:cantSplit/>
        </w:trPr>
        <w:tc>
          <w:tcPr>
            <w:tcW w:w="1418" w:type="dxa"/>
            <w:tcBorders>
              <w:top w:val="nil"/>
              <w:bottom w:val="nil"/>
              <w:right w:val="nil"/>
            </w:tcBorders>
          </w:tcPr>
          <w:p w:rsidR="00AE17B0" w:rsidRPr="001122F2" w:rsidRDefault="00AE17B0" w:rsidP="003D5DF6">
            <w:pPr>
              <w:pStyle w:val="algFormBold"/>
              <w:spacing w:before="0" w:after="0" w:line="276" w:lineRule="auto"/>
              <w:ind w:left="0"/>
              <w:rPr>
                <w:rFonts w:cs="Arial"/>
                <w:noProof/>
              </w:rPr>
            </w:pPr>
            <w:r w:rsidRPr="001122F2">
              <w:rPr>
                <w:rFonts w:cs="Arial"/>
                <w:noProof/>
              </w:rPr>
              <w:t>Contact Officer:</w:t>
            </w:r>
          </w:p>
        </w:tc>
        <w:tc>
          <w:tcPr>
            <w:tcW w:w="8080" w:type="dxa"/>
            <w:gridSpan w:val="5"/>
            <w:tcBorders>
              <w:top w:val="nil"/>
              <w:left w:val="nil"/>
              <w:bottom w:val="nil"/>
            </w:tcBorders>
          </w:tcPr>
          <w:p w:rsidR="00AE17B0" w:rsidRPr="001122F2" w:rsidRDefault="00AE17B0" w:rsidP="003D5DF6">
            <w:pPr>
              <w:pStyle w:val="algForm"/>
              <w:spacing w:before="0" w:after="0" w:line="276" w:lineRule="auto"/>
              <w:rPr>
                <w:rFonts w:cs="Arial"/>
                <w:noProof/>
              </w:rPr>
            </w:pPr>
            <w:r w:rsidRPr="001122F2">
              <w:rPr>
                <w:rFonts w:cs="Arial"/>
                <w:noProof/>
              </w:rPr>
              <w:t>Paul Honeyben</w:t>
            </w:r>
          </w:p>
        </w:tc>
      </w:tr>
      <w:tr w:rsidR="00AE17B0" w:rsidRPr="001122F2" w:rsidTr="00AE17B0">
        <w:trPr>
          <w:cantSplit/>
        </w:trPr>
        <w:tc>
          <w:tcPr>
            <w:tcW w:w="1418" w:type="dxa"/>
            <w:tcBorders>
              <w:top w:val="nil"/>
              <w:bottom w:val="nil"/>
              <w:right w:val="nil"/>
            </w:tcBorders>
          </w:tcPr>
          <w:p w:rsidR="00AE17B0" w:rsidRPr="001122F2" w:rsidRDefault="00AE17B0" w:rsidP="003D5DF6">
            <w:pPr>
              <w:pStyle w:val="algFormBold"/>
              <w:spacing w:before="0" w:after="0" w:line="276" w:lineRule="auto"/>
              <w:ind w:left="0"/>
              <w:rPr>
                <w:rFonts w:cs="Arial"/>
                <w:noProof/>
              </w:rPr>
            </w:pPr>
            <w:r w:rsidRPr="001122F2">
              <w:rPr>
                <w:rFonts w:cs="Arial"/>
                <w:noProof/>
              </w:rPr>
              <w:t>Telephone:</w:t>
            </w:r>
          </w:p>
        </w:tc>
        <w:tc>
          <w:tcPr>
            <w:tcW w:w="2551" w:type="dxa"/>
            <w:tcBorders>
              <w:top w:val="nil"/>
              <w:left w:val="nil"/>
              <w:bottom w:val="nil"/>
              <w:right w:val="nil"/>
            </w:tcBorders>
          </w:tcPr>
          <w:p w:rsidR="00AE17B0" w:rsidRPr="001122F2" w:rsidRDefault="00AE17B0" w:rsidP="003D5DF6">
            <w:pPr>
              <w:pStyle w:val="algForm"/>
              <w:spacing w:before="0" w:after="0" w:line="276" w:lineRule="auto"/>
              <w:rPr>
                <w:rFonts w:cs="Arial"/>
                <w:noProof/>
              </w:rPr>
            </w:pPr>
            <w:r w:rsidRPr="001122F2">
              <w:rPr>
                <w:rFonts w:cs="Arial"/>
                <w:noProof/>
              </w:rPr>
              <w:t>0207 934 9748</w:t>
            </w:r>
          </w:p>
        </w:tc>
        <w:tc>
          <w:tcPr>
            <w:tcW w:w="5529" w:type="dxa"/>
            <w:gridSpan w:val="4"/>
            <w:tcBorders>
              <w:top w:val="nil"/>
              <w:left w:val="nil"/>
              <w:bottom w:val="nil"/>
              <w:right w:val="nil"/>
            </w:tcBorders>
          </w:tcPr>
          <w:p w:rsidR="00AE17B0" w:rsidRPr="001122F2" w:rsidRDefault="00AE17B0" w:rsidP="003D5DF6">
            <w:pPr>
              <w:pStyle w:val="algFormBold"/>
              <w:spacing w:before="0" w:after="0" w:line="276" w:lineRule="auto"/>
              <w:ind w:left="0"/>
              <w:rPr>
                <w:rFonts w:cs="Arial"/>
                <w:noProof/>
              </w:rPr>
            </w:pPr>
            <w:r w:rsidRPr="001122F2">
              <w:rPr>
                <w:rFonts w:cs="Arial"/>
                <w:noProof/>
              </w:rPr>
              <w:t xml:space="preserve">Email: </w:t>
            </w:r>
            <w:hyperlink r:id="rId10" w:history="1">
              <w:r w:rsidRPr="001122F2">
                <w:rPr>
                  <w:rStyle w:val="Hyperlink"/>
                  <w:rFonts w:cs="Arial"/>
                  <w:b w:val="0"/>
                  <w:noProof/>
                </w:rPr>
                <w:t>paul.honeyben@londoncouncils.gov.uk</w:t>
              </w:r>
            </w:hyperlink>
            <w:r w:rsidRPr="001122F2">
              <w:rPr>
                <w:rFonts w:cs="Arial"/>
                <w:b w:val="0"/>
                <w:noProof/>
              </w:rPr>
              <w:t xml:space="preserve"> </w:t>
            </w:r>
            <w:r w:rsidRPr="001122F2">
              <w:rPr>
                <w:rFonts w:cs="Arial"/>
                <w:noProof/>
              </w:rPr>
              <w:t xml:space="preserve"> </w:t>
            </w:r>
          </w:p>
        </w:tc>
      </w:tr>
      <w:tr w:rsidR="00AE17B0" w:rsidRPr="001122F2" w:rsidTr="00AE17B0">
        <w:trPr>
          <w:cantSplit/>
        </w:trPr>
        <w:tc>
          <w:tcPr>
            <w:tcW w:w="9498" w:type="dxa"/>
            <w:gridSpan w:val="6"/>
            <w:tcBorders>
              <w:top w:val="nil"/>
              <w:bottom w:val="single" w:sz="4" w:space="0" w:color="auto"/>
            </w:tcBorders>
          </w:tcPr>
          <w:p w:rsidR="00AE17B0" w:rsidRPr="001122F2" w:rsidRDefault="00AE17B0" w:rsidP="003D5DF6">
            <w:pPr>
              <w:pStyle w:val="Spacer"/>
              <w:spacing w:line="276" w:lineRule="auto"/>
              <w:rPr>
                <w:rFonts w:cs="Arial"/>
                <w:sz w:val="22"/>
              </w:rPr>
            </w:pPr>
          </w:p>
        </w:tc>
      </w:tr>
    </w:tbl>
    <w:p w:rsidR="00306FF8" w:rsidRPr="001122F2" w:rsidRDefault="00306FF8" w:rsidP="003D5DF6">
      <w:pPr>
        <w:spacing w:line="276" w:lineRule="auto"/>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375"/>
      </w:tblGrid>
      <w:tr w:rsidR="00306FF8" w:rsidRPr="001122F2" w:rsidTr="00B9614C">
        <w:trPr>
          <w:trHeight w:val="1134"/>
        </w:trPr>
        <w:tc>
          <w:tcPr>
            <w:tcW w:w="2231" w:type="dxa"/>
            <w:tcBorders>
              <w:top w:val="nil"/>
              <w:left w:val="nil"/>
              <w:bottom w:val="nil"/>
              <w:right w:val="nil"/>
            </w:tcBorders>
            <w:shd w:val="clear" w:color="auto" w:fill="auto"/>
          </w:tcPr>
          <w:p w:rsidR="00306FF8" w:rsidRPr="001122F2" w:rsidRDefault="00306FF8" w:rsidP="003D5DF6">
            <w:pPr>
              <w:spacing w:line="276" w:lineRule="auto"/>
              <w:rPr>
                <w:rFonts w:cs="Arial"/>
                <w:b/>
                <w:bCs/>
              </w:rPr>
            </w:pPr>
            <w:r w:rsidRPr="001122F2">
              <w:rPr>
                <w:rFonts w:cs="Arial"/>
                <w:b/>
                <w:bCs/>
              </w:rPr>
              <w:t>Summary</w:t>
            </w:r>
          </w:p>
        </w:tc>
        <w:tc>
          <w:tcPr>
            <w:tcW w:w="7375" w:type="dxa"/>
            <w:tcBorders>
              <w:top w:val="nil"/>
              <w:left w:val="nil"/>
              <w:bottom w:val="nil"/>
              <w:right w:val="nil"/>
            </w:tcBorders>
            <w:shd w:val="clear" w:color="auto" w:fill="auto"/>
          </w:tcPr>
          <w:p w:rsidR="003D5DF6" w:rsidRDefault="009A6EBB" w:rsidP="00362D8E">
            <w:pPr>
              <w:rPr>
                <w:rFonts w:cs="Arial"/>
              </w:rPr>
            </w:pPr>
            <w:r>
              <w:rPr>
                <w:rFonts w:cs="Arial"/>
              </w:rPr>
              <w:t>On 5 October the Chancellor</w:t>
            </w:r>
            <w:r w:rsidR="00CA4E94">
              <w:rPr>
                <w:rFonts w:cs="Arial"/>
              </w:rPr>
              <w:t xml:space="preserve"> of the Exchequer</w:t>
            </w:r>
            <w:r>
              <w:rPr>
                <w:rFonts w:cs="Arial"/>
              </w:rPr>
              <w:t xml:space="preserve"> announced substantial changes to the way </w:t>
            </w:r>
            <w:r w:rsidR="00BF7495">
              <w:rPr>
                <w:rFonts w:cs="Arial"/>
              </w:rPr>
              <w:t xml:space="preserve">local government will be funded by </w:t>
            </w:r>
            <w:r w:rsidR="003D5DF6">
              <w:rPr>
                <w:rFonts w:cs="Arial"/>
              </w:rPr>
              <w:t>the end of the current parliament (</w:t>
            </w:r>
            <w:r w:rsidR="00BF7495">
              <w:rPr>
                <w:rFonts w:cs="Arial"/>
              </w:rPr>
              <w:t>2020</w:t>
            </w:r>
            <w:r w:rsidR="003D5DF6">
              <w:rPr>
                <w:rFonts w:cs="Arial"/>
              </w:rPr>
              <w:t xml:space="preserve">). </w:t>
            </w:r>
            <w:bookmarkStart w:id="0" w:name="_GoBack"/>
            <w:bookmarkEnd w:id="0"/>
          </w:p>
          <w:p w:rsidR="003D5DF6" w:rsidRDefault="003D5DF6" w:rsidP="00362D8E">
            <w:pPr>
              <w:rPr>
                <w:rFonts w:cs="Arial"/>
              </w:rPr>
            </w:pPr>
          </w:p>
          <w:p w:rsidR="00362D8E" w:rsidRDefault="003D5DF6" w:rsidP="00362D8E">
            <w:pPr>
              <w:rPr>
                <w:rFonts w:cs="Arial"/>
              </w:rPr>
            </w:pPr>
            <w:r>
              <w:rPr>
                <w:rFonts w:cs="Arial"/>
              </w:rPr>
              <w:t xml:space="preserve">Most </w:t>
            </w:r>
            <w:r w:rsidR="00BF7495">
              <w:rPr>
                <w:rFonts w:cs="Arial"/>
              </w:rPr>
              <w:t>signifi</w:t>
            </w:r>
            <w:r w:rsidR="00DE18F0">
              <w:rPr>
                <w:rFonts w:cs="Arial"/>
              </w:rPr>
              <w:t>c</w:t>
            </w:r>
            <w:r w:rsidR="00BF7495">
              <w:rPr>
                <w:rFonts w:cs="Arial"/>
              </w:rPr>
              <w:t>a</w:t>
            </w:r>
            <w:r w:rsidR="00DE18F0">
              <w:rPr>
                <w:rFonts w:cs="Arial"/>
              </w:rPr>
              <w:t>n</w:t>
            </w:r>
            <w:r w:rsidR="00BF7495">
              <w:rPr>
                <w:rFonts w:cs="Arial"/>
              </w:rPr>
              <w:t>t</w:t>
            </w:r>
            <w:r>
              <w:rPr>
                <w:rFonts w:cs="Arial"/>
              </w:rPr>
              <w:t>ly, this included 100 per cent retention of business rates, accompanied by new (as yet undecided) responsibilities</w:t>
            </w:r>
            <w:r w:rsidR="00362D8E">
              <w:rPr>
                <w:rFonts w:cs="Arial"/>
              </w:rPr>
              <w:t xml:space="preserve">, and the abolition of </w:t>
            </w:r>
            <w:r w:rsidR="00CA4E94">
              <w:rPr>
                <w:rFonts w:cs="Arial"/>
              </w:rPr>
              <w:t>R</w:t>
            </w:r>
            <w:r w:rsidR="00362D8E">
              <w:rPr>
                <w:rFonts w:cs="Arial"/>
              </w:rPr>
              <w:t xml:space="preserve">evenue </w:t>
            </w:r>
            <w:r w:rsidR="00CA4E94">
              <w:rPr>
                <w:rFonts w:cs="Arial"/>
              </w:rPr>
              <w:t>S</w:t>
            </w:r>
            <w:r w:rsidR="00362D8E">
              <w:rPr>
                <w:rFonts w:cs="Arial"/>
              </w:rPr>
              <w:t xml:space="preserve">upport </w:t>
            </w:r>
            <w:r w:rsidR="00CA4E94">
              <w:rPr>
                <w:rFonts w:cs="Arial"/>
              </w:rPr>
              <w:t>Grant (RSG).</w:t>
            </w:r>
          </w:p>
          <w:p w:rsidR="00B82284" w:rsidRDefault="00B82284" w:rsidP="00362D8E">
            <w:pPr>
              <w:rPr>
                <w:rFonts w:cs="Arial"/>
              </w:rPr>
            </w:pPr>
          </w:p>
          <w:p w:rsidR="00B82284" w:rsidRPr="00B82284" w:rsidRDefault="00B82284" w:rsidP="00362D8E">
            <w:pPr>
              <w:rPr>
                <w:rFonts w:cs="Arial"/>
              </w:rPr>
            </w:pPr>
            <w:r w:rsidRPr="00B82284">
              <w:rPr>
                <w:rFonts w:cs="Arial"/>
              </w:rPr>
              <w:t>This paper outlines for Leaders:</w:t>
            </w:r>
          </w:p>
          <w:p w:rsidR="00362D8E" w:rsidRPr="00362D8E" w:rsidRDefault="00362D8E" w:rsidP="00362D8E">
            <w:pPr>
              <w:pStyle w:val="ListParagraph"/>
              <w:numPr>
                <w:ilvl w:val="1"/>
                <w:numId w:val="33"/>
              </w:numPr>
              <w:spacing w:after="0" w:line="240" w:lineRule="auto"/>
              <w:ind w:left="746"/>
              <w:rPr>
                <w:rFonts w:ascii="Arial" w:hAnsi="Arial" w:cs="Arial"/>
              </w:rPr>
            </w:pPr>
            <w:r w:rsidRPr="00362D8E">
              <w:rPr>
                <w:rFonts w:ascii="Arial" w:hAnsi="Arial" w:cs="Arial"/>
              </w:rPr>
              <w:t>how the current system works and reforms that London Councils</w:t>
            </w:r>
            <w:r w:rsidR="00630A9B">
              <w:rPr>
                <w:rFonts w:ascii="Arial" w:hAnsi="Arial" w:cs="Arial"/>
              </w:rPr>
              <w:t xml:space="preserve"> </w:t>
            </w:r>
            <w:r w:rsidRPr="00362D8E">
              <w:rPr>
                <w:rFonts w:ascii="Arial" w:hAnsi="Arial" w:cs="Arial"/>
              </w:rPr>
              <w:t>has proposed in recent lobbying;</w:t>
            </w:r>
          </w:p>
          <w:p w:rsidR="00362D8E" w:rsidRPr="00362D8E" w:rsidRDefault="00362D8E" w:rsidP="00362D8E">
            <w:pPr>
              <w:pStyle w:val="ListParagraph"/>
              <w:numPr>
                <w:ilvl w:val="1"/>
                <w:numId w:val="33"/>
              </w:numPr>
              <w:spacing w:after="0" w:line="240" w:lineRule="auto"/>
              <w:ind w:left="746"/>
              <w:rPr>
                <w:rFonts w:ascii="Arial" w:hAnsi="Arial" w:cs="Arial"/>
              </w:rPr>
            </w:pPr>
            <w:r w:rsidRPr="00362D8E">
              <w:rPr>
                <w:rFonts w:ascii="Arial" w:hAnsi="Arial" w:cs="Arial"/>
              </w:rPr>
              <w:t xml:space="preserve">the details of the reforms announced by the Chancellor so far; </w:t>
            </w:r>
          </w:p>
          <w:p w:rsidR="00362D8E" w:rsidRPr="00362D8E" w:rsidRDefault="00362D8E" w:rsidP="00362D8E">
            <w:pPr>
              <w:pStyle w:val="ListParagraph"/>
              <w:numPr>
                <w:ilvl w:val="1"/>
                <w:numId w:val="33"/>
              </w:numPr>
              <w:spacing w:after="0" w:line="240" w:lineRule="auto"/>
              <w:ind w:left="746"/>
              <w:rPr>
                <w:rFonts w:ascii="Arial" w:hAnsi="Arial" w:cs="Arial"/>
              </w:rPr>
            </w:pPr>
            <w:r w:rsidRPr="00362D8E">
              <w:rPr>
                <w:rFonts w:ascii="Arial" w:hAnsi="Arial" w:cs="Arial"/>
              </w:rPr>
              <w:t>issues for London local government to consider as these reforms develop; and</w:t>
            </w:r>
          </w:p>
          <w:p w:rsidR="006668DB" w:rsidRPr="00362D8E" w:rsidRDefault="00362D8E" w:rsidP="00362D8E">
            <w:pPr>
              <w:pStyle w:val="ListParagraph"/>
              <w:numPr>
                <w:ilvl w:val="1"/>
                <w:numId w:val="33"/>
              </w:numPr>
              <w:spacing w:after="0" w:line="240" w:lineRule="auto"/>
              <w:ind w:left="746"/>
              <w:rPr>
                <w:rFonts w:ascii="Arial" w:hAnsi="Arial" w:cs="Arial"/>
              </w:rPr>
            </w:pPr>
            <w:r w:rsidRPr="00362D8E">
              <w:rPr>
                <w:rFonts w:ascii="Arial" w:hAnsi="Arial" w:cs="Arial"/>
              </w:rPr>
              <w:t>what this means for the wider local government finance system.</w:t>
            </w:r>
          </w:p>
        </w:tc>
      </w:tr>
      <w:tr w:rsidR="00306FF8" w:rsidRPr="001122F2" w:rsidTr="00B9614C">
        <w:tc>
          <w:tcPr>
            <w:tcW w:w="2231" w:type="dxa"/>
            <w:tcBorders>
              <w:top w:val="nil"/>
              <w:left w:val="nil"/>
              <w:bottom w:val="nil"/>
              <w:right w:val="nil"/>
            </w:tcBorders>
            <w:shd w:val="clear" w:color="auto" w:fill="auto"/>
          </w:tcPr>
          <w:p w:rsidR="00306FF8" w:rsidRPr="001122F2" w:rsidRDefault="00306FF8" w:rsidP="003D5DF6">
            <w:pPr>
              <w:spacing w:line="276" w:lineRule="auto"/>
              <w:rPr>
                <w:rFonts w:cs="Arial"/>
                <w:b/>
                <w:bCs/>
              </w:rPr>
            </w:pPr>
          </w:p>
        </w:tc>
        <w:tc>
          <w:tcPr>
            <w:tcW w:w="7375" w:type="dxa"/>
            <w:tcBorders>
              <w:top w:val="nil"/>
              <w:left w:val="nil"/>
              <w:bottom w:val="nil"/>
              <w:right w:val="nil"/>
            </w:tcBorders>
            <w:shd w:val="clear" w:color="auto" w:fill="auto"/>
          </w:tcPr>
          <w:p w:rsidR="00306FF8" w:rsidRPr="001122F2" w:rsidRDefault="00306FF8" w:rsidP="00362D8E">
            <w:pPr>
              <w:rPr>
                <w:rFonts w:cs="Arial"/>
                <w:b/>
                <w:bCs/>
              </w:rPr>
            </w:pPr>
          </w:p>
        </w:tc>
      </w:tr>
      <w:tr w:rsidR="00306FF8" w:rsidRPr="001122F2" w:rsidTr="00362D8E">
        <w:trPr>
          <w:trHeight w:val="1705"/>
        </w:trPr>
        <w:tc>
          <w:tcPr>
            <w:tcW w:w="2231" w:type="dxa"/>
            <w:tcBorders>
              <w:top w:val="nil"/>
              <w:left w:val="nil"/>
              <w:bottom w:val="nil"/>
              <w:right w:val="nil"/>
            </w:tcBorders>
            <w:shd w:val="clear" w:color="auto" w:fill="auto"/>
          </w:tcPr>
          <w:p w:rsidR="00306FF8" w:rsidRPr="001122F2" w:rsidRDefault="00306FF8" w:rsidP="003D5DF6">
            <w:pPr>
              <w:spacing w:line="276" w:lineRule="auto"/>
              <w:rPr>
                <w:rFonts w:cs="Arial"/>
                <w:b/>
                <w:bCs/>
              </w:rPr>
            </w:pPr>
            <w:r w:rsidRPr="001122F2">
              <w:rPr>
                <w:rFonts w:cs="Arial"/>
                <w:b/>
                <w:bCs/>
              </w:rPr>
              <w:t>Recommendations</w:t>
            </w:r>
          </w:p>
        </w:tc>
        <w:tc>
          <w:tcPr>
            <w:tcW w:w="7375" w:type="dxa"/>
            <w:tcBorders>
              <w:top w:val="nil"/>
              <w:left w:val="nil"/>
              <w:bottom w:val="nil"/>
              <w:right w:val="nil"/>
            </w:tcBorders>
            <w:shd w:val="clear" w:color="auto" w:fill="auto"/>
          </w:tcPr>
          <w:p w:rsidR="00CA4E94" w:rsidRDefault="00CB21D0" w:rsidP="00630A9B">
            <w:pPr>
              <w:rPr>
                <w:rFonts w:cs="Arial"/>
                <w:lang w:val="en"/>
              </w:rPr>
            </w:pPr>
            <w:r w:rsidRPr="00CB21D0">
              <w:rPr>
                <w:rFonts w:cs="Arial"/>
                <w:lang w:val="en"/>
              </w:rPr>
              <w:t>Leaders are asked to</w:t>
            </w:r>
            <w:r w:rsidR="00CA4E94">
              <w:rPr>
                <w:rFonts w:cs="Arial"/>
                <w:lang w:val="en"/>
              </w:rPr>
              <w:t>:</w:t>
            </w:r>
          </w:p>
          <w:p w:rsidR="00CA4E94" w:rsidRPr="00CA4E94" w:rsidRDefault="00B00930" w:rsidP="00CA4E94">
            <w:pPr>
              <w:pStyle w:val="ListParagraph"/>
              <w:numPr>
                <w:ilvl w:val="0"/>
                <w:numId w:val="41"/>
              </w:numPr>
              <w:rPr>
                <w:rFonts w:ascii="Arial" w:hAnsi="Arial" w:cs="Arial"/>
                <w:lang w:val="en"/>
              </w:rPr>
            </w:pPr>
            <w:r>
              <w:rPr>
                <w:rFonts w:ascii="Arial" w:hAnsi="Arial" w:cs="Arial"/>
                <w:lang w:val="en"/>
              </w:rPr>
              <w:t xml:space="preserve">note </w:t>
            </w:r>
            <w:r w:rsidR="00CB21D0" w:rsidRPr="00CA4E94">
              <w:rPr>
                <w:rFonts w:ascii="Arial" w:hAnsi="Arial" w:cs="Arial"/>
                <w:lang w:val="en"/>
              </w:rPr>
              <w:t>the content of the report</w:t>
            </w:r>
            <w:r w:rsidR="00CA4E94" w:rsidRPr="00CA4E94">
              <w:rPr>
                <w:rFonts w:ascii="Arial" w:hAnsi="Arial" w:cs="Arial"/>
                <w:lang w:val="en"/>
              </w:rPr>
              <w:t xml:space="preserve"> and</w:t>
            </w:r>
            <w:r w:rsidR="00CB21D0" w:rsidRPr="00CA4E94">
              <w:rPr>
                <w:rFonts w:ascii="Arial" w:hAnsi="Arial" w:cs="Arial"/>
                <w:lang w:val="en"/>
              </w:rPr>
              <w:t xml:space="preserve"> the issues described in paragraphs </w:t>
            </w:r>
            <w:r w:rsidR="0001178A" w:rsidRPr="0001178A">
              <w:rPr>
                <w:rFonts w:ascii="Arial" w:hAnsi="Arial" w:cs="Arial"/>
                <w:lang w:val="en"/>
              </w:rPr>
              <w:t>12 to 21; and</w:t>
            </w:r>
          </w:p>
          <w:p w:rsidR="00E934F5" w:rsidRPr="00CA4E94" w:rsidRDefault="00CB21D0" w:rsidP="00CA4E94">
            <w:pPr>
              <w:pStyle w:val="ListParagraph"/>
              <w:numPr>
                <w:ilvl w:val="0"/>
                <w:numId w:val="41"/>
              </w:numPr>
              <w:rPr>
                <w:rFonts w:cs="Arial"/>
                <w:color w:val="333333"/>
                <w:lang w:val="en"/>
              </w:rPr>
            </w:pPr>
            <w:r w:rsidRPr="00CA4E94">
              <w:rPr>
                <w:rFonts w:ascii="Arial" w:hAnsi="Arial" w:cs="Arial"/>
                <w:lang w:val="en"/>
              </w:rPr>
              <w:t>support ongoing technical work and lobbying to secure the changes advocated in the Spending Review submission.</w:t>
            </w:r>
          </w:p>
        </w:tc>
      </w:tr>
    </w:tbl>
    <w:p w:rsidR="00306FF8" w:rsidRPr="001122F2" w:rsidRDefault="00306FF8" w:rsidP="003D5DF6">
      <w:pPr>
        <w:spacing w:line="360" w:lineRule="auto"/>
        <w:rPr>
          <w:rFonts w:cs="Arial"/>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97"/>
      </w:tblGrid>
      <w:tr w:rsidR="00306FF8" w:rsidRPr="001122F2" w:rsidTr="00B9614C">
        <w:trPr>
          <w:trHeight w:hRule="exact" w:val="57"/>
        </w:trPr>
        <w:tc>
          <w:tcPr>
            <w:tcW w:w="9497" w:type="dxa"/>
          </w:tcPr>
          <w:p w:rsidR="00306FF8" w:rsidRPr="001122F2" w:rsidRDefault="00306FF8" w:rsidP="003D5DF6">
            <w:pPr>
              <w:spacing w:line="360" w:lineRule="auto"/>
              <w:rPr>
                <w:rFonts w:cs="Arial"/>
              </w:rPr>
            </w:pPr>
          </w:p>
        </w:tc>
      </w:tr>
    </w:tbl>
    <w:p w:rsidR="00630A9B" w:rsidRPr="001122F2" w:rsidRDefault="00306FF8" w:rsidP="003D5DF6">
      <w:pPr>
        <w:spacing w:line="360" w:lineRule="auto"/>
        <w:rPr>
          <w:rFonts w:cs="Arial"/>
          <w:b/>
          <w:bCs/>
        </w:rPr>
      </w:pPr>
      <w:r w:rsidRPr="001122F2">
        <w:rPr>
          <w:rFonts w:cs="Arial"/>
          <w:b/>
          <w:bCs/>
        </w:rPr>
        <w:br w:type="page"/>
      </w:r>
    </w:p>
    <w:p w:rsidR="00630A9B" w:rsidRDefault="00630A9B">
      <w:pPr>
        <w:rPr>
          <w:rFonts w:cs="Arial"/>
          <w:b/>
          <w:bCs/>
          <w:sz w:val="24"/>
          <w:szCs w:val="28"/>
        </w:rPr>
      </w:pPr>
      <w:r>
        <w:rPr>
          <w:rFonts w:cs="Arial"/>
          <w:b/>
          <w:bCs/>
          <w:sz w:val="24"/>
          <w:szCs w:val="28"/>
        </w:rPr>
        <w:lastRenderedPageBreak/>
        <w:br w:type="page"/>
      </w:r>
    </w:p>
    <w:p w:rsidR="003379FB" w:rsidRPr="009A6EBB" w:rsidRDefault="009A6EBB" w:rsidP="003D5DF6">
      <w:pPr>
        <w:spacing w:line="360" w:lineRule="auto"/>
        <w:rPr>
          <w:rFonts w:cs="Arial"/>
          <w:b/>
          <w:sz w:val="24"/>
          <w:szCs w:val="28"/>
          <w:u w:val="single"/>
        </w:rPr>
      </w:pPr>
      <w:r w:rsidRPr="009A6EBB">
        <w:rPr>
          <w:rFonts w:cs="Arial"/>
          <w:b/>
          <w:bCs/>
          <w:sz w:val="24"/>
          <w:szCs w:val="28"/>
        </w:rPr>
        <w:lastRenderedPageBreak/>
        <w:t xml:space="preserve">Business </w:t>
      </w:r>
      <w:r w:rsidR="003D5DF6">
        <w:rPr>
          <w:rFonts w:cs="Arial"/>
          <w:b/>
          <w:bCs/>
          <w:sz w:val="24"/>
          <w:szCs w:val="28"/>
        </w:rPr>
        <w:t>r</w:t>
      </w:r>
      <w:r w:rsidRPr="009A6EBB">
        <w:rPr>
          <w:rFonts w:cs="Arial"/>
          <w:b/>
          <w:bCs/>
          <w:sz w:val="24"/>
          <w:szCs w:val="28"/>
        </w:rPr>
        <w:t xml:space="preserve">ates </w:t>
      </w:r>
      <w:r w:rsidR="003D5DF6">
        <w:rPr>
          <w:rFonts w:cs="Arial"/>
          <w:b/>
          <w:bCs/>
          <w:sz w:val="24"/>
          <w:szCs w:val="28"/>
        </w:rPr>
        <w:t>d</w:t>
      </w:r>
      <w:r w:rsidRPr="009A6EBB">
        <w:rPr>
          <w:rFonts w:cs="Arial"/>
          <w:b/>
          <w:bCs/>
          <w:sz w:val="24"/>
          <w:szCs w:val="28"/>
        </w:rPr>
        <w:t>evolution</w:t>
      </w:r>
    </w:p>
    <w:p w:rsidR="00B82284" w:rsidRDefault="00B82284" w:rsidP="003D5DF6">
      <w:pPr>
        <w:spacing w:line="360" w:lineRule="auto"/>
        <w:rPr>
          <w:rFonts w:cs="Arial"/>
          <w:b/>
        </w:rPr>
      </w:pPr>
    </w:p>
    <w:p w:rsidR="009A6EBB" w:rsidRPr="003D5DF6" w:rsidRDefault="00F16960" w:rsidP="003D5DF6">
      <w:pPr>
        <w:spacing w:after="120" w:line="360" w:lineRule="auto"/>
        <w:rPr>
          <w:rFonts w:cs="Arial"/>
          <w:b/>
          <w:u w:val="single"/>
        </w:rPr>
      </w:pPr>
      <w:r w:rsidRPr="003D5DF6">
        <w:rPr>
          <w:rFonts w:cs="Arial"/>
          <w:b/>
          <w:u w:val="single"/>
        </w:rPr>
        <w:t>Introduction</w:t>
      </w:r>
    </w:p>
    <w:p w:rsidR="00354B0B" w:rsidRDefault="009A6EBB" w:rsidP="00354B0B">
      <w:pPr>
        <w:pStyle w:val="ListParagraph"/>
        <w:numPr>
          <w:ilvl w:val="0"/>
          <w:numId w:val="23"/>
        </w:numPr>
        <w:spacing w:after="0" w:line="360" w:lineRule="auto"/>
        <w:ind w:left="426"/>
        <w:rPr>
          <w:rFonts w:ascii="Arial" w:hAnsi="Arial" w:cs="Arial"/>
        </w:rPr>
      </w:pPr>
      <w:r w:rsidRPr="009A6EBB">
        <w:rPr>
          <w:rFonts w:ascii="Arial" w:hAnsi="Arial" w:cs="Arial"/>
        </w:rPr>
        <w:t>On 5 October</w:t>
      </w:r>
      <w:r w:rsidR="00F16960">
        <w:rPr>
          <w:rFonts w:ascii="Arial" w:hAnsi="Arial" w:cs="Arial"/>
        </w:rPr>
        <w:t>,</w:t>
      </w:r>
      <w:r w:rsidRPr="009A6EBB">
        <w:rPr>
          <w:rFonts w:ascii="Arial" w:hAnsi="Arial" w:cs="Arial"/>
        </w:rPr>
        <w:t xml:space="preserve"> </w:t>
      </w:r>
      <w:r w:rsidR="00F16960" w:rsidRPr="009A6EBB">
        <w:rPr>
          <w:rFonts w:ascii="Arial" w:hAnsi="Arial" w:cs="Arial"/>
        </w:rPr>
        <w:t>in his Conservative Party Conference speech</w:t>
      </w:r>
      <w:r w:rsidR="00F16960">
        <w:rPr>
          <w:rFonts w:ascii="Arial" w:hAnsi="Arial" w:cs="Arial"/>
        </w:rPr>
        <w:t>,</w:t>
      </w:r>
      <w:r w:rsidR="00F16960" w:rsidRPr="009A6EBB">
        <w:rPr>
          <w:rFonts w:ascii="Arial" w:hAnsi="Arial" w:cs="Arial"/>
        </w:rPr>
        <w:t xml:space="preserve"> </w:t>
      </w:r>
      <w:r w:rsidR="00F16960">
        <w:rPr>
          <w:rFonts w:ascii="Arial" w:hAnsi="Arial" w:cs="Arial"/>
        </w:rPr>
        <w:t>the Chancellor</w:t>
      </w:r>
      <w:r w:rsidR="00CA4E94">
        <w:rPr>
          <w:rFonts w:ascii="Arial" w:hAnsi="Arial" w:cs="Arial"/>
        </w:rPr>
        <w:t xml:space="preserve"> of the Exchequer</w:t>
      </w:r>
      <w:r w:rsidR="00F16960">
        <w:rPr>
          <w:rFonts w:ascii="Arial" w:hAnsi="Arial" w:cs="Arial"/>
        </w:rPr>
        <w:t xml:space="preserve"> announced</w:t>
      </w:r>
      <w:r w:rsidR="00D7424F">
        <w:rPr>
          <w:rFonts w:ascii="Arial" w:hAnsi="Arial" w:cs="Arial"/>
        </w:rPr>
        <w:t xml:space="preserve"> substantial</w:t>
      </w:r>
      <w:r w:rsidRPr="009A6EBB">
        <w:rPr>
          <w:rFonts w:ascii="Arial" w:hAnsi="Arial" w:cs="Arial"/>
        </w:rPr>
        <w:t xml:space="preserve"> changes to the way </w:t>
      </w:r>
      <w:r w:rsidR="00DE18F0">
        <w:rPr>
          <w:rFonts w:ascii="Arial" w:hAnsi="Arial" w:cs="Arial"/>
        </w:rPr>
        <w:t xml:space="preserve">local government will be funded by </w:t>
      </w:r>
      <w:r>
        <w:rPr>
          <w:rFonts w:ascii="Arial" w:hAnsi="Arial" w:cs="Arial"/>
        </w:rPr>
        <w:t>2020</w:t>
      </w:r>
      <w:r w:rsidR="00DE18F0">
        <w:rPr>
          <w:rStyle w:val="FootnoteReference"/>
          <w:rFonts w:ascii="Arial" w:hAnsi="Arial" w:cs="Arial"/>
        </w:rPr>
        <w:footnoteReference w:id="1"/>
      </w:r>
      <w:r w:rsidR="00DE18F0">
        <w:rPr>
          <w:rFonts w:ascii="Arial" w:hAnsi="Arial" w:cs="Arial"/>
        </w:rPr>
        <w:t xml:space="preserve">. </w:t>
      </w:r>
      <w:r w:rsidR="006B0946">
        <w:rPr>
          <w:rFonts w:ascii="Arial" w:hAnsi="Arial" w:cs="Arial"/>
        </w:rPr>
        <w:t>Most s</w:t>
      </w:r>
      <w:r w:rsidR="009127B1">
        <w:rPr>
          <w:rFonts w:ascii="Arial" w:hAnsi="Arial" w:cs="Arial"/>
        </w:rPr>
        <w:t>ignificantly,</w:t>
      </w:r>
      <w:r w:rsidR="00DE18F0">
        <w:rPr>
          <w:rFonts w:ascii="Arial" w:hAnsi="Arial" w:cs="Arial"/>
        </w:rPr>
        <w:t xml:space="preserve"> th</w:t>
      </w:r>
      <w:r w:rsidR="00F16960">
        <w:rPr>
          <w:rFonts w:ascii="Arial" w:hAnsi="Arial" w:cs="Arial"/>
        </w:rPr>
        <w:t xml:space="preserve">e </w:t>
      </w:r>
      <w:r w:rsidRPr="009A6EBB">
        <w:rPr>
          <w:rFonts w:ascii="Arial" w:hAnsi="Arial" w:cs="Arial"/>
        </w:rPr>
        <w:t>f</w:t>
      </w:r>
      <w:r w:rsidR="00F16960">
        <w:rPr>
          <w:rFonts w:ascii="Arial" w:hAnsi="Arial" w:cs="Arial"/>
        </w:rPr>
        <w:t xml:space="preserve">ull £26 billion of business rates </w:t>
      </w:r>
      <w:r w:rsidR="009127B1">
        <w:rPr>
          <w:rFonts w:ascii="Arial" w:hAnsi="Arial" w:cs="Arial"/>
        </w:rPr>
        <w:t xml:space="preserve">will </w:t>
      </w:r>
      <w:r w:rsidR="00F16960">
        <w:rPr>
          <w:rFonts w:ascii="Arial" w:hAnsi="Arial" w:cs="Arial"/>
        </w:rPr>
        <w:t xml:space="preserve">be </w:t>
      </w:r>
      <w:r w:rsidRPr="009A6EBB">
        <w:rPr>
          <w:rFonts w:ascii="Arial" w:hAnsi="Arial" w:cs="Arial"/>
        </w:rPr>
        <w:t xml:space="preserve">devolved </w:t>
      </w:r>
      <w:r w:rsidR="00F16960">
        <w:rPr>
          <w:rFonts w:ascii="Arial" w:hAnsi="Arial" w:cs="Arial"/>
        </w:rPr>
        <w:t>to local government</w:t>
      </w:r>
      <w:r w:rsidR="00DE18F0">
        <w:rPr>
          <w:rFonts w:ascii="Arial" w:hAnsi="Arial" w:cs="Arial"/>
        </w:rPr>
        <w:t xml:space="preserve"> (100 per cent retention)</w:t>
      </w:r>
      <w:r w:rsidR="009127B1">
        <w:rPr>
          <w:rFonts w:ascii="Arial" w:hAnsi="Arial" w:cs="Arial"/>
        </w:rPr>
        <w:t>,</w:t>
      </w:r>
      <w:r w:rsidR="00CA4E94">
        <w:rPr>
          <w:rFonts w:ascii="Arial" w:hAnsi="Arial" w:cs="Arial"/>
        </w:rPr>
        <w:t xml:space="preserve"> RSG will be abolished</w:t>
      </w:r>
      <w:r w:rsidR="00F16960">
        <w:rPr>
          <w:rFonts w:ascii="Arial" w:hAnsi="Arial" w:cs="Arial"/>
        </w:rPr>
        <w:t xml:space="preserve"> </w:t>
      </w:r>
      <w:r w:rsidR="00D7424F">
        <w:rPr>
          <w:rFonts w:ascii="Arial" w:hAnsi="Arial" w:cs="Arial"/>
        </w:rPr>
        <w:t xml:space="preserve">and local authorities will be expected to deliver </w:t>
      </w:r>
      <w:r w:rsidR="00BF7495">
        <w:rPr>
          <w:rFonts w:ascii="Arial" w:hAnsi="Arial" w:cs="Arial"/>
        </w:rPr>
        <w:t>additional</w:t>
      </w:r>
      <w:r w:rsidR="00DE18F0">
        <w:rPr>
          <w:rFonts w:ascii="Arial" w:hAnsi="Arial" w:cs="Arial"/>
        </w:rPr>
        <w:t xml:space="preserve"> </w:t>
      </w:r>
      <w:r>
        <w:rPr>
          <w:rFonts w:ascii="Arial" w:hAnsi="Arial" w:cs="Arial"/>
        </w:rPr>
        <w:t>respo</w:t>
      </w:r>
      <w:r w:rsidR="00F16960">
        <w:rPr>
          <w:rFonts w:ascii="Arial" w:hAnsi="Arial" w:cs="Arial"/>
        </w:rPr>
        <w:t>nsibilities</w:t>
      </w:r>
      <w:r w:rsidR="00D7424F">
        <w:rPr>
          <w:rFonts w:ascii="Arial" w:hAnsi="Arial" w:cs="Arial"/>
        </w:rPr>
        <w:t xml:space="preserve"> with the extra</w:t>
      </w:r>
      <w:r w:rsidR="00CA4E94">
        <w:rPr>
          <w:rFonts w:ascii="Arial" w:hAnsi="Arial" w:cs="Arial"/>
        </w:rPr>
        <w:t xml:space="preserve"> net</w:t>
      </w:r>
      <w:r w:rsidR="00D7424F">
        <w:rPr>
          <w:rFonts w:ascii="Arial" w:hAnsi="Arial" w:cs="Arial"/>
        </w:rPr>
        <w:t xml:space="preserve"> funding</w:t>
      </w:r>
      <w:r w:rsidR="00CA4E94">
        <w:rPr>
          <w:rFonts w:ascii="Arial" w:hAnsi="Arial" w:cs="Arial"/>
        </w:rPr>
        <w:t xml:space="preserve"> these changes imply</w:t>
      </w:r>
      <w:r w:rsidR="00F16960">
        <w:rPr>
          <w:rFonts w:ascii="Arial" w:hAnsi="Arial" w:cs="Arial"/>
        </w:rPr>
        <w:t>.</w:t>
      </w:r>
      <w:r w:rsidR="00D7424F">
        <w:rPr>
          <w:rFonts w:ascii="Arial" w:hAnsi="Arial" w:cs="Arial"/>
        </w:rPr>
        <w:t xml:space="preserve"> </w:t>
      </w:r>
    </w:p>
    <w:p w:rsidR="00354B0B" w:rsidRDefault="00354B0B" w:rsidP="00354B0B">
      <w:pPr>
        <w:pStyle w:val="ListParagraph"/>
        <w:spacing w:after="0" w:line="360" w:lineRule="auto"/>
        <w:ind w:left="426"/>
        <w:rPr>
          <w:rFonts w:ascii="Arial" w:hAnsi="Arial" w:cs="Arial"/>
        </w:rPr>
      </w:pPr>
    </w:p>
    <w:p w:rsidR="00354B0B" w:rsidRDefault="00F860BB" w:rsidP="00354B0B">
      <w:pPr>
        <w:pStyle w:val="ListParagraph"/>
        <w:numPr>
          <w:ilvl w:val="0"/>
          <w:numId w:val="23"/>
        </w:numPr>
        <w:spacing w:after="0" w:line="360" w:lineRule="auto"/>
        <w:ind w:left="426"/>
        <w:rPr>
          <w:rFonts w:ascii="Arial" w:hAnsi="Arial" w:cs="Arial"/>
        </w:rPr>
      </w:pPr>
      <w:r w:rsidRPr="00354B0B">
        <w:rPr>
          <w:rFonts w:ascii="Arial" w:hAnsi="Arial" w:cs="Arial"/>
        </w:rPr>
        <w:t>In addition, the uniform (national) business rate will be abolished an</w:t>
      </w:r>
      <w:r w:rsidR="008F41D4">
        <w:rPr>
          <w:rFonts w:ascii="Arial" w:hAnsi="Arial" w:cs="Arial"/>
        </w:rPr>
        <w:t>d</w:t>
      </w:r>
      <w:r w:rsidRPr="00354B0B">
        <w:rPr>
          <w:rFonts w:ascii="Arial" w:hAnsi="Arial" w:cs="Arial"/>
        </w:rPr>
        <w:t xml:space="preserve"> local authorities will be able to reduce business rates </w:t>
      </w:r>
      <w:r w:rsidR="0062100D">
        <w:rPr>
          <w:rFonts w:ascii="Arial" w:hAnsi="Arial" w:cs="Arial"/>
        </w:rPr>
        <w:t>locally to attract businesses</w:t>
      </w:r>
      <w:r w:rsidRPr="00354B0B">
        <w:rPr>
          <w:rFonts w:ascii="Arial" w:hAnsi="Arial" w:cs="Arial"/>
        </w:rPr>
        <w:t xml:space="preserve">. Areas with </w:t>
      </w:r>
      <w:r w:rsidR="00521DFD">
        <w:rPr>
          <w:rFonts w:ascii="Arial" w:hAnsi="Arial" w:cs="Arial"/>
        </w:rPr>
        <w:t xml:space="preserve">city-wide </w:t>
      </w:r>
      <w:r w:rsidRPr="00354B0B">
        <w:rPr>
          <w:rFonts w:ascii="Arial" w:hAnsi="Arial" w:cs="Arial"/>
        </w:rPr>
        <w:t>elected mayors will be able to levy an increase in business</w:t>
      </w:r>
      <w:r w:rsidR="0062100D">
        <w:rPr>
          <w:rFonts w:ascii="Arial" w:hAnsi="Arial" w:cs="Arial"/>
        </w:rPr>
        <w:t xml:space="preserve"> rates (up to a 2 per cent cap), subject to a majority vote of the business members of the LEP</w:t>
      </w:r>
      <w:r w:rsidRPr="00354B0B">
        <w:rPr>
          <w:rFonts w:ascii="Arial" w:hAnsi="Arial" w:cs="Arial"/>
        </w:rPr>
        <w:t>.</w:t>
      </w:r>
    </w:p>
    <w:p w:rsidR="00354B0B" w:rsidRPr="00354B0B" w:rsidRDefault="00354B0B" w:rsidP="00354B0B">
      <w:pPr>
        <w:pStyle w:val="ListParagraph"/>
        <w:rPr>
          <w:rFonts w:ascii="Arial" w:hAnsi="Arial" w:cs="Arial"/>
        </w:rPr>
      </w:pPr>
    </w:p>
    <w:p w:rsidR="00354B0B" w:rsidRDefault="00D7424F" w:rsidP="00354B0B">
      <w:pPr>
        <w:pStyle w:val="ListParagraph"/>
        <w:numPr>
          <w:ilvl w:val="0"/>
          <w:numId w:val="23"/>
        </w:numPr>
        <w:spacing w:after="0" w:line="360" w:lineRule="auto"/>
        <w:ind w:left="426"/>
        <w:rPr>
          <w:rFonts w:ascii="Arial" w:hAnsi="Arial" w:cs="Arial"/>
        </w:rPr>
      </w:pPr>
      <w:r w:rsidRPr="00354B0B">
        <w:rPr>
          <w:rFonts w:ascii="Arial" w:hAnsi="Arial" w:cs="Arial"/>
        </w:rPr>
        <w:t xml:space="preserve">Much of the technical detail around these reforms is still to be developed </w:t>
      </w:r>
      <w:r w:rsidR="00583456">
        <w:rPr>
          <w:rFonts w:ascii="Arial" w:hAnsi="Arial" w:cs="Arial"/>
        </w:rPr>
        <w:t>and legislation will be required</w:t>
      </w:r>
      <w:r w:rsidR="00CA4E94">
        <w:rPr>
          <w:rFonts w:ascii="Arial" w:hAnsi="Arial" w:cs="Arial"/>
        </w:rPr>
        <w:t>.</w:t>
      </w:r>
      <w:r w:rsidR="00583456">
        <w:rPr>
          <w:rFonts w:ascii="Arial" w:hAnsi="Arial" w:cs="Arial"/>
        </w:rPr>
        <w:t xml:space="preserve"> </w:t>
      </w:r>
      <w:r w:rsidR="00CA4E94">
        <w:rPr>
          <w:rFonts w:ascii="Arial" w:hAnsi="Arial" w:cs="Arial"/>
        </w:rPr>
        <w:t>S</w:t>
      </w:r>
      <w:r w:rsidR="00583456">
        <w:rPr>
          <w:rFonts w:ascii="Arial" w:hAnsi="Arial" w:cs="Arial"/>
        </w:rPr>
        <w:t xml:space="preserve">ome </w:t>
      </w:r>
      <w:r w:rsidRPr="00354B0B">
        <w:rPr>
          <w:rFonts w:ascii="Arial" w:hAnsi="Arial" w:cs="Arial"/>
        </w:rPr>
        <w:t>further information is e</w:t>
      </w:r>
      <w:r w:rsidR="0062100D">
        <w:rPr>
          <w:rFonts w:ascii="Arial" w:hAnsi="Arial" w:cs="Arial"/>
        </w:rPr>
        <w:t>xpected in the Spending Review o</w:t>
      </w:r>
      <w:r w:rsidRPr="00354B0B">
        <w:rPr>
          <w:rFonts w:ascii="Arial" w:hAnsi="Arial" w:cs="Arial"/>
        </w:rPr>
        <w:t>n November</w:t>
      </w:r>
      <w:r w:rsidR="0062100D">
        <w:rPr>
          <w:rFonts w:ascii="Arial" w:hAnsi="Arial" w:cs="Arial"/>
        </w:rPr>
        <w:t xml:space="preserve"> 25</w:t>
      </w:r>
      <w:r w:rsidRPr="00354B0B">
        <w:rPr>
          <w:rFonts w:ascii="Arial" w:hAnsi="Arial" w:cs="Arial"/>
        </w:rPr>
        <w:t xml:space="preserve">.   </w:t>
      </w:r>
    </w:p>
    <w:p w:rsidR="00354B0B" w:rsidRPr="00354B0B" w:rsidRDefault="00354B0B" w:rsidP="00354B0B">
      <w:pPr>
        <w:pStyle w:val="ListParagraph"/>
        <w:rPr>
          <w:rFonts w:ascii="Arial" w:hAnsi="Arial" w:cs="Arial"/>
        </w:rPr>
      </w:pPr>
    </w:p>
    <w:p w:rsidR="0074604C" w:rsidRPr="00354B0B" w:rsidRDefault="0074604C" w:rsidP="00354B0B">
      <w:pPr>
        <w:pStyle w:val="ListParagraph"/>
        <w:numPr>
          <w:ilvl w:val="0"/>
          <w:numId w:val="23"/>
        </w:numPr>
        <w:spacing w:after="0" w:line="360" w:lineRule="auto"/>
        <w:ind w:left="426"/>
        <w:rPr>
          <w:rFonts w:ascii="Arial" w:hAnsi="Arial" w:cs="Arial"/>
        </w:rPr>
      </w:pPr>
      <w:r w:rsidRPr="00354B0B">
        <w:rPr>
          <w:rFonts w:ascii="Arial" w:hAnsi="Arial" w:cs="Arial"/>
        </w:rPr>
        <w:t>This paper outlines for Leaders:</w:t>
      </w:r>
    </w:p>
    <w:p w:rsidR="00DE18F0" w:rsidRDefault="009902CA" w:rsidP="003D5DF6">
      <w:pPr>
        <w:pStyle w:val="ListParagraph"/>
        <w:numPr>
          <w:ilvl w:val="1"/>
          <w:numId w:val="33"/>
        </w:numPr>
        <w:spacing w:after="0" w:line="360" w:lineRule="auto"/>
        <w:ind w:left="1276"/>
        <w:rPr>
          <w:rFonts w:ascii="Arial" w:hAnsi="Arial" w:cs="Arial"/>
        </w:rPr>
      </w:pPr>
      <w:r>
        <w:rPr>
          <w:rFonts w:ascii="Arial" w:hAnsi="Arial" w:cs="Arial"/>
        </w:rPr>
        <w:t xml:space="preserve">how the </w:t>
      </w:r>
      <w:r w:rsidR="00DE18F0">
        <w:rPr>
          <w:rFonts w:ascii="Arial" w:hAnsi="Arial" w:cs="Arial"/>
        </w:rPr>
        <w:t xml:space="preserve">current system </w:t>
      </w:r>
      <w:r>
        <w:rPr>
          <w:rFonts w:ascii="Arial" w:hAnsi="Arial" w:cs="Arial"/>
        </w:rPr>
        <w:t xml:space="preserve">works </w:t>
      </w:r>
      <w:r w:rsidR="00DE18F0">
        <w:rPr>
          <w:rFonts w:ascii="Arial" w:hAnsi="Arial" w:cs="Arial"/>
        </w:rPr>
        <w:t xml:space="preserve">and </w:t>
      </w:r>
      <w:r w:rsidR="00F860BB">
        <w:rPr>
          <w:rFonts w:ascii="Arial" w:hAnsi="Arial" w:cs="Arial"/>
        </w:rPr>
        <w:t xml:space="preserve">reforms that </w:t>
      </w:r>
      <w:r w:rsidR="00DE18F0">
        <w:rPr>
          <w:rFonts w:ascii="Arial" w:hAnsi="Arial" w:cs="Arial"/>
        </w:rPr>
        <w:t xml:space="preserve">London Councils </w:t>
      </w:r>
      <w:r w:rsidR="00F860BB">
        <w:rPr>
          <w:rFonts w:ascii="Arial" w:hAnsi="Arial" w:cs="Arial"/>
        </w:rPr>
        <w:t>has proposed in recent lobbying</w:t>
      </w:r>
      <w:r w:rsidR="00DE18F0">
        <w:rPr>
          <w:rFonts w:ascii="Arial" w:hAnsi="Arial" w:cs="Arial"/>
        </w:rPr>
        <w:t>;</w:t>
      </w:r>
    </w:p>
    <w:p w:rsidR="0074604C" w:rsidRDefault="00DE18F0" w:rsidP="003D5DF6">
      <w:pPr>
        <w:pStyle w:val="ListParagraph"/>
        <w:numPr>
          <w:ilvl w:val="1"/>
          <w:numId w:val="33"/>
        </w:numPr>
        <w:spacing w:after="0" w:line="360" w:lineRule="auto"/>
        <w:ind w:left="1276"/>
        <w:rPr>
          <w:rFonts w:ascii="Arial" w:hAnsi="Arial" w:cs="Arial"/>
        </w:rPr>
      </w:pPr>
      <w:r>
        <w:rPr>
          <w:rFonts w:ascii="Arial" w:hAnsi="Arial" w:cs="Arial"/>
        </w:rPr>
        <w:t xml:space="preserve">the details of the reforms </w:t>
      </w:r>
      <w:r w:rsidR="00D7424F">
        <w:rPr>
          <w:rFonts w:ascii="Arial" w:hAnsi="Arial" w:cs="Arial"/>
        </w:rPr>
        <w:t>announced by the Chancellor s</w:t>
      </w:r>
      <w:r w:rsidR="0074604C">
        <w:rPr>
          <w:rFonts w:ascii="Arial" w:hAnsi="Arial" w:cs="Arial"/>
        </w:rPr>
        <w:t xml:space="preserve">o far; </w:t>
      </w:r>
    </w:p>
    <w:p w:rsidR="009A6EBB" w:rsidRDefault="000D2589" w:rsidP="003D5DF6">
      <w:pPr>
        <w:pStyle w:val="ListParagraph"/>
        <w:numPr>
          <w:ilvl w:val="1"/>
          <w:numId w:val="33"/>
        </w:numPr>
        <w:spacing w:after="0" w:line="360" w:lineRule="auto"/>
        <w:ind w:left="1276"/>
        <w:rPr>
          <w:rFonts w:ascii="Arial" w:hAnsi="Arial" w:cs="Arial"/>
        </w:rPr>
      </w:pPr>
      <w:r>
        <w:rPr>
          <w:rFonts w:ascii="Arial" w:hAnsi="Arial" w:cs="Arial"/>
        </w:rPr>
        <w:t xml:space="preserve">issues for London local </w:t>
      </w:r>
      <w:r w:rsidR="00DE18F0">
        <w:rPr>
          <w:rFonts w:ascii="Arial" w:hAnsi="Arial" w:cs="Arial"/>
        </w:rPr>
        <w:t xml:space="preserve">government </w:t>
      </w:r>
      <w:r>
        <w:rPr>
          <w:rFonts w:ascii="Arial" w:hAnsi="Arial" w:cs="Arial"/>
        </w:rPr>
        <w:t xml:space="preserve">to consider </w:t>
      </w:r>
      <w:r w:rsidR="005905EF">
        <w:rPr>
          <w:rFonts w:ascii="Arial" w:hAnsi="Arial" w:cs="Arial"/>
        </w:rPr>
        <w:t xml:space="preserve">as these </w:t>
      </w:r>
      <w:r w:rsidR="00E435EA">
        <w:rPr>
          <w:rFonts w:ascii="Arial" w:hAnsi="Arial" w:cs="Arial"/>
        </w:rPr>
        <w:t>reforms</w:t>
      </w:r>
      <w:r w:rsidR="005905EF">
        <w:rPr>
          <w:rFonts w:ascii="Arial" w:hAnsi="Arial" w:cs="Arial"/>
        </w:rPr>
        <w:t xml:space="preserve"> develop</w:t>
      </w:r>
      <w:r w:rsidR="00E435EA">
        <w:rPr>
          <w:rFonts w:ascii="Arial" w:hAnsi="Arial" w:cs="Arial"/>
        </w:rPr>
        <w:t>; and</w:t>
      </w:r>
    </w:p>
    <w:p w:rsidR="00E435EA" w:rsidRPr="00DE18F0" w:rsidRDefault="00E435EA" w:rsidP="003D5DF6">
      <w:pPr>
        <w:pStyle w:val="ListParagraph"/>
        <w:numPr>
          <w:ilvl w:val="1"/>
          <w:numId w:val="33"/>
        </w:numPr>
        <w:spacing w:after="0" w:line="360" w:lineRule="auto"/>
        <w:ind w:left="1276"/>
        <w:rPr>
          <w:rFonts w:ascii="Arial" w:hAnsi="Arial" w:cs="Arial"/>
        </w:rPr>
      </w:pPr>
      <w:r>
        <w:rPr>
          <w:rFonts w:ascii="Arial" w:hAnsi="Arial" w:cs="Arial"/>
        </w:rPr>
        <w:t>what this means for the wider local government finance system.</w:t>
      </w:r>
    </w:p>
    <w:p w:rsidR="003A01F1" w:rsidRDefault="003A01F1" w:rsidP="003D5DF6">
      <w:pPr>
        <w:autoSpaceDE w:val="0"/>
        <w:autoSpaceDN w:val="0"/>
        <w:adjustRightInd w:val="0"/>
        <w:spacing w:line="360" w:lineRule="auto"/>
        <w:contextualSpacing/>
        <w:rPr>
          <w:rFonts w:eastAsia="Calibri" w:cs="Arial"/>
          <w:b/>
        </w:rPr>
      </w:pPr>
    </w:p>
    <w:p w:rsidR="00CD77E9" w:rsidRPr="003D5DF6" w:rsidRDefault="003D5DF6" w:rsidP="003D5DF6">
      <w:pPr>
        <w:autoSpaceDE w:val="0"/>
        <w:autoSpaceDN w:val="0"/>
        <w:adjustRightInd w:val="0"/>
        <w:spacing w:after="120" w:line="360" w:lineRule="auto"/>
        <w:contextualSpacing/>
        <w:rPr>
          <w:rFonts w:eastAsia="Calibri" w:cs="Arial"/>
          <w:b/>
          <w:u w:val="single"/>
        </w:rPr>
      </w:pPr>
      <w:r>
        <w:rPr>
          <w:rFonts w:eastAsia="Calibri" w:cs="Arial"/>
          <w:b/>
          <w:u w:val="single"/>
        </w:rPr>
        <w:t xml:space="preserve">Context – the current </w:t>
      </w:r>
      <w:r w:rsidR="002300BD">
        <w:rPr>
          <w:rFonts w:eastAsia="Calibri" w:cs="Arial"/>
          <w:b/>
          <w:u w:val="single"/>
        </w:rPr>
        <w:t xml:space="preserve">business rates retention </w:t>
      </w:r>
      <w:r>
        <w:rPr>
          <w:rFonts w:eastAsia="Calibri" w:cs="Arial"/>
          <w:b/>
          <w:u w:val="single"/>
        </w:rPr>
        <w:t>system</w:t>
      </w:r>
    </w:p>
    <w:p w:rsidR="00354B0B" w:rsidRDefault="00275393" w:rsidP="00354B0B">
      <w:pPr>
        <w:pStyle w:val="ListParagraph"/>
        <w:numPr>
          <w:ilvl w:val="0"/>
          <w:numId w:val="23"/>
        </w:numPr>
        <w:autoSpaceDE w:val="0"/>
        <w:autoSpaceDN w:val="0"/>
        <w:adjustRightInd w:val="0"/>
        <w:spacing w:after="0" w:line="360" w:lineRule="auto"/>
        <w:ind w:left="426"/>
        <w:rPr>
          <w:rFonts w:ascii="Arial" w:hAnsi="Arial" w:cs="Arial"/>
        </w:rPr>
      </w:pPr>
      <w:r w:rsidRPr="00275393">
        <w:rPr>
          <w:rFonts w:ascii="Arial" w:hAnsi="Arial" w:cs="Arial"/>
        </w:rPr>
        <w:t>Introduced in 2013-14, t</w:t>
      </w:r>
      <w:r w:rsidR="00F16960" w:rsidRPr="00275393">
        <w:rPr>
          <w:rFonts w:ascii="Arial" w:hAnsi="Arial" w:cs="Arial"/>
        </w:rPr>
        <w:t>he current business rates retention system</w:t>
      </w:r>
      <w:r w:rsidR="00DE18F0" w:rsidRPr="00275393">
        <w:rPr>
          <w:rFonts w:ascii="Arial" w:hAnsi="Arial" w:cs="Arial"/>
        </w:rPr>
        <w:t xml:space="preserve"> sees</w:t>
      </w:r>
      <w:r w:rsidR="00912870" w:rsidRPr="00275393">
        <w:rPr>
          <w:rFonts w:ascii="Arial" w:hAnsi="Arial" w:cs="Arial"/>
        </w:rPr>
        <w:t xml:space="preserve"> 50 per cent of business rates collected </w:t>
      </w:r>
      <w:r w:rsidRPr="00275393">
        <w:rPr>
          <w:rFonts w:ascii="Arial" w:hAnsi="Arial" w:cs="Arial"/>
        </w:rPr>
        <w:t xml:space="preserve">by boroughs </w:t>
      </w:r>
      <w:r w:rsidR="00912870" w:rsidRPr="00275393">
        <w:rPr>
          <w:rFonts w:ascii="Arial" w:hAnsi="Arial" w:cs="Arial"/>
        </w:rPr>
        <w:t xml:space="preserve">pooled centrally </w:t>
      </w:r>
      <w:r w:rsidRPr="00275393">
        <w:rPr>
          <w:rFonts w:ascii="Arial" w:hAnsi="Arial" w:cs="Arial"/>
        </w:rPr>
        <w:t xml:space="preserve">by government and used to fund </w:t>
      </w:r>
      <w:r w:rsidR="00CA4E94">
        <w:rPr>
          <w:rFonts w:ascii="Arial" w:hAnsi="Arial" w:cs="Arial"/>
        </w:rPr>
        <w:t>R</w:t>
      </w:r>
      <w:r w:rsidR="00912870" w:rsidRPr="00275393">
        <w:rPr>
          <w:rFonts w:ascii="Arial" w:hAnsi="Arial" w:cs="Arial"/>
        </w:rPr>
        <w:t xml:space="preserve">evenue </w:t>
      </w:r>
      <w:r w:rsidR="00CA4E94">
        <w:rPr>
          <w:rFonts w:ascii="Arial" w:hAnsi="Arial" w:cs="Arial"/>
        </w:rPr>
        <w:t>S</w:t>
      </w:r>
      <w:r w:rsidR="00912870" w:rsidRPr="00275393">
        <w:rPr>
          <w:rFonts w:ascii="Arial" w:hAnsi="Arial" w:cs="Arial"/>
        </w:rPr>
        <w:t xml:space="preserve">upport </w:t>
      </w:r>
      <w:r w:rsidR="00CA4E94">
        <w:rPr>
          <w:rFonts w:ascii="Arial" w:hAnsi="Arial" w:cs="Arial"/>
        </w:rPr>
        <w:t>G</w:t>
      </w:r>
      <w:r w:rsidR="00912870" w:rsidRPr="00275393">
        <w:rPr>
          <w:rFonts w:ascii="Arial" w:hAnsi="Arial" w:cs="Arial"/>
        </w:rPr>
        <w:t>rant (RSG) and other specific grants. In London, the remaining 50 per cent is split betwee</w:t>
      </w:r>
      <w:r w:rsidR="00F860BB">
        <w:rPr>
          <w:rFonts w:ascii="Arial" w:hAnsi="Arial" w:cs="Arial"/>
        </w:rPr>
        <w:t xml:space="preserve">n the GLA (20 per cent) and </w:t>
      </w:r>
      <w:r w:rsidR="00912870" w:rsidRPr="00275393">
        <w:rPr>
          <w:rFonts w:ascii="Arial" w:hAnsi="Arial" w:cs="Arial"/>
        </w:rPr>
        <w:t xml:space="preserve">local </w:t>
      </w:r>
      <w:r w:rsidR="00F860BB">
        <w:rPr>
          <w:rFonts w:ascii="Arial" w:hAnsi="Arial" w:cs="Arial"/>
        </w:rPr>
        <w:t>billing authorities</w:t>
      </w:r>
      <w:r w:rsidR="00912870" w:rsidRPr="00275393">
        <w:rPr>
          <w:rFonts w:ascii="Arial" w:hAnsi="Arial" w:cs="Arial"/>
        </w:rPr>
        <w:t xml:space="preserve"> (30 per cent). A system of equalisation </w:t>
      </w:r>
      <w:r w:rsidR="00354B0B">
        <w:rPr>
          <w:rFonts w:ascii="Arial" w:hAnsi="Arial" w:cs="Arial"/>
        </w:rPr>
        <w:t>sees</w:t>
      </w:r>
      <w:r w:rsidR="00912870" w:rsidRPr="00275393">
        <w:rPr>
          <w:rFonts w:ascii="Arial" w:hAnsi="Arial" w:cs="Arial"/>
        </w:rPr>
        <w:t xml:space="preserve"> 25 boroughs receiving a top up from</w:t>
      </w:r>
      <w:r w:rsidR="003A01F1" w:rsidRPr="00275393">
        <w:rPr>
          <w:rFonts w:ascii="Arial" w:hAnsi="Arial" w:cs="Arial"/>
        </w:rPr>
        <w:t>,</w:t>
      </w:r>
      <w:r w:rsidR="00912870" w:rsidRPr="00275393">
        <w:rPr>
          <w:rFonts w:ascii="Arial" w:hAnsi="Arial" w:cs="Arial"/>
        </w:rPr>
        <w:t xml:space="preserve"> </w:t>
      </w:r>
      <w:r w:rsidR="003A01F1" w:rsidRPr="00275393">
        <w:rPr>
          <w:rFonts w:ascii="Arial" w:hAnsi="Arial" w:cs="Arial"/>
        </w:rPr>
        <w:t xml:space="preserve">and 8 paying a tariff to, central </w:t>
      </w:r>
      <w:r w:rsidR="008264A5">
        <w:rPr>
          <w:rFonts w:ascii="Arial" w:hAnsi="Arial" w:cs="Arial"/>
        </w:rPr>
        <w:t>government, in order that boroug</w:t>
      </w:r>
      <w:r w:rsidR="00354B0B">
        <w:rPr>
          <w:rFonts w:ascii="Arial" w:hAnsi="Arial" w:cs="Arial"/>
        </w:rPr>
        <w:t>hs</w:t>
      </w:r>
      <w:r w:rsidR="008264A5">
        <w:rPr>
          <w:rFonts w:ascii="Arial" w:hAnsi="Arial" w:cs="Arial"/>
        </w:rPr>
        <w:t xml:space="preserve"> receive</w:t>
      </w:r>
      <w:r w:rsidR="00354B0B">
        <w:rPr>
          <w:rFonts w:ascii="Arial" w:hAnsi="Arial" w:cs="Arial"/>
        </w:rPr>
        <w:t xml:space="preserve"> an amount assessed </w:t>
      </w:r>
      <w:r w:rsidR="008264A5">
        <w:rPr>
          <w:rFonts w:ascii="Arial" w:hAnsi="Arial" w:cs="Arial"/>
        </w:rPr>
        <w:t>by government as meeting their needs (the funding baseline).</w:t>
      </w:r>
    </w:p>
    <w:p w:rsidR="00354B0B" w:rsidRDefault="00354B0B" w:rsidP="00354B0B">
      <w:pPr>
        <w:pStyle w:val="ListParagraph"/>
        <w:autoSpaceDE w:val="0"/>
        <w:autoSpaceDN w:val="0"/>
        <w:adjustRightInd w:val="0"/>
        <w:spacing w:after="0" w:line="360" w:lineRule="auto"/>
        <w:ind w:left="426"/>
        <w:rPr>
          <w:rFonts w:ascii="Arial" w:hAnsi="Arial" w:cs="Arial"/>
        </w:rPr>
      </w:pPr>
    </w:p>
    <w:p w:rsidR="003D5DF6" w:rsidRPr="00354B0B" w:rsidRDefault="003D5DF6" w:rsidP="00354B0B">
      <w:pPr>
        <w:pStyle w:val="ListParagraph"/>
        <w:numPr>
          <w:ilvl w:val="0"/>
          <w:numId w:val="23"/>
        </w:numPr>
        <w:autoSpaceDE w:val="0"/>
        <w:autoSpaceDN w:val="0"/>
        <w:adjustRightInd w:val="0"/>
        <w:spacing w:after="0" w:line="360" w:lineRule="auto"/>
        <w:ind w:left="426"/>
        <w:rPr>
          <w:rFonts w:ascii="Arial" w:hAnsi="Arial" w:cs="Arial"/>
        </w:rPr>
      </w:pPr>
      <w:r w:rsidRPr="00354B0B">
        <w:rPr>
          <w:rFonts w:ascii="Arial" w:hAnsi="Arial" w:cs="Arial"/>
        </w:rPr>
        <w:t>Any</w:t>
      </w:r>
      <w:r w:rsidR="00354B0B">
        <w:rPr>
          <w:rFonts w:ascii="Arial" w:hAnsi="Arial" w:cs="Arial"/>
        </w:rPr>
        <w:t xml:space="preserve"> business rates</w:t>
      </w:r>
      <w:r w:rsidRPr="00354B0B">
        <w:rPr>
          <w:rFonts w:ascii="Arial" w:hAnsi="Arial" w:cs="Arial"/>
        </w:rPr>
        <w:t xml:space="preserve"> growth above the expected baselines is split between central government, the GLA and the local authority</w:t>
      </w:r>
      <w:r w:rsidR="00354B0B">
        <w:rPr>
          <w:rFonts w:ascii="Arial" w:hAnsi="Arial" w:cs="Arial"/>
        </w:rPr>
        <w:t xml:space="preserve"> in proportion to these shares</w:t>
      </w:r>
      <w:r w:rsidRPr="00354B0B">
        <w:rPr>
          <w:rFonts w:ascii="Arial" w:hAnsi="Arial" w:cs="Arial"/>
        </w:rPr>
        <w:t xml:space="preserve">, with tariff authorities paying an additional levy to government, capped at 50p in the pound. For </w:t>
      </w:r>
      <w:r w:rsidRPr="00354B0B">
        <w:rPr>
          <w:rFonts w:ascii="Arial" w:hAnsi="Arial" w:cs="Arial"/>
        </w:rPr>
        <w:lastRenderedPageBreak/>
        <w:t xml:space="preserve">authorities that do not achieve the baseline target </w:t>
      </w:r>
      <w:r w:rsidR="00354B0B" w:rsidRPr="00354B0B">
        <w:rPr>
          <w:rFonts w:ascii="Arial" w:hAnsi="Arial" w:cs="Arial"/>
        </w:rPr>
        <w:t>t</w:t>
      </w:r>
      <w:r w:rsidRPr="00354B0B">
        <w:rPr>
          <w:rFonts w:ascii="Arial" w:hAnsi="Arial" w:cs="Arial"/>
        </w:rPr>
        <w:t>he</w:t>
      </w:r>
      <w:r w:rsidR="00354B0B" w:rsidRPr="00354B0B">
        <w:rPr>
          <w:rFonts w:ascii="Arial" w:hAnsi="Arial" w:cs="Arial"/>
        </w:rPr>
        <w:t xml:space="preserve">re is a </w:t>
      </w:r>
      <w:r w:rsidRPr="00354B0B">
        <w:rPr>
          <w:rFonts w:ascii="Arial" w:hAnsi="Arial" w:cs="Arial"/>
        </w:rPr>
        <w:t>safety net</w:t>
      </w:r>
      <w:r w:rsidR="002C0BA8">
        <w:rPr>
          <w:rFonts w:ascii="Arial" w:hAnsi="Arial" w:cs="Arial"/>
        </w:rPr>
        <w:t>,</w:t>
      </w:r>
      <w:r w:rsidR="00354B0B" w:rsidRPr="00354B0B">
        <w:rPr>
          <w:rFonts w:ascii="Arial" w:hAnsi="Arial" w:cs="Arial"/>
        </w:rPr>
        <w:t xml:space="preserve"> which means that an authority cannot lose more than 7.5 per cent of </w:t>
      </w:r>
      <w:r w:rsidR="00354B0B">
        <w:rPr>
          <w:rFonts w:ascii="Arial" w:hAnsi="Arial" w:cs="Arial"/>
        </w:rPr>
        <w:t>its</w:t>
      </w:r>
      <w:r w:rsidR="00354B0B" w:rsidRPr="00354B0B">
        <w:rPr>
          <w:rFonts w:ascii="Arial" w:hAnsi="Arial" w:cs="Arial"/>
        </w:rPr>
        <w:t xml:space="preserve"> funding baseline</w:t>
      </w:r>
      <w:r w:rsidR="00354B0B">
        <w:rPr>
          <w:rFonts w:ascii="Arial" w:hAnsi="Arial" w:cs="Arial"/>
        </w:rPr>
        <w:t xml:space="preserve"> in any on</w:t>
      </w:r>
      <w:r w:rsidR="002C0BA8">
        <w:rPr>
          <w:rFonts w:ascii="Arial" w:hAnsi="Arial" w:cs="Arial"/>
        </w:rPr>
        <w:t>e</w:t>
      </w:r>
      <w:r w:rsidR="00354B0B">
        <w:rPr>
          <w:rFonts w:ascii="Arial" w:hAnsi="Arial" w:cs="Arial"/>
        </w:rPr>
        <w:t xml:space="preserve"> year</w:t>
      </w:r>
      <w:r w:rsidR="00354B0B" w:rsidRPr="00354B0B">
        <w:rPr>
          <w:rFonts w:ascii="Arial" w:hAnsi="Arial" w:cs="Arial"/>
        </w:rPr>
        <w:t>.</w:t>
      </w:r>
    </w:p>
    <w:p w:rsidR="003D5DF6" w:rsidRPr="003D5DF6" w:rsidRDefault="003D5DF6" w:rsidP="003D5DF6">
      <w:pPr>
        <w:pStyle w:val="ListParagraph"/>
        <w:rPr>
          <w:rFonts w:ascii="Arial" w:hAnsi="Arial" w:cs="Arial"/>
        </w:rPr>
      </w:pPr>
    </w:p>
    <w:p w:rsidR="00354B0B" w:rsidRPr="00354B0B" w:rsidRDefault="009902CA" w:rsidP="00354B0B">
      <w:pPr>
        <w:pStyle w:val="ListParagraph"/>
        <w:numPr>
          <w:ilvl w:val="0"/>
          <w:numId w:val="23"/>
        </w:numPr>
        <w:autoSpaceDE w:val="0"/>
        <w:autoSpaceDN w:val="0"/>
        <w:adjustRightInd w:val="0"/>
        <w:spacing w:after="0" w:line="360" w:lineRule="auto"/>
        <w:ind w:left="426"/>
        <w:rPr>
          <w:rFonts w:ascii="Arial" w:hAnsi="Arial" w:cs="Arial"/>
        </w:rPr>
      </w:pPr>
      <w:r w:rsidRPr="00354B0B">
        <w:rPr>
          <w:rFonts w:ascii="Arial" w:hAnsi="Arial" w:cs="Arial"/>
        </w:rPr>
        <w:t xml:space="preserve">In 2015-16 London boroughs will be expected to collect </w:t>
      </w:r>
      <w:r w:rsidR="00F860BB" w:rsidRPr="00354B0B">
        <w:rPr>
          <w:rFonts w:ascii="Arial" w:hAnsi="Arial" w:cs="Arial"/>
        </w:rPr>
        <w:t xml:space="preserve">£6.6 billion, </w:t>
      </w:r>
      <w:r w:rsidR="008264A5" w:rsidRPr="00354B0B">
        <w:rPr>
          <w:rFonts w:ascii="Arial" w:hAnsi="Arial" w:cs="Arial"/>
        </w:rPr>
        <w:t>with the GLA retaining £1.3 billion and boroughs collectively retaining £2.0 billion</w:t>
      </w:r>
      <w:r w:rsidR="002C0BA8">
        <w:rPr>
          <w:rFonts w:ascii="Arial" w:hAnsi="Arial" w:cs="Arial"/>
        </w:rPr>
        <w:t xml:space="preserve"> prior to top-up and tariff adjustments</w:t>
      </w:r>
      <w:r w:rsidR="008264A5" w:rsidRPr="00354B0B">
        <w:rPr>
          <w:rFonts w:ascii="Arial" w:hAnsi="Arial" w:cs="Arial"/>
        </w:rPr>
        <w:t xml:space="preserve">. However, a number of limitations with the current system, notably the negative impact of business rates appeals, mean boroughs are unlikely to achieve these targets. </w:t>
      </w:r>
      <w:r w:rsidR="00104F35" w:rsidRPr="00354B0B">
        <w:rPr>
          <w:rFonts w:ascii="Arial" w:hAnsi="Arial" w:cs="Arial"/>
        </w:rPr>
        <w:t xml:space="preserve">London Councils has </w:t>
      </w:r>
      <w:r w:rsidR="00275393" w:rsidRPr="00354B0B">
        <w:rPr>
          <w:rFonts w:ascii="Arial" w:hAnsi="Arial" w:cs="Arial"/>
        </w:rPr>
        <w:t xml:space="preserve">consistently </w:t>
      </w:r>
      <w:r w:rsidR="00104F35" w:rsidRPr="00354B0B">
        <w:rPr>
          <w:rFonts w:ascii="Arial" w:hAnsi="Arial" w:cs="Arial"/>
        </w:rPr>
        <w:t xml:space="preserve">argued that </w:t>
      </w:r>
      <w:r w:rsidR="00354B0B" w:rsidRPr="00354B0B">
        <w:rPr>
          <w:rFonts w:ascii="Arial" w:hAnsi="Arial" w:cs="Arial"/>
        </w:rPr>
        <w:t>the current retention scheme fails</w:t>
      </w:r>
      <w:r w:rsidR="00104F35" w:rsidRPr="00354B0B">
        <w:rPr>
          <w:rFonts w:ascii="Arial" w:hAnsi="Arial" w:cs="Arial"/>
        </w:rPr>
        <w:t xml:space="preserve"> to s</w:t>
      </w:r>
      <w:r w:rsidR="00275393" w:rsidRPr="00354B0B">
        <w:rPr>
          <w:rFonts w:ascii="Arial" w:hAnsi="Arial" w:cs="Arial"/>
        </w:rPr>
        <w:t xml:space="preserve">ufficiently incentivise growth: confirmed by the lack of substantial growth </w:t>
      </w:r>
      <w:r w:rsidR="00583456">
        <w:rPr>
          <w:rFonts w:ascii="Arial" w:hAnsi="Arial" w:cs="Arial"/>
        </w:rPr>
        <w:t xml:space="preserve">in retained rate income </w:t>
      </w:r>
      <w:r w:rsidR="00275393" w:rsidRPr="00354B0B">
        <w:rPr>
          <w:rFonts w:ascii="Arial" w:hAnsi="Arial" w:cs="Arial"/>
        </w:rPr>
        <w:t xml:space="preserve">across London in the first two years of the system. </w:t>
      </w:r>
    </w:p>
    <w:p w:rsidR="00354B0B" w:rsidRPr="00354B0B" w:rsidRDefault="00354B0B" w:rsidP="00354B0B">
      <w:pPr>
        <w:pStyle w:val="ListParagraph"/>
        <w:rPr>
          <w:rFonts w:ascii="Arial" w:hAnsi="Arial" w:cs="Arial"/>
        </w:rPr>
      </w:pPr>
    </w:p>
    <w:p w:rsidR="00275393" w:rsidRPr="00354B0B" w:rsidRDefault="00354B0B" w:rsidP="00354B0B">
      <w:pPr>
        <w:pStyle w:val="ListParagraph"/>
        <w:numPr>
          <w:ilvl w:val="0"/>
          <w:numId w:val="23"/>
        </w:numPr>
        <w:autoSpaceDE w:val="0"/>
        <w:autoSpaceDN w:val="0"/>
        <w:adjustRightInd w:val="0"/>
        <w:spacing w:after="0" w:line="360" w:lineRule="auto"/>
        <w:ind w:left="426"/>
        <w:rPr>
          <w:rFonts w:ascii="Arial" w:hAnsi="Arial" w:cs="Arial"/>
        </w:rPr>
      </w:pPr>
      <w:r w:rsidRPr="00354B0B">
        <w:rPr>
          <w:rFonts w:ascii="Arial" w:hAnsi="Arial" w:cs="Arial"/>
        </w:rPr>
        <w:t xml:space="preserve">The </w:t>
      </w:r>
      <w:r w:rsidR="00275393" w:rsidRPr="00354B0B">
        <w:rPr>
          <w:rFonts w:ascii="Arial" w:hAnsi="Arial" w:cs="Arial"/>
        </w:rPr>
        <w:t>recent Spending Review submission</w:t>
      </w:r>
      <w:r>
        <w:rPr>
          <w:rStyle w:val="FootnoteReference"/>
          <w:rFonts w:ascii="Arial" w:hAnsi="Arial" w:cs="Arial"/>
        </w:rPr>
        <w:footnoteReference w:id="2"/>
      </w:r>
      <w:r w:rsidR="00275393" w:rsidRPr="00354B0B">
        <w:rPr>
          <w:rFonts w:ascii="Arial" w:hAnsi="Arial" w:cs="Arial"/>
        </w:rPr>
        <w:t xml:space="preserve"> asked</w:t>
      </w:r>
      <w:r w:rsidR="00104F35" w:rsidRPr="00354B0B">
        <w:rPr>
          <w:rFonts w:ascii="Arial" w:hAnsi="Arial" w:cs="Arial"/>
        </w:rPr>
        <w:t xml:space="preserve"> for </w:t>
      </w:r>
      <w:r w:rsidR="00275393" w:rsidRPr="00354B0B">
        <w:rPr>
          <w:rFonts w:ascii="Arial" w:hAnsi="Arial" w:cs="Arial"/>
        </w:rPr>
        <w:t xml:space="preserve">a number of reforms to be made to address </w:t>
      </w:r>
      <w:r w:rsidR="002C0BA8">
        <w:rPr>
          <w:rFonts w:ascii="Arial" w:hAnsi="Arial" w:cs="Arial"/>
        </w:rPr>
        <w:t xml:space="preserve">this, </w:t>
      </w:r>
      <w:r w:rsidR="00275393" w:rsidRPr="00354B0B">
        <w:rPr>
          <w:rFonts w:ascii="Arial" w:hAnsi="Arial" w:cs="Arial"/>
        </w:rPr>
        <w:t>including</w:t>
      </w:r>
      <w:r w:rsidR="00F73BE5" w:rsidRPr="00354B0B">
        <w:rPr>
          <w:rFonts w:ascii="Arial" w:hAnsi="Arial" w:cs="Arial"/>
        </w:rPr>
        <w:t xml:space="preserve"> asking for:</w:t>
      </w:r>
    </w:p>
    <w:p w:rsidR="00F73BE5" w:rsidRPr="00F73BE5" w:rsidRDefault="009A757F" w:rsidP="00354B0B">
      <w:pPr>
        <w:pStyle w:val="ListParagraph"/>
        <w:numPr>
          <w:ilvl w:val="1"/>
          <w:numId w:val="36"/>
        </w:numPr>
        <w:autoSpaceDE w:val="0"/>
        <w:autoSpaceDN w:val="0"/>
        <w:adjustRightInd w:val="0"/>
        <w:spacing w:after="0" w:line="360" w:lineRule="auto"/>
        <w:ind w:left="1276"/>
        <w:rPr>
          <w:rFonts w:cs="Arial"/>
        </w:rPr>
      </w:pPr>
      <w:r>
        <w:rPr>
          <w:rFonts w:ascii="Arial" w:hAnsi="Arial" w:cs="Arial"/>
        </w:rPr>
        <w:t>full</w:t>
      </w:r>
      <w:r w:rsidR="00F73BE5" w:rsidRPr="00F73BE5">
        <w:rPr>
          <w:rFonts w:ascii="Arial" w:hAnsi="Arial" w:cs="Arial"/>
        </w:rPr>
        <w:t xml:space="preserve"> retention of </w:t>
      </w:r>
      <w:r>
        <w:rPr>
          <w:rFonts w:ascii="Arial" w:hAnsi="Arial" w:cs="Arial"/>
        </w:rPr>
        <w:t xml:space="preserve">business rates </w:t>
      </w:r>
      <w:r w:rsidR="00F73BE5" w:rsidRPr="00F73BE5">
        <w:rPr>
          <w:rFonts w:ascii="Arial" w:hAnsi="Arial" w:cs="Arial"/>
        </w:rPr>
        <w:t xml:space="preserve">growth across all local authorities (not just pilots </w:t>
      </w:r>
      <w:r>
        <w:rPr>
          <w:rFonts w:ascii="Arial" w:hAnsi="Arial" w:cs="Arial"/>
        </w:rPr>
        <w:t>announced at the Budget in March);</w:t>
      </w:r>
    </w:p>
    <w:p w:rsidR="00F73BE5" w:rsidRPr="00F73BE5" w:rsidRDefault="00F73BE5" w:rsidP="00354B0B">
      <w:pPr>
        <w:pStyle w:val="ListParagraph"/>
        <w:numPr>
          <w:ilvl w:val="1"/>
          <w:numId w:val="36"/>
        </w:numPr>
        <w:autoSpaceDE w:val="0"/>
        <w:autoSpaceDN w:val="0"/>
        <w:adjustRightInd w:val="0"/>
        <w:spacing w:after="0" w:line="360" w:lineRule="auto"/>
        <w:ind w:left="1276"/>
        <w:rPr>
          <w:rFonts w:cs="Arial"/>
        </w:rPr>
      </w:pPr>
      <w:r>
        <w:rPr>
          <w:rFonts w:ascii="Arial" w:hAnsi="Arial" w:cs="Arial"/>
        </w:rPr>
        <w:t>100</w:t>
      </w:r>
      <w:r w:rsidRPr="00F73BE5">
        <w:rPr>
          <w:rFonts w:ascii="Arial" w:hAnsi="Arial" w:cs="Arial"/>
        </w:rPr>
        <w:t xml:space="preserve"> per cent retention of business rates</w:t>
      </w:r>
      <w:r>
        <w:rPr>
          <w:rFonts w:ascii="Arial" w:hAnsi="Arial" w:cs="Arial"/>
        </w:rPr>
        <w:t xml:space="preserve"> </w:t>
      </w:r>
      <w:r w:rsidR="009A757F">
        <w:rPr>
          <w:rFonts w:ascii="Arial" w:hAnsi="Arial" w:cs="Arial"/>
        </w:rPr>
        <w:t xml:space="preserve">taxation </w:t>
      </w:r>
      <w:r>
        <w:rPr>
          <w:rFonts w:ascii="Arial" w:hAnsi="Arial" w:cs="Arial"/>
        </w:rPr>
        <w:t>by the end of the parliament</w:t>
      </w:r>
      <w:r w:rsidR="008264A5">
        <w:rPr>
          <w:rFonts w:ascii="Arial" w:hAnsi="Arial" w:cs="Arial"/>
        </w:rPr>
        <w:t>;</w:t>
      </w:r>
    </w:p>
    <w:p w:rsidR="009A757F" w:rsidRDefault="009A757F" w:rsidP="009A757F">
      <w:pPr>
        <w:pStyle w:val="ListParagraph"/>
        <w:numPr>
          <w:ilvl w:val="1"/>
          <w:numId w:val="36"/>
        </w:numPr>
        <w:autoSpaceDE w:val="0"/>
        <w:autoSpaceDN w:val="0"/>
        <w:adjustRightInd w:val="0"/>
        <w:spacing w:after="0" w:line="360" w:lineRule="auto"/>
        <w:ind w:left="1276"/>
        <w:rPr>
          <w:rFonts w:ascii="Arial" w:hAnsi="Arial" w:cs="Arial"/>
        </w:rPr>
      </w:pPr>
      <w:r>
        <w:rPr>
          <w:rFonts w:ascii="Arial" w:hAnsi="Arial" w:cs="Arial"/>
        </w:rPr>
        <w:t>devolution of</w:t>
      </w:r>
      <w:r w:rsidRPr="00F73BE5">
        <w:rPr>
          <w:rFonts w:ascii="Arial" w:hAnsi="Arial" w:cs="Arial"/>
        </w:rPr>
        <w:t xml:space="preserve"> power </w:t>
      </w:r>
      <w:r w:rsidRPr="008264A5">
        <w:rPr>
          <w:rFonts w:ascii="Arial" w:hAnsi="Arial" w:cs="Arial"/>
        </w:rPr>
        <w:t xml:space="preserve">to local government </w:t>
      </w:r>
      <w:r w:rsidRPr="00F73BE5">
        <w:rPr>
          <w:rFonts w:ascii="Arial" w:hAnsi="Arial" w:cs="Arial"/>
        </w:rPr>
        <w:t>to determine mandat</w:t>
      </w:r>
      <w:r>
        <w:rPr>
          <w:rFonts w:ascii="Arial" w:hAnsi="Arial" w:cs="Arial"/>
        </w:rPr>
        <w:t>ory reliefs;</w:t>
      </w:r>
      <w:r w:rsidR="002300BD">
        <w:rPr>
          <w:rFonts w:ascii="Arial" w:hAnsi="Arial" w:cs="Arial"/>
        </w:rPr>
        <w:t xml:space="preserve"> and for</w:t>
      </w:r>
    </w:p>
    <w:p w:rsidR="009A757F" w:rsidRPr="009A757F" w:rsidRDefault="009A757F" w:rsidP="00354B0B">
      <w:pPr>
        <w:pStyle w:val="ListParagraph"/>
        <w:numPr>
          <w:ilvl w:val="1"/>
          <w:numId w:val="36"/>
        </w:numPr>
        <w:autoSpaceDE w:val="0"/>
        <w:autoSpaceDN w:val="0"/>
        <w:adjustRightInd w:val="0"/>
        <w:spacing w:after="0" w:line="360" w:lineRule="auto"/>
        <w:ind w:left="1276"/>
        <w:rPr>
          <w:rFonts w:cs="Arial"/>
        </w:rPr>
      </w:pPr>
      <w:r w:rsidRPr="009A757F">
        <w:rPr>
          <w:rFonts w:ascii="Arial" w:hAnsi="Arial" w:cs="Arial"/>
        </w:rPr>
        <w:t>locally defined areas to be able to vary the national business rates multiplier according to the needs of their local areas</w:t>
      </w:r>
      <w:r w:rsidR="002300BD">
        <w:rPr>
          <w:rFonts w:ascii="Arial" w:hAnsi="Arial" w:cs="Arial"/>
        </w:rPr>
        <w:t>.</w:t>
      </w:r>
      <w:r>
        <w:rPr>
          <w:rFonts w:ascii="Arial" w:hAnsi="Arial" w:cs="Arial"/>
        </w:rPr>
        <w:t xml:space="preserve"> </w:t>
      </w:r>
    </w:p>
    <w:p w:rsidR="00515E47" w:rsidRDefault="00515E47" w:rsidP="003D5DF6">
      <w:pPr>
        <w:autoSpaceDE w:val="0"/>
        <w:autoSpaceDN w:val="0"/>
        <w:adjustRightInd w:val="0"/>
        <w:spacing w:line="360" w:lineRule="auto"/>
        <w:rPr>
          <w:rFonts w:cs="Arial"/>
        </w:rPr>
      </w:pPr>
    </w:p>
    <w:p w:rsidR="00515E47" w:rsidRPr="00515E47" w:rsidRDefault="00515E47" w:rsidP="00E435EA">
      <w:pPr>
        <w:pStyle w:val="ListParagraph"/>
        <w:numPr>
          <w:ilvl w:val="0"/>
          <w:numId w:val="23"/>
        </w:numPr>
        <w:autoSpaceDE w:val="0"/>
        <w:autoSpaceDN w:val="0"/>
        <w:adjustRightInd w:val="0"/>
        <w:spacing w:after="0" w:line="360" w:lineRule="auto"/>
        <w:ind w:left="426"/>
        <w:rPr>
          <w:rFonts w:ascii="Arial" w:hAnsi="Arial" w:cs="Arial"/>
        </w:rPr>
      </w:pPr>
      <w:r w:rsidRPr="00515E47">
        <w:rPr>
          <w:rFonts w:ascii="Arial" w:hAnsi="Arial" w:cs="Arial"/>
        </w:rPr>
        <w:t xml:space="preserve">In addition, the submission highlighted the fact that in 2015-16 there </w:t>
      </w:r>
      <w:r w:rsidR="008264A5">
        <w:rPr>
          <w:rFonts w:ascii="Arial" w:hAnsi="Arial" w:cs="Arial"/>
        </w:rPr>
        <w:t xml:space="preserve">will be </w:t>
      </w:r>
      <w:r w:rsidRPr="00515E47">
        <w:rPr>
          <w:rFonts w:ascii="Arial" w:hAnsi="Arial" w:cs="Arial"/>
        </w:rPr>
        <w:t xml:space="preserve">a surplus in business rates for the first time, which will grow to </w:t>
      </w:r>
      <w:r w:rsidR="009A757F">
        <w:rPr>
          <w:rFonts w:ascii="Arial" w:hAnsi="Arial" w:cs="Arial"/>
        </w:rPr>
        <w:t xml:space="preserve">around </w:t>
      </w:r>
      <w:r w:rsidRPr="00515E47">
        <w:rPr>
          <w:rFonts w:ascii="Arial" w:hAnsi="Arial" w:cs="Arial"/>
        </w:rPr>
        <w:t xml:space="preserve">£11 billion </w:t>
      </w:r>
      <w:r w:rsidR="002C0BA8">
        <w:rPr>
          <w:rFonts w:ascii="Arial" w:hAnsi="Arial" w:cs="Arial"/>
        </w:rPr>
        <w:t xml:space="preserve">nationally </w:t>
      </w:r>
      <w:r w:rsidRPr="00515E47">
        <w:rPr>
          <w:rFonts w:ascii="Arial" w:hAnsi="Arial" w:cs="Arial"/>
        </w:rPr>
        <w:t xml:space="preserve">by 2020 as total business rates yield increases by RPI inflation and total funding falls as part of deficit reduction (see Chart 1). </w:t>
      </w:r>
      <w:r w:rsidR="002300BD">
        <w:rPr>
          <w:rFonts w:ascii="Arial" w:hAnsi="Arial" w:cs="Arial"/>
        </w:rPr>
        <w:t>The submission a</w:t>
      </w:r>
      <w:r w:rsidRPr="00515E47">
        <w:rPr>
          <w:rFonts w:ascii="Arial" w:hAnsi="Arial" w:cs="Arial"/>
        </w:rPr>
        <w:t xml:space="preserve">sked for the </w:t>
      </w:r>
      <w:r w:rsidR="00497192" w:rsidRPr="00515E47">
        <w:rPr>
          <w:rFonts w:ascii="Arial" w:hAnsi="Arial" w:cs="Arial"/>
        </w:rPr>
        <w:t xml:space="preserve">Government </w:t>
      </w:r>
      <w:r w:rsidRPr="00515E47">
        <w:rPr>
          <w:rFonts w:ascii="Arial" w:hAnsi="Arial" w:cs="Arial"/>
        </w:rPr>
        <w:t>to clarify what it intends to do with the business rates surplus between now and 2020, including clarifying which specific grants it is funding, and what other existing grants it intends to fund through this mechanism.</w:t>
      </w:r>
      <w:r w:rsidR="00497192" w:rsidRPr="00515E47">
        <w:rPr>
          <w:rFonts w:ascii="Arial" w:hAnsi="Arial" w:cs="Arial"/>
        </w:rPr>
        <w:t xml:space="preserve"> </w:t>
      </w:r>
    </w:p>
    <w:p w:rsidR="00497192" w:rsidRDefault="00497192"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E435EA" w:rsidRDefault="00E435EA" w:rsidP="003D5DF6">
      <w:pPr>
        <w:spacing w:line="360" w:lineRule="auto"/>
        <w:rPr>
          <w:rFonts w:cs="Arial"/>
        </w:rPr>
      </w:pPr>
    </w:p>
    <w:p w:rsidR="00630A9B" w:rsidRDefault="00630A9B" w:rsidP="003D5DF6">
      <w:pPr>
        <w:spacing w:line="360" w:lineRule="auto"/>
        <w:rPr>
          <w:rFonts w:cs="Arial"/>
        </w:rPr>
      </w:pPr>
    </w:p>
    <w:p w:rsidR="00497192" w:rsidRPr="00DE18F0" w:rsidRDefault="00497192" w:rsidP="003D5DF6">
      <w:pPr>
        <w:spacing w:line="360" w:lineRule="auto"/>
        <w:ind w:left="425" w:hanging="425"/>
        <w:rPr>
          <w:rFonts w:cs="Arial"/>
          <w:b/>
        </w:rPr>
      </w:pPr>
      <w:r w:rsidRPr="00DE18F0">
        <w:rPr>
          <w:rFonts w:cs="Arial"/>
          <w:b/>
        </w:rPr>
        <w:lastRenderedPageBreak/>
        <w:t xml:space="preserve">Chart </w:t>
      </w:r>
      <w:r w:rsidR="009902CA">
        <w:rPr>
          <w:rFonts w:cs="Arial"/>
          <w:b/>
        </w:rPr>
        <w:t>1</w:t>
      </w:r>
      <w:r w:rsidRPr="00DE18F0">
        <w:rPr>
          <w:rFonts w:cs="Arial"/>
          <w:b/>
        </w:rPr>
        <w:t xml:space="preserve"> – </w:t>
      </w:r>
      <w:r w:rsidR="009902CA">
        <w:rPr>
          <w:rFonts w:cs="Arial"/>
          <w:b/>
        </w:rPr>
        <w:t>Estimated</w:t>
      </w:r>
      <w:r w:rsidRPr="00DE18F0">
        <w:rPr>
          <w:rFonts w:cs="Arial"/>
          <w:b/>
        </w:rPr>
        <w:t xml:space="preserve"> local government funding and business rates to 2020</w:t>
      </w:r>
      <w:r w:rsidR="009902CA">
        <w:rPr>
          <w:rFonts w:cs="Arial"/>
          <w:b/>
        </w:rPr>
        <w:t xml:space="preserve"> - England</w:t>
      </w:r>
    </w:p>
    <w:p w:rsidR="00497192" w:rsidRPr="00DE18F0" w:rsidRDefault="00E435EA" w:rsidP="003D5DF6">
      <w:pPr>
        <w:spacing w:line="360" w:lineRule="auto"/>
        <w:ind w:left="426" w:hanging="426"/>
        <w:rPr>
          <w:rFonts w:cs="Arial"/>
        </w:rPr>
      </w:pPr>
      <w:r>
        <w:rPr>
          <w:noProof/>
          <w:lang w:eastAsia="en-GB"/>
        </w:rPr>
        <w:drawing>
          <wp:inline distT="0" distB="0" distL="0" distR="0" wp14:anchorId="6DA6A3D9" wp14:editId="2CE8B212">
            <wp:extent cx="5921530" cy="3114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116" t="22052" r="20993" b="30070"/>
                    <a:stretch/>
                  </pic:blipFill>
                  <pic:spPr bwMode="auto">
                    <a:xfrm>
                      <a:off x="0" y="0"/>
                      <a:ext cx="5921530" cy="3114675"/>
                    </a:xfrm>
                    <a:prstGeom prst="rect">
                      <a:avLst/>
                    </a:prstGeom>
                    <a:ln>
                      <a:noFill/>
                    </a:ln>
                    <a:extLst>
                      <a:ext uri="{53640926-AAD7-44D8-BBD7-CCE9431645EC}">
                        <a14:shadowObscured xmlns:a14="http://schemas.microsoft.com/office/drawing/2010/main"/>
                      </a:ext>
                    </a:extLst>
                  </pic:spPr>
                </pic:pic>
              </a:graphicData>
            </a:graphic>
          </wp:inline>
        </w:drawing>
      </w:r>
    </w:p>
    <w:p w:rsidR="00F16960" w:rsidRPr="009902CA" w:rsidRDefault="00497192" w:rsidP="003D5DF6">
      <w:pPr>
        <w:pStyle w:val="Heading2"/>
        <w:spacing w:before="0" w:after="0" w:line="360" w:lineRule="auto"/>
        <w:ind w:left="426" w:hanging="426"/>
        <w:rPr>
          <w:b w:val="0"/>
        </w:rPr>
      </w:pPr>
      <w:r w:rsidRPr="00DE18F0">
        <w:rPr>
          <w:b w:val="0"/>
        </w:rPr>
        <w:t>Source: Lo</w:t>
      </w:r>
      <w:r w:rsidR="009902CA">
        <w:rPr>
          <w:b w:val="0"/>
        </w:rPr>
        <w:t>ndon Councils’ Spending Review submission</w:t>
      </w:r>
    </w:p>
    <w:p w:rsidR="00F16960" w:rsidRPr="00DE18F0" w:rsidRDefault="00F16960" w:rsidP="003D5DF6">
      <w:pPr>
        <w:autoSpaceDE w:val="0"/>
        <w:autoSpaceDN w:val="0"/>
        <w:adjustRightInd w:val="0"/>
        <w:spacing w:line="360" w:lineRule="auto"/>
        <w:contextualSpacing/>
        <w:rPr>
          <w:rFonts w:eastAsia="Calibri" w:cs="Arial"/>
        </w:rPr>
      </w:pPr>
    </w:p>
    <w:p w:rsidR="009A6EBB" w:rsidRPr="003D5DF6" w:rsidRDefault="009F51BE" w:rsidP="003D5DF6">
      <w:pPr>
        <w:autoSpaceDE w:val="0"/>
        <w:autoSpaceDN w:val="0"/>
        <w:adjustRightInd w:val="0"/>
        <w:spacing w:after="120" w:line="360" w:lineRule="auto"/>
        <w:contextualSpacing/>
        <w:rPr>
          <w:rFonts w:cs="Arial"/>
          <w:b/>
          <w:u w:val="single"/>
        </w:rPr>
      </w:pPr>
      <w:r w:rsidRPr="003D5DF6">
        <w:rPr>
          <w:rFonts w:cs="Arial"/>
          <w:b/>
          <w:u w:val="single"/>
        </w:rPr>
        <w:t>The propos</w:t>
      </w:r>
      <w:r w:rsidR="00002E8F" w:rsidRPr="003D5DF6">
        <w:rPr>
          <w:rFonts w:cs="Arial"/>
          <w:b/>
          <w:u w:val="single"/>
        </w:rPr>
        <w:t>ed ref</w:t>
      </w:r>
      <w:r w:rsidR="00497192" w:rsidRPr="003D5DF6">
        <w:rPr>
          <w:rFonts w:cs="Arial"/>
          <w:b/>
          <w:u w:val="single"/>
        </w:rPr>
        <w:t>o</w:t>
      </w:r>
      <w:r w:rsidR="00002E8F" w:rsidRPr="003D5DF6">
        <w:rPr>
          <w:rFonts w:cs="Arial"/>
          <w:b/>
          <w:u w:val="single"/>
        </w:rPr>
        <w:t>r</w:t>
      </w:r>
      <w:r w:rsidR="00497192" w:rsidRPr="003D5DF6">
        <w:rPr>
          <w:rFonts w:cs="Arial"/>
          <w:b/>
          <w:u w:val="single"/>
        </w:rPr>
        <w:t>ms</w:t>
      </w:r>
    </w:p>
    <w:p w:rsidR="009F51BE" w:rsidRPr="00515E47" w:rsidRDefault="008264A5" w:rsidP="00F51E81">
      <w:pPr>
        <w:pStyle w:val="ListParagraph"/>
        <w:numPr>
          <w:ilvl w:val="0"/>
          <w:numId w:val="23"/>
        </w:numPr>
        <w:spacing w:line="360" w:lineRule="auto"/>
        <w:ind w:left="426"/>
        <w:rPr>
          <w:rFonts w:ascii="Arial" w:hAnsi="Arial" w:cs="Arial"/>
        </w:rPr>
      </w:pPr>
      <w:r>
        <w:rPr>
          <w:rFonts w:ascii="Arial" w:hAnsi="Arial" w:cs="Arial"/>
        </w:rPr>
        <w:t xml:space="preserve">The </w:t>
      </w:r>
      <w:r w:rsidR="00515E47">
        <w:rPr>
          <w:rFonts w:ascii="Arial" w:hAnsi="Arial" w:cs="Arial"/>
        </w:rPr>
        <w:t xml:space="preserve">details that have </w:t>
      </w:r>
      <w:r w:rsidR="00912870" w:rsidRPr="00515E47">
        <w:rPr>
          <w:rFonts w:ascii="Arial" w:hAnsi="Arial" w:cs="Arial"/>
        </w:rPr>
        <w:t>been announced so far are that</w:t>
      </w:r>
      <w:r w:rsidR="00CC2CC7">
        <w:rPr>
          <w:rFonts w:ascii="Arial" w:hAnsi="Arial" w:cs="Arial"/>
        </w:rPr>
        <w:t>, by the end of the current parliament (2020)</w:t>
      </w:r>
      <w:r w:rsidR="00912870" w:rsidRPr="00515E47">
        <w:rPr>
          <w:rFonts w:ascii="Arial" w:hAnsi="Arial" w:cs="Arial"/>
        </w:rPr>
        <w:t>:</w:t>
      </w:r>
    </w:p>
    <w:p w:rsidR="009F51BE" w:rsidRPr="00CC2CC7" w:rsidRDefault="00CC2CC7" w:rsidP="003D5DF6">
      <w:pPr>
        <w:pStyle w:val="ListParagraph"/>
        <w:numPr>
          <w:ilvl w:val="0"/>
          <w:numId w:val="24"/>
        </w:numPr>
        <w:spacing w:after="0" w:line="360" w:lineRule="auto"/>
        <w:ind w:left="1276"/>
        <w:contextualSpacing w:val="0"/>
        <w:rPr>
          <w:rFonts w:ascii="Arial" w:hAnsi="Arial" w:cs="Arial"/>
        </w:rPr>
      </w:pPr>
      <w:r>
        <w:rPr>
          <w:rFonts w:ascii="Arial" w:hAnsi="Arial" w:cs="Arial"/>
        </w:rPr>
        <w:t xml:space="preserve">local government will retain </w:t>
      </w:r>
      <w:r w:rsidR="00912870" w:rsidRPr="00CC2CC7">
        <w:rPr>
          <w:rFonts w:ascii="Arial" w:hAnsi="Arial" w:cs="Arial"/>
        </w:rPr>
        <w:t>100 per cent</w:t>
      </w:r>
      <w:r w:rsidR="009F51BE" w:rsidRPr="00CC2CC7">
        <w:rPr>
          <w:rFonts w:ascii="Arial" w:hAnsi="Arial" w:cs="Arial"/>
        </w:rPr>
        <w:t xml:space="preserve"> of business rates</w:t>
      </w:r>
      <w:r w:rsidR="00912870" w:rsidRPr="00CC2CC7">
        <w:rPr>
          <w:rFonts w:ascii="Arial" w:hAnsi="Arial" w:cs="Arial"/>
        </w:rPr>
        <w:t xml:space="preserve"> locally;</w:t>
      </w:r>
    </w:p>
    <w:p w:rsidR="008264A5" w:rsidRPr="00515E47" w:rsidRDefault="008264A5" w:rsidP="003D5DF6">
      <w:pPr>
        <w:pStyle w:val="ListParagraph"/>
        <w:numPr>
          <w:ilvl w:val="0"/>
          <w:numId w:val="24"/>
        </w:numPr>
        <w:spacing w:after="0" w:line="360" w:lineRule="auto"/>
        <w:ind w:left="1276"/>
        <w:contextualSpacing w:val="0"/>
        <w:rPr>
          <w:rFonts w:ascii="Arial" w:hAnsi="Arial" w:cs="Arial"/>
        </w:rPr>
      </w:pPr>
      <w:r w:rsidRPr="00515E47">
        <w:rPr>
          <w:rFonts w:ascii="Arial" w:hAnsi="Arial" w:cs="Arial"/>
        </w:rPr>
        <w:t>the core grant from Whitehall (RSG) will be phased out;</w:t>
      </w:r>
    </w:p>
    <w:p w:rsidR="008264A5" w:rsidRPr="00515E47" w:rsidRDefault="008264A5" w:rsidP="003D5DF6">
      <w:pPr>
        <w:pStyle w:val="ListParagraph"/>
        <w:numPr>
          <w:ilvl w:val="0"/>
          <w:numId w:val="24"/>
        </w:numPr>
        <w:spacing w:after="0" w:line="360" w:lineRule="auto"/>
        <w:ind w:left="1276"/>
        <w:contextualSpacing w:val="0"/>
        <w:rPr>
          <w:rFonts w:ascii="Arial" w:hAnsi="Arial" w:cs="Arial"/>
        </w:rPr>
      </w:pPr>
      <w:r>
        <w:rPr>
          <w:rFonts w:ascii="Arial" w:hAnsi="Arial" w:cs="Arial"/>
        </w:rPr>
        <w:t xml:space="preserve">local government will be expected to fund </w:t>
      </w:r>
      <w:r w:rsidRPr="00515E47">
        <w:rPr>
          <w:rFonts w:ascii="Arial" w:hAnsi="Arial" w:cs="Arial"/>
        </w:rPr>
        <w:t>new responsibilities</w:t>
      </w:r>
      <w:r w:rsidR="00256B69">
        <w:rPr>
          <w:rFonts w:ascii="Arial" w:hAnsi="Arial" w:cs="Arial"/>
        </w:rPr>
        <w:t xml:space="preserve"> </w:t>
      </w:r>
      <w:r>
        <w:rPr>
          <w:rFonts w:ascii="Arial" w:hAnsi="Arial" w:cs="Arial"/>
        </w:rPr>
        <w:t>with the</w:t>
      </w:r>
      <w:r w:rsidR="00256B69">
        <w:rPr>
          <w:rFonts w:ascii="Arial" w:hAnsi="Arial" w:cs="Arial"/>
        </w:rPr>
        <w:t xml:space="preserve"> increased business rates funding</w:t>
      </w:r>
      <w:r w:rsidRPr="00515E47">
        <w:rPr>
          <w:rFonts w:ascii="Arial" w:hAnsi="Arial" w:cs="Arial"/>
        </w:rPr>
        <w:t>;</w:t>
      </w:r>
    </w:p>
    <w:p w:rsidR="009F51BE" w:rsidRPr="00515E47" w:rsidRDefault="009F51BE" w:rsidP="003D5DF6">
      <w:pPr>
        <w:pStyle w:val="ListParagraph"/>
        <w:numPr>
          <w:ilvl w:val="0"/>
          <w:numId w:val="24"/>
        </w:numPr>
        <w:spacing w:after="0" w:line="360" w:lineRule="auto"/>
        <w:ind w:left="1276"/>
        <w:contextualSpacing w:val="0"/>
        <w:rPr>
          <w:rFonts w:ascii="Arial" w:hAnsi="Arial" w:cs="Arial"/>
        </w:rPr>
      </w:pPr>
      <w:r w:rsidRPr="00515E47">
        <w:rPr>
          <w:rFonts w:ascii="Arial" w:hAnsi="Arial" w:cs="Arial"/>
        </w:rPr>
        <w:t xml:space="preserve">the Uniform Business Rate </w:t>
      </w:r>
      <w:r w:rsidR="00E435EA">
        <w:rPr>
          <w:rFonts w:ascii="Arial" w:hAnsi="Arial" w:cs="Arial"/>
        </w:rPr>
        <w:t xml:space="preserve">(i.e. the nationally set multiplier) </w:t>
      </w:r>
      <w:r w:rsidRPr="00515E47">
        <w:rPr>
          <w:rFonts w:ascii="Arial" w:hAnsi="Arial" w:cs="Arial"/>
        </w:rPr>
        <w:t>will be abolishe</w:t>
      </w:r>
      <w:r w:rsidR="008264A5">
        <w:rPr>
          <w:rFonts w:ascii="Arial" w:hAnsi="Arial" w:cs="Arial"/>
        </w:rPr>
        <w:t xml:space="preserve">d and instead </w:t>
      </w:r>
      <w:r w:rsidRPr="00515E47">
        <w:rPr>
          <w:rFonts w:ascii="Arial" w:hAnsi="Arial" w:cs="Arial"/>
        </w:rPr>
        <w:t>local authoritie</w:t>
      </w:r>
      <w:r w:rsidR="00912870" w:rsidRPr="00515E47">
        <w:rPr>
          <w:rFonts w:ascii="Arial" w:hAnsi="Arial" w:cs="Arial"/>
        </w:rPr>
        <w:t>s will be given the power to</w:t>
      </w:r>
      <w:r w:rsidR="00912870" w:rsidRPr="002C0BA8">
        <w:rPr>
          <w:rFonts w:ascii="Arial" w:hAnsi="Arial" w:cs="Arial"/>
        </w:rPr>
        <w:t xml:space="preserve"> reduce</w:t>
      </w:r>
      <w:r w:rsidR="008264A5">
        <w:rPr>
          <w:rFonts w:ascii="Arial" w:hAnsi="Arial" w:cs="Arial"/>
        </w:rPr>
        <w:t xml:space="preserve"> business rates by varying the multiplier locally</w:t>
      </w:r>
      <w:r w:rsidR="00912870" w:rsidRPr="00515E47">
        <w:rPr>
          <w:rFonts w:ascii="Arial" w:hAnsi="Arial" w:cs="Arial"/>
        </w:rPr>
        <w:t>;</w:t>
      </w:r>
    </w:p>
    <w:p w:rsidR="009127B1" w:rsidRPr="00515E47" w:rsidRDefault="009F51BE" w:rsidP="003D5DF6">
      <w:pPr>
        <w:pStyle w:val="ListParagraph"/>
        <w:numPr>
          <w:ilvl w:val="0"/>
          <w:numId w:val="24"/>
        </w:numPr>
        <w:spacing w:after="0" w:line="360" w:lineRule="auto"/>
        <w:ind w:left="1276"/>
        <w:contextualSpacing w:val="0"/>
        <w:rPr>
          <w:rFonts w:ascii="Arial" w:hAnsi="Arial" w:cs="Arial"/>
          <w:i/>
          <w:iCs/>
        </w:rPr>
      </w:pPr>
      <w:r w:rsidRPr="00515E47">
        <w:rPr>
          <w:rFonts w:ascii="Arial" w:hAnsi="Arial" w:cs="Arial"/>
        </w:rPr>
        <w:t xml:space="preserve">areas which choose to have city-wide elected mayors will be given the power to increase </w:t>
      </w:r>
      <w:r w:rsidR="009127B1" w:rsidRPr="00515E47">
        <w:rPr>
          <w:rFonts w:ascii="Arial" w:hAnsi="Arial" w:cs="Arial"/>
        </w:rPr>
        <w:t xml:space="preserve">business </w:t>
      </w:r>
      <w:r w:rsidRPr="00515E47">
        <w:rPr>
          <w:rFonts w:ascii="Arial" w:hAnsi="Arial" w:cs="Arial"/>
        </w:rPr>
        <w:t xml:space="preserve">rates </w:t>
      </w:r>
      <w:r w:rsidR="009127B1" w:rsidRPr="00515E47">
        <w:rPr>
          <w:rFonts w:ascii="Arial" w:hAnsi="Arial" w:cs="Arial"/>
        </w:rPr>
        <w:t xml:space="preserve">by up to 2 per cent </w:t>
      </w:r>
      <w:r w:rsidRPr="00515E47">
        <w:rPr>
          <w:rFonts w:ascii="Arial" w:hAnsi="Arial" w:cs="Arial"/>
        </w:rPr>
        <w:t>for spending on local infrastructure projects, as long as they win the support of local business</w:t>
      </w:r>
      <w:r w:rsidR="00E435EA">
        <w:rPr>
          <w:rFonts w:ascii="Arial" w:hAnsi="Arial" w:cs="Arial"/>
        </w:rPr>
        <w:t>es</w:t>
      </w:r>
      <w:r w:rsidR="000D2589">
        <w:rPr>
          <w:rFonts w:ascii="Arial" w:hAnsi="Arial" w:cs="Arial"/>
        </w:rPr>
        <w:t xml:space="preserve"> through a majority vote on the LEP</w:t>
      </w:r>
      <w:r w:rsidR="00E53D53">
        <w:rPr>
          <w:rFonts w:ascii="Arial" w:hAnsi="Arial" w:cs="Arial"/>
        </w:rPr>
        <w:t>.</w:t>
      </w:r>
    </w:p>
    <w:p w:rsidR="009F51BE" w:rsidRDefault="009F51BE" w:rsidP="003D5DF6">
      <w:pPr>
        <w:spacing w:line="360" w:lineRule="auto"/>
        <w:rPr>
          <w:rFonts w:cs="Arial"/>
          <w:i/>
          <w:iCs/>
        </w:rPr>
      </w:pPr>
    </w:p>
    <w:p w:rsidR="004A62ED" w:rsidRDefault="00002E8F" w:rsidP="00F51E81">
      <w:pPr>
        <w:pStyle w:val="ListParagraph"/>
        <w:numPr>
          <w:ilvl w:val="0"/>
          <w:numId w:val="23"/>
        </w:numPr>
        <w:spacing w:after="0" w:line="360" w:lineRule="auto"/>
        <w:ind w:left="426"/>
        <w:rPr>
          <w:rFonts w:ascii="Arial" w:hAnsi="Arial" w:cs="Arial"/>
        </w:rPr>
      </w:pPr>
      <w:r w:rsidRPr="00CC2CC7">
        <w:rPr>
          <w:rFonts w:ascii="Arial" w:hAnsi="Arial" w:cs="Arial"/>
        </w:rPr>
        <w:t>The full</w:t>
      </w:r>
      <w:r w:rsidR="00F51E81">
        <w:rPr>
          <w:rFonts w:ascii="Arial" w:hAnsi="Arial" w:cs="Arial"/>
        </w:rPr>
        <w:t xml:space="preserve"> details of the reforms are still to be announced</w:t>
      </w:r>
      <w:r w:rsidRPr="00CC2CC7">
        <w:rPr>
          <w:rFonts w:ascii="Arial" w:hAnsi="Arial" w:cs="Arial"/>
        </w:rPr>
        <w:t xml:space="preserve"> and</w:t>
      </w:r>
      <w:r w:rsidR="00F51E81">
        <w:rPr>
          <w:rFonts w:ascii="Arial" w:hAnsi="Arial" w:cs="Arial"/>
        </w:rPr>
        <w:t>,</w:t>
      </w:r>
      <w:r w:rsidRPr="00CC2CC7">
        <w:rPr>
          <w:rFonts w:ascii="Arial" w:hAnsi="Arial" w:cs="Arial"/>
        </w:rPr>
        <w:t xml:space="preserve"> </w:t>
      </w:r>
      <w:r w:rsidR="004A62ED">
        <w:rPr>
          <w:rFonts w:ascii="Arial" w:hAnsi="Arial" w:cs="Arial"/>
        </w:rPr>
        <w:t>due to the level of complexity</w:t>
      </w:r>
      <w:r w:rsidR="00F51E81">
        <w:rPr>
          <w:rFonts w:ascii="Arial" w:hAnsi="Arial" w:cs="Arial"/>
        </w:rPr>
        <w:t>,</w:t>
      </w:r>
      <w:r w:rsidR="004A62ED">
        <w:rPr>
          <w:rFonts w:ascii="Arial" w:hAnsi="Arial" w:cs="Arial"/>
        </w:rPr>
        <w:t xml:space="preserve"> are likely to</w:t>
      </w:r>
      <w:r w:rsidRPr="004A62ED">
        <w:rPr>
          <w:rFonts w:ascii="Arial" w:hAnsi="Arial" w:cs="Arial"/>
        </w:rPr>
        <w:t xml:space="preserve"> take </w:t>
      </w:r>
      <w:r w:rsidR="004A62ED">
        <w:rPr>
          <w:rFonts w:ascii="Arial" w:hAnsi="Arial" w:cs="Arial"/>
        </w:rPr>
        <w:t xml:space="preserve">considerable </w:t>
      </w:r>
      <w:r w:rsidRPr="004A62ED">
        <w:rPr>
          <w:rFonts w:ascii="Arial" w:hAnsi="Arial" w:cs="Arial"/>
        </w:rPr>
        <w:t xml:space="preserve">time </w:t>
      </w:r>
      <w:r w:rsidR="004A62ED">
        <w:rPr>
          <w:rFonts w:ascii="Arial" w:hAnsi="Arial" w:cs="Arial"/>
        </w:rPr>
        <w:t xml:space="preserve">to be developed by </w:t>
      </w:r>
      <w:r w:rsidRPr="004A62ED">
        <w:rPr>
          <w:rFonts w:ascii="Arial" w:hAnsi="Arial" w:cs="Arial"/>
        </w:rPr>
        <w:t>DCLG</w:t>
      </w:r>
      <w:r w:rsidR="004A62ED">
        <w:rPr>
          <w:rFonts w:ascii="Arial" w:hAnsi="Arial" w:cs="Arial"/>
        </w:rPr>
        <w:t>. However,</w:t>
      </w:r>
      <w:r w:rsidRPr="004A62ED">
        <w:rPr>
          <w:rFonts w:ascii="Arial" w:hAnsi="Arial" w:cs="Arial"/>
        </w:rPr>
        <w:t xml:space="preserve"> </w:t>
      </w:r>
      <w:r w:rsidR="004A62ED">
        <w:rPr>
          <w:rFonts w:ascii="Arial" w:hAnsi="Arial" w:cs="Arial"/>
        </w:rPr>
        <w:t>i</w:t>
      </w:r>
      <w:r w:rsidR="004A62ED" w:rsidRPr="00002E8F">
        <w:rPr>
          <w:rFonts w:ascii="Arial" w:hAnsi="Arial" w:cs="Arial"/>
        </w:rPr>
        <w:t>t has been indicated</w:t>
      </w:r>
      <w:r w:rsidR="00F51E81">
        <w:rPr>
          <w:rFonts w:ascii="Arial" w:hAnsi="Arial" w:cs="Arial"/>
        </w:rPr>
        <w:t xml:space="preserve"> that</w:t>
      </w:r>
      <w:r w:rsidR="004A62ED" w:rsidRPr="00002E8F">
        <w:rPr>
          <w:rFonts w:ascii="Arial" w:hAnsi="Arial" w:cs="Arial"/>
        </w:rPr>
        <w:t xml:space="preserve"> </w:t>
      </w:r>
      <w:r w:rsidR="00556F21">
        <w:rPr>
          <w:rFonts w:ascii="Arial" w:hAnsi="Arial" w:cs="Arial"/>
        </w:rPr>
        <w:t>further detail will be</w:t>
      </w:r>
      <w:r w:rsidR="004A62ED" w:rsidRPr="00002E8F">
        <w:rPr>
          <w:rFonts w:ascii="Arial" w:hAnsi="Arial" w:cs="Arial"/>
        </w:rPr>
        <w:t xml:space="preserve"> a</w:t>
      </w:r>
      <w:r w:rsidR="00556F21">
        <w:rPr>
          <w:rFonts w:ascii="Arial" w:hAnsi="Arial" w:cs="Arial"/>
        </w:rPr>
        <w:t>nnounced at the Spending Review</w:t>
      </w:r>
      <w:r w:rsidR="00F51E81">
        <w:rPr>
          <w:rFonts w:ascii="Arial" w:hAnsi="Arial" w:cs="Arial"/>
        </w:rPr>
        <w:t xml:space="preserve"> (November 25)</w:t>
      </w:r>
      <w:r w:rsidR="00556F21">
        <w:rPr>
          <w:rFonts w:ascii="Arial" w:hAnsi="Arial" w:cs="Arial"/>
        </w:rPr>
        <w:t xml:space="preserve">, which </w:t>
      </w:r>
      <w:r w:rsidR="00556F21">
        <w:rPr>
          <w:rFonts w:ascii="Arial" w:hAnsi="Arial" w:cs="Arial"/>
        </w:rPr>
        <w:lastRenderedPageBreak/>
        <w:t>is</w:t>
      </w:r>
      <w:r w:rsidR="002C0BA8">
        <w:rPr>
          <w:rFonts w:ascii="Arial" w:hAnsi="Arial" w:cs="Arial"/>
        </w:rPr>
        <w:t xml:space="preserve"> also</w:t>
      </w:r>
      <w:r w:rsidR="00556F21">
        <w:rPr>
          <w:rFonts w:ascii="Arial" w:hAnsi="Arial" w:cs="Arial"/>
        </w:rPr>
        <w:t xml:space="preserve"> likely to include the findings of the government’s </w:t>
      </w:r>
      <w:r w:rsidR="00F51E81">
        <w:rPr>
          <w:rFonts w:ascii="Arial" w:hAnsi="Arial" w:cs="Arial"/>
        </w:rPr>
        <w:t xml:space="preserve">overarching </w:t>
      </w:r>
      <w:r w:rsidR="000D2589">
        <w:rPr>
          <w:rFonts w:ascii="Arial" w:hAnsi="Arial" w:cs="Arial"/>
        </w:rPr>
        <w:t>review of b</w:t>
      </w:r>
      <w:r w:rsidR="00556F21">
        <w:rPr>
          <w:rFonts w:ascii="Arial" w:hAnsi="Arial" w:cs="Arial"/>
        </w:rPr>
        <w:t xml:space="preserve">usiness </w:t>
      </w:r>
      <w:r w:rsidR="000D2589">
        <w:rPr>
          <w:rFonts w:ascii="Arial" w:hAnsi="Arial" w:cs="Arial"/>
        </w:rPr>
        <w:t>r</w:t>
      </w:r>
      <w:r w:rsidR="00556F21">
        <w:rPr>
          <w:rFonts w:ascii="Arial" w:hAnsi="Arial" w:cs="Arial"/>
        </w:rPr>
        <w:t>ates that has been running since the spring</w:t>
      </w:r>
      <w:r w:rsidR="00F51E81">
        <w:rPr>
          <w:rStyle w:val="FootnoteReference"/>
          <w:rFonts w:ascii="Arial" w:hAnsi="Arial" w:cs="Arial"/>
        </w:rPr>
        <w:footnoteReference w:id="3"/>
      </w:r>
      <w:r w:rsidR="00556F21">
        <w:rPr>
          <w:rFonts w:ascii="Arial" w:hAnsi="Arial" w:cs="Arial"/>
        </w:rPr>
        <w:t>.</w:t>
      </w:r>
    </w:p>
    <w:p w:rsidR="004A62ED" w:rsidRDefault="004A62ED" w:rsidP="003D5DF6">
      <w:pPr>
        <w:spacing w:line="360" w:lineRule="auto"/>
        <w:rPr>
          <w:rFonts w:cs="Arial"/>
          <w:b/>
        </w:rPr>
      </w:pPr>
    </w:p>
    <w:p w:rsidR="00E53D53" w:rsidRPr="00E53D53" w:rsidRDefault="002C0BA8" w:rsidP="002300BD">
      <w:pPr>
        <w:autoSpaceDE w:val="0"/>
        <w:autoSpaceDN w:val="0"/>
        <w:adjustRightInd w:val="0"/>
        <w:spacing w:after="120" w:line="360" w:lineRule="auto"/>
        <w:rPr>
          <w:rFonts w:cs="Arial"/>
          <w:b/>
          <w:u w:val="single"/>
        </w:rPr>
      </w:pPr>
      <w:r>
        <w:rPr>
          <w:rFonts w:cs="Arial"/>
          <w:b/>
          <w:u w:val="single"/>
        </w:rPr>
        <w:t>I</w:t>
      </w:r>
      <w:r w:rsidR="000D2589">
        <w:rPr>
          <w:rFonts w:cs="Arial"/>
          <w:b/>
          <w:u w:val="single"/>
        </w:rPr>
        <w:t>ssues</w:t>
      </w:r>
      <w:r w:rsidR="00E53D53" w:rsidRPr="00E53D53">
        <w:rPr>
          <w:rFonts w:cs="Arial"/>
          <w:b/>
          <w:u w:val="single"/>
        </w:rPr>
        <w:t xml:space="preserve"> for London local government</w:t>
      </w:r>
    </w:p>
    <w:p w:rsidR="00630A9B" w:rsidRDefault="00E435EA" w:rsidP="00630A9B">
      <w:pPr>
        <w:pStyle w:val="ListParagraph"/>
        <w:numPr>
          <w:ilvl w:val="0"/>
          <w:numId w:val="23"/>
        </w:numPr>
        <w:spacing w:line="360" w:lineRule="auto"/>
        <w:ind w:left="426"/>
        <w:rPr>
          <w:rFonts w:ascii="Arial" w:hAnsi="Arial" w:cs="Arial"/>
        </w:rPr>
      </w:pPr>
      <w:r w:rsidRPr="00F51E81">
        <w:rPr>
          <w:rFonts w:ascii="Arial" w:hAnsi="Arial" w:cs="Arial"/>
        </w:rPr>
        <w:t xml:space="preserve">The Chancellor’s announcement </w:t>
      </w:r>
      <w:r w:rsidR="007D336F">
        <w:rPr>
          <w:rFonts w:ascii="Arial" w:hAnsi="Arial" w:cs="Arial"/>
        </w:rPr>
        <w:t>is welcome</w:t>
      </w:r>
      <w:r w:rsidR="00CA4E94">
        <w:rPr>
          <w:rFonts w:ascii="Arial" w:hAnsi="Arial" w:cs="Arial"/>
        </w:rPr>
        <w:t>.</w:t>
      </w:r>
      <w:r w:rsidR="007D336F">
        <w:rPr>
          <w:rFonts w:ascii="Arial" w:hAnsi="Arial" w:cs="Arial"/>
        </w:rPr>
        <w:t xml:space="preserve">  </w:t>
      </w:r>
      <w:r w:rsidR="00CA4E94">
        <w:rPr>
          <w:rFonts w:ascii="Arial" w:hAnsi="Arial" w:cs="Arial"/>
        </w:rPr>
        <w:t>I</w:t>
      </w:r>
      <w:r w:rsidR="007D336F">
        <w:rPr>
          <w:rFonts w:ascii="Arial" w:hAnsi="Arial" w:cs="Arial"/>
        </w:rPr>
        <w:t xml:space="preserve">t </w:t>
      </w:r>
      <w:r w:rsidR="005905EF">
        <w:rPr>
          <w:rFonts w:ascii="Arial" w:hAnsi="Arial" w:cs="Arial"/>
        </w:rPr>
        <w:t xml:space="preserve">directly </w:t>
      </w:r>
      <w:r w:rsidRPr="00F51E81">
        <w:rPr>
          <w:rFonts w:ascii="Arial" w:hAnsi="Arial" w:cs="Arial"/>
        </w:rPr>
        <w:t xml:space="preserve">addressed </w:t>
      </w:r>
      <w:r w:rsidR="007D336F">
        <w:rPr>
          <w:rFonts w:ascii="Arial" w:hAnsi="Arial" w:cs="Arial"/>
        </w:rPr>
        <w:t>a number</w:t>
      </w:r>
      <w:r w:rsidRPr="00F51E81">
        <w:rPr>
          <w:rFonts w:ascii="Arial" w:hAnsi="Arial" w:cs="Arial"/>
        </w:rPr>
        <w:t xml:space="preserve"> of the points that London Councils</w:t>
      </w:r>
      <w:r w:rsidR="00CA4E94">
        <w:rPr>
          <w:rFonts w:ascii="Arial" w:hAnsi="Arial" w:cs="Arial"/>
        </w:rPr>
        <w:t xml:space="preserve"> and the sector more widely</w:t>
      </w:r>
      <w:r w:rsidRPr="00F51E81">
        <w:rPr>
          <w:rFonts w:ascii="Arial" w:hAnsi="Arial" w:cs="Arial"/>
        </w:rPr>
        <w:t xml:space="preserve"> has been lobbying for. </w:t>
      </w:r>
      <w:r w:rsidR="00F51E81" w:rsidRPr="00F51E81">
        <w:rPr>
          <w:rFonts w:ascii="Arial" w:hAnsi="Arial" w:cs="Arial"/>
        </w:rPr>
        <w:t>In addition, local control over the</w:t>
      </w:r>
      <w:r w:rsidR="00BE7566">
        <w:rPr>
          <w:rFonts w:ascii="Arial" w:hAnsi="Arial" w:cs="Arial"/>
        </w:rPr>
        <w:t xml:space="preserve"> multiplier, </w:t>
      </w:r>
      <w:r w:rsidR="00F51E81" w:rsidRPr="00F51E81">
        <w:rPr>
          <w:rFonts w:ascii="Arial" w:hAnsi="Arial" w:cs="Arial"/>
        </w:rPr>
        <w:t>albeit with restrictions on increases</w:t>
      </w:r>
      <w:r w:rsidR="00BE7566">
        <w:rPr>
          <w:rFonts w:ascii="Arial" w:hAnsi="Arial" w:cs="Arial"/>
        </w:rPr>
        <w:t>,</w:t>
      </w:r>
      <w:r w:rsidR="00F51E81" w:rsidRPr="00F51E81">
        <w:rPr>
          <w:rFonts w:ascii="Arial" w:hAnsi="Arial" w:cs="Arial"/>
        </w:rPr>
        <w:t xml:space="preserve"> is also a welcome step to</w:t>
      </w:r>
      <w:r w:rsidR="0046629A">
        <w:rPr>
          <w:rFonts w:ascii="Arial" w:hAnsi="Arial" w:cs="Arial"/>
        </w:rPr>
        <w:t>wards</w:t>
      </w:r>
      <w:r w:rsidR="00F51E81" w:rsidRPr="00F51E81">
        <w:rPr>
          <w:rFonts w:ascii="Arial" w:hAnsi="Arial" w:cs="Arial"/>
        </w:rPr>
        <w:t xml:space="preserve"> local </w:t>
      </w:r>
      <w:r w:rsidR="005905EF">
        <w:rPr>
          <w:rFonts w:ascii="Arial" w:hAnsi="Arial" w:cs="Arial"/>
        </w:rPr>
        <w:t xml:space="preserve">authorities </w:t>
      </w:r>
      <w:r w:rsidR="00F51E81" w:rsidRPr="00F51E81">
        <w:rPr>
          <w:rFonts w:ascii="Arial" w:hAnsi="Arial" w:cs="Arial"/>
        </w:rPr>
        <w:t xml:space="preserve">having greater </w:t>
      </w:r>
      <w:r w:rsidR="00C73AB2">
        <w:rPr>
          <w:rFonts w:ascii="Arial" w:hAnsi="Arial" w:cs="Arial"/>
        </w:rPr>
        <w:t xml:space="preserve">dialogue </w:t>
      </w:r>
      <w:r w:rsidR="00F51E81" w:rsidRPr="00F51E81">
        <w:rPr>
          <w:rFonts w:ascii="Arial" w:hAnsi="Arial" w:cs="Arial"/>
        </w:rPr>
        <w:t xml:space="preserve">with their business communities. </w:t>
      </w:r>
      <w:r w:rsidR="00C05DC6">
        <w:rPr>
          <w:rFonts w:ascii="Arial" w:hAnsi="Arial" w:cs="Arial"/>
        </w:rPr>
        <w:t>It is not yet clear whether boroughs will be given local flexibility to target discounts and reliefs to help support specific business sectors, which London Councils will continue</w:t>
      </w:r>
      <w:r w:rsidR="00521DFD">
        <w:rPr>
          <w:rFonts w:ascii="Arial" w:hAnsi="Arial" w:cs="Arial"/>
        </w:rPr>
        <w:t xml:space="preserve"> to press for</w:t>
      </w:r>
      <w:r w:rsidR="000667F4">
        <w:rPr>
          <w:rFonts w:ascii="Arial" w:hAnsi="Arial" w:cs="Arial"/>
        </w:rPr>
        <w:t>.</w:t>
      </w:r>
    </w:p>
    <w:p w:rsidR="00630A9B" w:rsidRDefault="00630A9B" w:rsidP="00630A9B">
      <w:pPr>
        <w:pStyle w:val="ListParagraph"/>
        <w:spacing w:line="360" w:lineRule="auto"/>
        <w:ind w:left="426"/>
        <w:rPr>
          <w:rFonts w:ascii="Arial" w:hAnsi="Arial" w:cs="Arial"/>
        </w:rPr>
      </w:pPr>
    </w:p>
    <w:p w:rsidR="00CC75A5" w:rsidRPr="00CC75A5" w:rsidRDefault="00CA4E94" w:rsidP="00CC75A5">
      <w:pPr>
        <w:pStyle w:val="ListParagraph"/>
        <w:numPr>
          <w:ilvl w:val="0"/>
          <w:numId w:val="23"/>
        </w:numPr>
        <w:spacing w:line="360" w:lineRule="auto"/>
        <w:ind w:left="426"/>
        <w:rPr>
          <w:rFonts w:ascii="Arial" w:hAnsi="Arial" w:cs="Arial"/>
        </w:rPr>
      </w:pPr>
      <w:r>
        <w:rPr>
          <w:rFonts w:ascii="Arial" w:hAnsi="Arial" w:cs="Arial"/>
        </w:rPr>
        <w:t>T</w:t>
      </w:r>
      <w:r w:rsidR="004A62ED" w:rsidRPr="00CC75A5">
        <w:rPr>
          <w:rFonts w:ascii="Arial" w:hAnsi="Arial" w:cs="Arial"/>
        </w:rPr>
        <w:t>here are</w:t>
      </w:r>
      <w:r>
        <w:rPr>
          <w:rFonts w:ascii="Arial" w:hAnsi="Arial" w:cs="Arial"/>
        </w:rPr>
        <w:t>, however,</w:t>
      </w:r>
      <w:r w:rsidR="004A62ED" w:rsidRPr="00CC75A5">
        <w:rPr>
          <w:rFonts w:ascii="Arial" w:hAnsi="Arial" w:cs="Arial"/>
        </w:rPr>
        <w:t xml:space="preserve"> still a number of unknown para</w:t>
      </w:r>
      <w:r w:rsidR="00E435EA" w:rsidRPr="00CC75A5">
        <w:rPr>
          <w:rFonts w:ascii="Arial" w:hAnsi="Arial" w:cs="Arial"/>
        </w:rPr>
        <w:t xml:space="preserve">meters that the Government </w:t>
      </w:r>
      <w:r w:rsidR="004A62ED" w:rsidRPr="00CC75A5">
        <w:rPr>
          <w:rFonts w:ascii="Arial" w:hAnsi="Arial" w:cs="Arial"/>
        </w:rPr>
        <w:t xml:space="preserve">has </w:t>
      </w:r>
      <w:r w:rsidR="00E435EA" w:rsidRPr="00CC75A5">
        <w:rPr>
          <w:rFonts w:ascii="Arial" w:hAnsi="Arial" w:cs="Arial"/>
        </w:rPr>
        <w:t>yet to decide</w:t>
      </w:r>
      <w:r w:rsidR="00B00930">
        <w:rPr>
          <w:rFonts w:ascii="Arial" w:hAnsi="Arial" w:cs="Arial"/>
        </w:rPr>
        <w:t xml:space="preserve"> which will help determined the particular impact on London</w:t>
      </w:r>
      <w:r w:rsidR="00E435EA" w:rsidRPr="00CC75A5">
        <w:rPr>
          <w:rFonts w:ascii="Arial" w:hAnsi="Arial" w:cs="Arial"/>
        </w:rPr>
        <w:t xml:space="preserve">. </w:t>
      </w:r>
      <w:r w:rsidR="00CC75A5" w:rsidRPr="00CC75A5">
        <w:rPr>
          <w:rFonts w:ascii="Arial" w:hAnsi="Arial" w:cs="Arial"/>
        </w:rPr>
        <w:t>Perhaps most importantly</w:t>
      </w:r>
      <w:r>
        <w:rPr>
          <w:rFonts w:ascii="Arial" w:hAnsi="Arial" w:cs="Arial"/>
        </w:rPr>
        <w:t xml:space="preserve"> is</w:t>
      </w:r>
      <w:r w:rsidR="00CC75A5" w:rsidRPr="00CC75A5">
        <w:rPr>
          <w:rFonts w:ascii="Arial" w:hAnsi="Arial" w:cs="Arial"/>
        </w:rPr>
        <w:t xml:space="preserve"> </w:t>
      </w:r>
      <w:r w:rsidR="00F51E81" w:rsidRPr="00CC75A5">
        <w:rPr>
          <w:rFonts w:ascii="Arial" w:hAnsi="Arial" w:cs="Arial"/>
        </w:rPr>
        <w:t xml:space="preserve">the nature of </w:t>
      </w:r>
      <w:r w:rsidR="00B82284" w:rsidRPr="00CC75A5">
        <w:rPr>
          <w:rFonts w:ascii="Arial" w:hAnsi="Arial" w:cs="Arial"/>
        </w:rPr>
        <w:t xml:space="preserve">what “new responsibilities” local government </w:t>
      </w:r>
      <w:r w:rsidR="00F51E81" w:rsidRPr="00CC75A5">
        <w:rPr>
          <w:rFonts w:ascii="Arial" w:hAnsi="Arial" w:cs="Arial"/>
        </w:rPr>
        <w:t xml:space="preserve">will </w:t>
      </w:r>
      <w:r w:rsidR="00B82284" w:rsidRPr="00CC75A5">
        <w:rPr>
          <w:rFonts w:ascii="Arial" w:hAnsi="Arial" w:cs="Arial"/>
        </w:rPr>
        <w:t xml:space="preserve">have </w:t>
      </w:r>
      <w:r w:rsidR="00CC75A5">
        <w:rPr>
          <w:rFonts w:ascii="Arial" w:hAnsi="Arial" w:cs="Arial"/>
        </w:rPr>
        <w:t>to fund through business rates</w:t>
      </w:r>
      <w:r w:rsidR="00CC75A5" w:rsidRPr="00CC75A5">
        <w:rPr>
          <w:rFonts w:ascii="Arial" w:hAnsi="Arial" w:cs="Arial"/>
        </w:rPr>
        <w:t xml:space="preserve">. </w:t>
      </w:r>
      <w:r w:rsidR="00CC75A5">
        <w:rPr>
          <w:rFonts w:ascii="Arial" w:hAnsi="Arial" w:cs="Arial"/>
        </w:rPr>
        <w:t xml:space="preserve">Local government receives a number of grants for </w:t>
      </w:r>
      <w:r w:rsidR="0001178A">
        <w:rPr>
          <w:rFonts w:ascii="Arial" w:hAnsi="Arial" w:cs="Arial"/>
        </w:rPr>
        <w:t xml:space="preserve">specific </w:t>
      </w:r>
      <w:r w:rsidR="00CC75A5">
        <w:rPr>
          <w:rFonts w:ascii="Arial" w:hAnsi="Arial" w:cs="Arial"/>
        </w:rPr>
        <w:t>purposes</w:t>
      </w:r>
      <w:r w:rsidR="0001178A">
        <w:rPr>
          <w:rFonts w:ascii="Arial" w:hAnsi="Arial" w:cs="Arial"/>
        </w:rPr>
        <w:t>,</w:t>
      </w:r>
      <w:r w:rsidR="00CC75A5">
        <w:rPr>
          <w:rFonts w:ascii="Arial" w:hAnsi="Arial" w:cs="Arial"/>
        </w:rPr>
        <w:t xml:space="preserve"> </w:t>
      </w:r>
      <w:r w:rsidR="00AF78AF">
        <w:rPr>
          <w:rFonts w:ascii="Arial" w:hAnsi="Arial" w:cs="Arial"/>
        </w:rPr>
        <w:t>such as</w:t>
      </w:r>
      <w:r w:rsidR="00CC75A5">
        <w:rPr>
          <w:rFonts w:ascii="Arial" w:hAnsi="Arial" w:cs="Arial"/>
        </w:rPr>
        <w:t xml:space="preserve"> the New </w:t>
      </w:r>
      <w:r w:rsidR="00AF78AF">
        <w:rPr>
          <w:rFonts w:ascii="Arial" w:hAnsi="Arial" w:cs="Arial"/>
        </w:rPr>
        <w:t>Homes Bonus (£1.2 billion),</w:t>
      </w:r>
      <w:r w:rsidR="00CC75A5">
        <w:rPr>
          <w:rFonts w:ascii="Arial" w:hAnsi="Arial" w:cs="Arial"/>
        </w:rPr>
        <w:t xml:space="preserve"> Public H</w:t>
      </w:r>
      <w:r w:rsidR="00CC75A5" w:rsidRPr="00CC75A5">
        <w:rPr>
          <w:rFonts w:ascii="Arial" w:hAnsi="Arial" w:cs="Arial"/>
        </w:rPr>
        <w:t xml:space="preserve">ealth grant </w:t>
      </w:r>
      <w:r w:rsidR="00CC75A5">
        <w:rPr>
          <w:rFonts w:ascii="Arial" w:hAnsi="Arial" w:cs="Arial"/>
        </w:rPr>
        <w:t>(</w:t>
      </w:r>
      <w:r w:rsidR="00CC75A5" w:rsidRPr="00CC75A5">
        <w:rPr>
          <w:rFonts w:ascii="Arial" w:hAnsi="Arial" w:cs="Arial"/>
        </w:rPr>
        <w:t>£2.6 billion</w:t>
      </w:r>
      <w:r w:rsidR="00CC75A5">
        <w:rPr>
          <w:rFonts w:ascii="Arial" w:hAnsi="Arial" w:cs="Arial"/>
        </w:rPr>
        <w:t>)</w:t>
      </w:r>
      <w:r w:rsidR="00AF78AF">
        <w:rPr>
          <w:rFonts w:ascii="Arial" w:hAnsi="Arial" w:cs="Arial"/>
        </w:rPr>
        <w:t>,</w:t>
      </w:r>
      <w:r w:rsidR="00CC75A5" w:rsidRPr="00CC75A5">
        <w:rPr>
          <w:rFonts w:ascii="Arial" w:hAnsi="Arial" w:cs="Arial"/>
        </w:rPr>
        <w:t xml:space="preserve"> </w:t>
      </w:r>
      <w:r w:rsidR="0001178A">
        <w:rPr>
          <w:rFonts w:ascii="Arial" w:hAnsi="Arial" w:cs="Arial"/>
        </w:rPr>
        <w:t>and the Better Care Fund (£3.5</w:t>
      </w:r>
      <w:r w:rsidR="00CC75A5">
        <w:rPr>
          <w:rFonts w:ascii="Arial" w:hAnsi="Arial" w:cs="Arial"/>
        </w:rPr>
        <w:t xml:space="preserve"> billion). It is not </w:t>
      </w:r>
      <w:r w:rsidR="00FE025C">
        <w:rPr>
          <w:rFonts w:ascii="Arial" w:hAnsi="Arial" w:cs="Arial"/>
        </w:rPr>
        <w:t xml:space="preserve">yet </w:t>
      </w:r>
      <w:r w:rsidR="00CC75A5">
        <w:rPr>
          <w:rFonts w:ascii="Arial" w:hAnsi="Arial" w:cs="Arial"/>
        </w:rPr>
        <w:t xml:space="preserve">clear exactly which grants will be </w:t>
      </w:r>
      <w:r w:rsidR="00FE025C" w:rsidRPr="00CC75A5">
        <w:rPr>
          <w:rFonts w:ascii="Arial" w:hAnsi="Arial" w:cs="Arial"/>
        </w:rPr>
        <w:t>“rolled in” to the system.</w:t>
      </w:r>
      <w:r>
        <w:rPr>
          <w:rFonts w:ascii="Arial" w:hAnsi="Arial" w:cs="Arial"/>
        </w:rPr>
        <w:t xml:space="preserve"> It may also be the case that</w:t>
      </w:r>
      <w:r w:rsidR="00B00930">
        <w:rPr>
          <w:rFonts w:ascii="Arial" w:hAnsi="Arial" w:cs="Arial"/>
        </w:rPr>
        <w:t xml:space="preserve"> Government will take a view of the relationship between the reform of public services and this ‘surplus’.</w:t>
      </w:r>
      <w:r>
        <w:rPr>
          <w:rFonts w:ascii="Arial" w:hAnsi="Arial" w:cs="Arial"/>
        </w:rPr>
        <w:t xml:space="preserve"> Officers will need to work to identify options for members to consider in terms of influencing this </w:t>
      </w:r>
      <w:r w:rsidR="00B00930">
        <w:rPr>
          <w:rFonts w:ascii="Arial" w:hAnsi="Arial" w:cs="Arial"/>
        </w:rPr>
        <w:t>overall consideration</w:t>
      </w:r>
      <w:r>
        <w:rPr>
          <w:rFonts w:ascii="Arial" w:hAnsi="Arial" w:cs="Arial"/>
        </w:rPr>
        <w:t xml:space="preserve"> by Government.</w:t>
      </w:r>
    </w:p>
    <w:p w:rsidR="00CC75A5" w:rsidRPr="00CC75A5" w:rsidRDefault="00CC75A5" w:rsidP="00CC75A5">
      <w:pPr>
        <w:pStyle w:val="ListParagraph"/>
        <w:rPr>
          <w:rFonts w:ascii="Arial" w:hAnsi="Arial" w:cs="Arial"/>
        </w:rPr>
      </w:pPr>
    </w:p>
    <w:p w:rsidR="00630A9B" w:rsidRPr="00CC75A5" w:rsidRDefault="00CC75A5" w:rsidP="00630A9B">
      <w:pPr>
        <w:pStyle w:val="ListParagraph"/>
        <w:numPr>
          <w:ilvl w:val="0"/>
          <w:numId w:val="23"/>
        </w:numPr>
        <w:spacing w:line="360" w:lineRule="auto"/>
        <w:ind w:left="426"/>
        <w:rPr>
          <w:rFonts w:ascii="Arial" w:hAnsi="Arial" w:cs="Arial"/>
        </w:rPr>
      </w:pPr>
      <w:r>
        <w:rPr>
          <w:rFonts w:ascii="Arial" w:hAnsi="Arial" w:cs="Arial"/>
        </w:rPr>
        <w:t xml:space="preserve">There is also an important question for London </w:t>
      </w:r>
      <w:r w:rsidR="00FE025C">
        <w:rPr>
          <w:rFonts w:ascii="Arial" w:hAnsi="Arial" w:cs="Arial"/>
        </w:rPr>
        <w:t xml:space="preserve">and </w:t>
      </w:r>
      <w:r>
        <w:rPr>
          <w:rFonts w:ascii="Arial" w:hAnsi="Arial" w:cs="Arial"/>
        </w:rPr>
        <w:t xml:space="preserve">its relationship with the rest of the country. </w:t>
      </w:r>
      <w:r w:rsidRPr="00CC75A5">
        <w:rPr>
          <w:rFonts w:ascii="Arial" w:hAnsi="Arial" w:cs="Arial"/>
        </w:rPr>
        <w:t xml:space="preserve">Latest estimates suggest that there will be a </w:t>
      </w:r>
      <w:r w:rsidR="00CA4E94">
        <w:rPr>
          <w:rFonts w:ascii="Arial" w:hAnsi="Arial" w:cs="Arial"/>
        </w:rPr>
        <w:t>‘</w:t>
      </w:r>
      <w:r w:rsidRPr="00B00930">
        <w:rPr>
          <w:rFonts w:ascii="Arial" w:hAnsi="Arial" w:cs="Arial"/>
        </w:rPr>
        <w:t>surplus</w:t>
      </w:r>
      <w:r w:rsidR="00CA4E94">
        <w:rPr>
          <w:rFonts w:ascii="Arial" w:hAnsi="Arial" w:cs="Arial"/>
        </w:rPr>
        <w:t>’</w:t>
      </w:r>
      <w:r w:rsidRPr="00CC75A5">
        <w:rPr>
          <w:rFonts w:ascii="Arial" w:hAnsi="Arial" w:cs="Arial"/>
        </w:rPr>
        <w:t xml:space="preserve"> of around £4 billion in London by 2019-20. It is not yet clear whether it will stay in London. </w:t>
      </w:r>
      <w:r w:rsidR="0001178A">
        <w:rPr>
          <w:rFonts w:ascii="Arial" w:hAnsi="Arial" w:cs="Arial"/>
        </w:rPr>
        <w:t xml:space="preserve">Leaders will want to consider whether London Councils’ policy on </w:t>
      </w:r>
      <w:r w:rsidR="0001178A" w:rsidRPr="00CC75A5">
        <w:rPr>
          <w:rFonts w:ascii="Arial" w:hAnsi="Arial" w:cs="Arial"/>
        </w:rPr>
        <w:t xml:space="preserve">the current 60%-40% split between boroughs and the GLA will have to be revisited in light of which grants are </w:t>
      </w:r>
      <w:r w:rsidR="0001178A">
        <w:rPr>
          <w:rFonts w:ascii="Arial" w:hAnsi="Arial" w:cs="Arial"/>
        </w:rPr>
        <w:t>included</w:t>
      </w:r>
      <w:r w:rsidR="00FE025C">
        <w:rPr>
          <w:rFonts w:ascii="Arial" w:hAnsi="Arial" w:cs="Arial"/>
        </w:rPr>
        <w:t xml:space="preserve">. </w:t>
      </w:r>
      <w:r w:rsidR="00C474E1" w:rsidRPr="00CC75A5">
        <w:rPr>
          <w:rFonts w:ascii="Arial" w:hAnsi="Arial" w:cs="Arial"/>
        </w:rPr>
        <w:t>Officers will be undertaking further work on this and anticipate bringing further paper</w:t>
      </w:r>
      <w:r w:rsidR="00CA4E94">
        <w:rPr>
          <w:rFonts w:ascii="Arial" w:hAnsi="Arial" w:cs="Arial"/>
        </w:rPr>
        <w:t>s</w:t>
      </w:r>
      <w:r w:rsidR="00C474E1" w:rsidRPr="00CC75A5">
        <w:rPr>
          <w:rFonts w:ascii="Arial" w:hAnsi="Arial" w:cs="Arial"/>
        </w:rPr>
        <w:t xml:space="preserve"> to Leaders</w:t>
      </w:r>
      <w:r w:rsidR="00CA4E94">
        <w:rPr>
          <w:rFonts w:ascii="Arial" w:hAnsi="Arial" w:cs="Arial"/>
        </w:rPr>
        <w:t xml:space="preserve">’ Committee </w:t>
      </w:r>
      <w:r w:rsidR="00B00930">
        <w:rPr>
          <w:rFonts w:ascii="Arial" w:hAnsi="Arial" w:cs="Arial"/>
        </w:rPr>
        <w:t>with a view to trying to</w:t>
      </w:r>
      <w:r w:rsidR="00CA4E94">
        <w:rPr>
          <w:rFonts w:ascii="Arial" w:hAnsi="Arial" w:cs="Arial"/>
        </w:rPr>
        <w:t xml:space="preserve"> influence this process</w:t>
      </w:r>
      <w:r w:rsidR="00C474E1" w:rsidRPr="00CC75A5">
        <w:rPr>
          <w:rFonts w:ascii="Arial" w:hAnsi="Arial" w:cs="Arial"/>
        </w:rPr>
        <w:t>.</w:t>
      </w:r>
    </w:p>
    <w:p w:rsidR="00630A9B" w:rsidRPr="00630A9B" w:rsidRDefault="00630A9B" w:rsidP="00630A9B">
      <w:pPr>
        <w:pStyle w:val="ListParagraph"/>
        <w:rPr>
          <w:rFonts w:ascii="Arial" w:hAnsi="Arial" w:cs="Arial"/>
        </w:rPr>
      </w:pPr>
    </w:p>
    <w:p w:rsidR="00630A9B" w:rsidRDefault="00C84274" w:rsidP="00630A9B">
      <w:pPr>
        <w:pStyle w:val="ListParagraph"/>
        <w:numPr>
          <w:ilvl w:val="0"/>
          <w:numId w:val="23"/>
        </w:numPr>
        <w:spacing w:line="360" w:lineRule="auto"/>
        <w:ind w:left="426"/>
        <w:rPr>
          <w:rFonts w:ascii="Arial" w:hAnsi="Arial" w:cs="Arial"/>
        </w:rPr>
      </w:pPr>
      <w:r w:rsidRPr="00E934F5">
        <w:rPr>
          <w:rFonts w:ascii="Arial" w:hAnsi="Arial" w:cs="Arial"/>
        </w:rPr>
        <w:t xml:space="preserve">With regard to equalisation, </w:t>
      </w:r>
      <w:r w:rsidR="00CA4E94">
        <w:rPr>
          <w:rFonts w:ascii="Arial" w:hAnsi="Arial" w:cs="Arial"/>
        </w:rPr>
        <w:t>there may well be some continuation of a</w:t>
      </w:r>
      <w:r w:rsidRPr="00E934F5">
        <w:rPr>
          <w:rFonts w:ascii="Arial" w:hAnsi="Arial" w:cs="Arial"/>
        </w:rPr>
        <w:t xml:space="preserve"> </w:t>
      </w:r>
      <w:r w:rsidR="00FE025C" w:rsidRPr="00E934F5">
        <w:rPr>
          <w:rFonts w:ascii="Arial" w:hAnsi="Arial" w:cs="Arial"/>
        </w:rPr>
        <w:t xml:space="preserve">national </w:t>
      </w:r>
      <w:r w:rsidR="005A3242" w:rsidRPr="00E934F5">
        <w:rPr>
          <w:rFonts w:ascii="Arial" w:hAnsi="Arial" w:cs="Arial"/>
        </w:rPr>
        <w:t xml:space="preserve">system of top-ups and tariffs </w:t>
      </w:r>
      <w:r w:rsidR="00FE025C" w:rsidRPr="00E934F5">
        <w:rPr>
          <w:rFonts w:ascii="Arial" w:hAnsi="Arial" w:cs="Arial"/>
        </w:rPr>
        <w:t xml:space="preserve">(albeit recalculated against new business rates baselines). </w:t>
      </w:r>
      <w:r w:rsidR="002473F6">
        <w:rPr>
          <w:rFonts w:ascii="Arial" w:hAnsi="Arial" w:cs="Arial"/>
        </w:rPr>
        <w:t>I</w:t>
      </w:r>
      <w:r w:rsidR="00FE025C" w:rsidRPr="00E934F5">
        <w:rPr>
          <w:rFonts w:ascii="Arial" w:hAnsi="Arial" w:cs="Arial"/>
        </w:rPr>
        <w:t xml:space="preserve">t is </w:t>
      </w:r>
      <w:r w:rsidR="00C474E1" w:rsidRPr="00E934F5">
        <w:rPr>
          <w:rFonts w:ascii="Arial" w:hAnsi="Arial" w:cs="Arial"/>
        </w:rPr>
        <w:t>assume</w:t>
      </w:r>
      <w:r w:rsidR="00FE025C" w:rsidRPr="00E934F5">
        <w:rPr>
          <w:rFonts w:ascii="Arial" w:hAnsi="Arial" w:cs="Arial"/>
        </w:rPr>
        <w:t>d</w:t>
      </w:r>
      <w:r w:rsidR="00C474E1" w:rsidRPr="00E934F5">
        <w:rPr>
          <w:rFonts w:ascii="Arial" w:hAnsi="Arial" w:cs="Arial"/>
        </w:rPr>
        <w:t xml:space="preserve"> </w:t>
      </w:r>
      <w:r w:rsidR="00FE025C" w:rsidRPr="00E934F5">
        <w:rPr>
          <w:rFonts w:ascii="Arial" w:hAnsi="Arial" w:cs="Arial"/>
        </w:rPr>
        <w:t>that funding baselines</w:t>
      </w:r>
      <w:r w:rsidR="00AF78AF" w:rsidRPr="00E934F5">
        <w:rPr>
          <w:rFonts w:ascii="Arial" w:hAnsi="Arial" w:cs="Arial"/>
        </w:rPr>
        <w:t xml:space="preserve">, </w:t>
      </w:r>
      <w:r w:rsidR="00FE025C" w:rsidRPr="00E934F5">
        <w:rPr>
          <w:rFonts w:ascii="Arial" w:hAnsi="Arial" w:cs="Arial"/>
        </w:rPr>
        <w:t>which represent the current assessment of need</w:t>
      </w:r>
      <w:r w:rsidR="00AF78AF" w:rsidRPr="00E934F5">
        <w:rPr>
          <w:rFonts w:ascii="Arial" w:hAnsi="Arial" w:cs="Arial"/>
        </w:rPr>
        <w:t>,</w:t>
      </w:r>
      <w:r w:rsidR="00FE025C" w:rsidRPr="00E934F5">
        <w:rPr>
          <w:rFonts w:ascii="Arial" w:hAnsi="Arial" w:cs="Arial"/>
        </w:rPr>
        <w:t xml:space="preserve"> will continue to be reset as previously proposed. T</w:t>
      </w:r>
      <w:r w:rsidR="00C474E1" w:rsidRPr="00E934F5">
        <w:rPr>
          <w:rFonts w:ascii="Arial" w:hAnsi="Arial" w:cs="Arial"/>
        </w:rPr>
        <w:t xml:space="preserve">he </w:t>
      </w:r>
      <w:r w:rsidR="00FE025C" w:rsidRPr="00E934F5">
        <w:rPr>
          <w:rFonts w:ascii="Arial" w:hAnsi="Arial" w:cs="Arial"/>
        </w:rPr>
        <w:t xml:space="preserve">next reset </w:t>
      </w:r>
      <w:r w:rsidR="00AF78AF" w:rsidRPr="00E934F5">
        <w:rPr>
          <w:rFonts w:ascii="Arial" w:hAnsi="Arial" w:cs="Arial"/>
        </w:rPr>
        <w:t xml:space="preserve">is planned for </w:t>
      </w:r>
      <w:r w:rsidR="00FE025C" w:rsidRPr="00E934F5">
        <w:rPr>
          <w:rFonts w:ascii="Arial" w:hAnsi="Arial" w:cs="Arial"/>
        </w:rPr>
        <w:t>2020</w:t>
      </w:r>
      <w:r w:rsidR="00AF78AF" w:rsidRPr="00E934F5">
        <w:rPr>
          <w:rFonts w:ascii="Arial" w:hAnsi="Arial" w:cs="Arial"/>
        </w:rPr>
        <w:t>,</w:t>
      </w:r>
      <w:r w:rsidR="00FE025C" w:rsidRPr="00E934F5">
        <w:rPr>
          <w:rFonts w:ascii="Arial" w:hAnsi="Arial" w:cs="Arial"/>
        </w:rPr>
        <w:t xml:space="preserve"> </w:t>
      </w:r>
      <w:r w:rsidR="00C474E1" w:rsidRPr="00E934F5">
        <w:rPr>
          <w:rFonts w:ascii="Arial" w:hAnsi="Arial" w:cs="Arial"/>
        </w:rPr>
        <w:t xml:space="preserve">and future resets </w:t>
      </w:r>
      <w:r w:rsidR="00FE025C" w:rsidRPr="00E934F5">
        <w:rPr>
          <w:rFonts w:ascii="Arial" w:hAnsi="Arial" w:cs="Arial"/>
        </w:rPr>
        <w:t>are antic</w:t>
      </w:r>
      <w:r w:rsidR="00E9200A" w:rsidRPr="00E934F5">
        <w:rPr>
          <w:rFonts w:ascii="Arial" w:hAnsi="Arial" w:cs="Arial"/>
        </w:rPr>
        <w:t>ipated to be every 10 years</w:t>
      </w:r>
      <w:r w:rsidR="00E934F5">
        <w:rPr>
          <w:rFonts w:ascii="Arial" w:hAnsi="Arial" w:cs="Arial"/>
        </w:rPr>
        <w:t xml:space="preserve">. However, </w:t>
      </w:r>
      <w:r w:rsidR="002473F6">
        <w:rPr>
          <w:rFonts w:ascii="Arial" w:hAnsi="Arial" w:cs="Arial"/>
        </w:rPr>
        <w:t>this is yet to be confirmed by the G</w:t>
      </w:r>
      <w:r w:rsidR="00E934F5">
        <w:rPr>
          <w:rFonts w:ascii="Arial" w:hAnsi="Arial" w:cs="Arial"/>
        </w:rPr>
        <w:t>overnment</w:t>
      </w:r>
      <w:r w:rsidR="002473F6">
        <w:rPr>
          <w:rFonts w:ascii="Arial" w:hAnsi="Arial" w:cs="Arial"/>
        </w:rPr>
        <w:t>.</w:t>
      </w:r>
      <w:r w:rsidR="00E934F5">
        <w:rPr>
          <w:rFonts w:ascii="Arial" w:hAnsi="Arial" w:cs="Arial"/>
        </w:rPr>
        <w:t xml:space="preserve">  </w:t>
      </w:r>
    </w:p>
    <w:p w:rsidR="00E934F5" w:rsidRPr="00E934F5" w:rsidRDefault="00E934F5" w:rsidP="00E934F5">
      <w:pPr>
        <w:pStyle w:val="ListParagraph"/>
        <w:rPr>
          <w:rFonts w:ascii="Arial" w:hAnsi="Arial" w:cs="Arial"/>
        </w:rPr>
      </w:pPr>
    </w:p>
    <w:p w:rsidR="00BE7566" w:rsidRDefault="00BE7566" w:rsidP="00BE7566">
      <w:pPr>
        <w:pStyle w:val="ListParagraph"/>
        <w:numPr>
          <w:ilvl w:val="0"/>
          <w:numId w:val="23"/>
        </w:numPr>
        <w:spacing w:line="360" w:lineRule="auto"/>
        <w:ind w:left="426"/>
        <w:rPr>
          <w:rFonts w:ascii="Arial" w:hAnsi="Arial" w:cs="Arial"/>
        </w:rPr>
      </w:pPr>
      <w:r>
        <w:rPr>
          <w:rFonts w:ascii="Arial" w:hAnsi="Arial" w:cs="Arial"/>
        </w:rPr>
        <w:t xml:space="preserve">The new local powers to vary business rates create several issues that will have to be resolved. </w:t>
      </w:r>
      <w:r w:rsidR="00C84274" w:rsidRPr="00E9200A">
        <w:rPr>
          <w:rFonts w:ascii="Arial" w:hAnsi="Arial" w:cs="Arial"/>
        </w:rPr>
        <w:t>I</w:t>
      </w:r>
      <w:r w:rsidR="00B82284" w:rsidRPr="00E9200A">
        <w:rPr>
          <w:rFonts w:ascii="Arial" w:hAnsi="Arial" w:cs="Arial"/>
        </w:rPr>
        <w:t xml:space="preserve">t is </w:t>
      </w:r>
      <w:r w:rsidR="00C84274" w:rsidRPr="00E9200A">
        <w:rPr>
          <w:rFonts w:ascii="Arial" w:hAnsi="Arial" w:cs="Arial"/>
        </w:rPr>
        <w:t xml:space="preserve">unclear </w:t>
      </w:r>
      <w:r w:rsidR="00B82284" w:rsidRPr="00E9200A">
        <w:rPr>
          <w:rFonts w:ascii="Arial" w:hAnsi="Arial" w:cs="Arial"/>
        </w:rPr>
        <w:t xml:space="preserve">how the “power to cut business rates” will work </w:t>
      </w:r>
      <w:r w:rsidR="00C84274" w:rsidRPr="00E9200A">
        <w:rPr>
          <w:rFonts w:ascii="Arial" w:hAnsi="Arial" w:cs="Arial"/>
        </w:rPr>
        <w:t xml:space="preserve">in </w:t>
      </w:r>
      <w:r w:rsidR="0001178A">
        <w:rPr>
          <w:rFonts w:ascii="Arial" w:hAnsi="Arial" w:cs="Arial"/>
        </w:rPr>
        <w:t>practice,</w:t>
      </w:r>
      <w:r w:rsidR="00C84274" w:rsidRPr="00E9200A">
        <w:rPr>
          <w:rFonts w:ascii="Arial" w:hAnsi="Arial" w:cs="Arial"/>
        </w:rPr>
        <w:t xml:space="preserve"> for </w:t>
      </w:r>
      <w:r w:rsidR="00C84274" w:rsidRPr="00E9200A">
        <w:rPr>
          <w:rFonts w:ascii="Arial" w:hAnsi="Arial" w:cs="Arial"/>
        </w:rPr>
        <w:lastRenderedPageBreak/>
        <w:t>example</w:t>
      </w:r>
      <w:r w:rsidR="0001178A">
        <w:rPr>
          <w:rFonts w:ascii="Arial" w:hAnsi="Arial" w:cs="Arial"/>
        </w:rPr>
        <w:t>,</w:t>
      </w:r>
      <w:r w:rsidR="00CA4E94">
        <w:rPr>
          <w:rFonts w:ascii="Arial" w:hAnsi="Arial" w:cs="Arial"/>
        </w:rPr>
        <w:t xml:space="preserve"> and</w:t>
      </w:r>
      <w:r w:rsidR="002C0BA8" w:rsidRPr="00E9200A">
        <w:rPr>
          <w:rFonts w:ascii="Arial" w:hAnsi="Arial" w:cs="Arial"/>
        </w:rPr>
        <w:t xml:space="preserve"> </w:t>
      </w:r>
      <w:r w:rsidR="00C84274" w:rsidRPr="00E9200A">
        <w:rPr>
          <w:rFonts w:ascii="Arial" w:hAnsi="Arial" w:cs="Arial"/>
        </w:rPr>
        <w:t>whether there will be a limit imposed on how far the multiplier can be adjusted downwards</w:t>
      </w:r>
      <w:r w:rsidR="00D4618D">
        <w:rPr>
          <w:rFonts w:ascii="Arial" w:hAnsi="Arial" w:cs="Arial"/>
        </w:rPr>
        <w:t xml:space="preserve"> locally, </w:t>
      </w:r>
      <w:r>
        <w:rPr>
          <w:rFonts w:ascii="Arial" w:hAnsi="Arial" w:cs="Arial"/>
        </w:rPr>
        <w:t xml:space="preserve">and how this </w:t>
      </w:r>
      <w:r w:rsidR="00D4618D">
        <w:rPr>
          <w:rFonts w:ascii="Arial" w:hAnsi="Arial" w:cs="Arial"/>
        </w:rPr>
        <w:t xml:space="preserve">could </w:t>
      </w:r>
      <w:r>
        <w:rPr>
          <w:rFonts w:ascii="Arial" w:hAnsi="Arial" w:cs="Arial"/>
        </w:rPr>
        <w:t xml:space="preserve">impact on how the </w:t>
      </w:r>
      <w:r w:rsidR="00D4618D">
        <w:rPr>
          <w:rFonts w:ascii="Arial" w:hAnsi="Arial" w:cs="Arial"/>
        </w:rPr>
        <w:t>safety net</w:t>
      </w:r>
      <w:r>
        <w:rPr>
          <w:rFonts w:ascii="Arial" w:hAnsi="Arial" w:cs="Arial"/>
        </w:rPr>
        <w:t xml:space="preserve"> is triggered</w:t>
      </w:r>
      <w:r w:rsidR="00D4618D">
        <w:rPr>
          <w:rFonts w:ascii="Arial" w:hAnsi="Arial" w:cs="Arial"/>
        </w:rPr>
        <w:t>.</w:t>
      </w:r>
      <w:r w:rsidR="00EE2333" w:rsidRPr="00E9200A">
        <w:rPr>
          <w:rFonts w:ascii="Arial" w:hAnsi="Arial" w:cs="Arial"/>
        </w:rPr>
        <w:t xml:space="preserve"> </w:t>
      </w:r>
    </w:p>
    <w:p w:rsidR="00BE7566" w:rsidRPr="00BE7566" w:rsidRDefault="00BE7566" w:rsidP="00BE7566">
      <w:pPr>
        <w:pStyle w:val="ListParagraph"/>
        <w:rPr>
          <w:rFonts w:ascii="Arial" w:hAnsi="Arial" w:cs="Arial"/>
        </w:rPr>
      </w:pPr>
    </w:p>
    <w:p w:rsidR="00BE7566" w:rsidRDefault="00C84274" w:rsidP="00BE7566">
      <w:pPr>
        <w:pStyle w:val="ListParagraph"/>
        <w:numPr>
          <w:ilvl w:val="0"/>
          <w:numId w:val="23"/>
        </w:numPr>
        <w:spacing w:line="360" w:lineRule="auto"/>
        <w:ind w:left="426"/>
        <w:rPr>
          <w:rFonts w:ascii="Arial" w:hAnsi="Arial" w:cs="Arial"/>
        </w:rPr>
      </w:pPr>
      <w:r w:rsidRPr="00BE7566">
        <w:rPr>
          <w:rFonts w:ascii="Arial" w:hAnsi="Arial" w:cs="Arial"/>
        </w:rPr>
        <w:t xml:space="preserve">With regard to the </w:t>
      </w:r>
      <w:r w:rsidR="00B82284" w:rsidRPr="00BE7566">
        <w:rPr>
          <w:rFonts w:ascii="Arial" w:hAnsi="Arial" w:cs="Arial"/>
        </w:rPr>
        <w:t xml:space="preserve">2p supplement </w:t>
      </w:r>
      <w:r w:rsidRPr="00BE7566">
        <w:rPr>
          <w:rFonts w:ascii="Arial" w:hAnsi="Arial" w:cs="Arial"/>
        </w:rPr>
        <w:t xml:space="preserve">to fund investment in infrastructure, it </w:t>
      </w:r>
      <w:r w:rsidR="00EE2333" w:rsidRPr="00BE7566">
        <w:rPr>
          <w:rFonts w:ascii="Arial" w:hAnsi="Arial" w:cs="Arial"/>
        </w:rPr>
        <w:t>is no</w:t>
      </w:r>
      <w:r w:rsidRPr="00BE7566">
        <w:rPr>
          <w:rFonts w:ascii="Arial" w:hAnsi="Arial" w:cs="Arial"/>
        </w:rPr>
        <w:t xml:space="preserve">t yet clear whether this will </w:t>
      </w:r>
      <w:r w:rsidR="00B82284" w:rsidRPr="00BE7566">
        <w:rPr>
          <w:rFonts w:ascii="Arial" w:hAnsi="Arial" w:cs="Arial"/>
        </w:rPr>
        <w:t>be in addition to</w:t>
      </w:r>
      <w:r w:rsidR="00CA4E94">
        <w:rPr>
          <w:rFonts w:ascii="Arial" w:hAnsi="Arial" w:cs="Arial"/>
        </w:rPr>
        <w:t>,</w:t>
      </w:r>
      <w:r w:rsidR="00B82284" w:rsidRPr="00BE7566">
        <w:rPr>
          <w:rFonts w:ascii="Arial" w:hAnsi="Arial" w:cs="Arial"/>
        </w:rPr>
        <w:t xml:space="preserve"> or in place of</w:t>
      </w:r>
      <w:r w:rsidR="00CA4E94">
        <w:rPr>
          <w:rFonts w:ascii="Arial" w:hAnsi="Arial" w:cs="Arial"/>
        </w:rPr>
        <w:t>,</w:t>
      </w:r>
      <w:r w:rsidR="00B82284" w:rsidRPr="00BE7566">
        <w:rPr>
          <w:rFonts w:ascii="Arial" w:hAnsi="Arial" w:cs="Arial"/>
        </w:rPr>
        <w:t xml:space="preserve"> the existing B</w:t>
      </w:r>
      <w:r w:rsidRPr="00BE7566">
        <w:rPr>
          <w:rFonts w:ascii="Arial" w:hAnsi="Arial" w:cs="Arial"/>
        </w:rPr>
        <w:t xml:space="preserve">usiness </w:t>
      </w:r>
      <w:r w:rsidR="00B82284" w:rsidRPr="00BE7566">
        <w:rPr>
          <w:rFonts w:ascii="Arial" w:hAnsi="Arial" w:cs="Arial"/>
        </w:rPr>
        <w:t>R</w:t>
      </w:r>
      <w:r w:rsidRPr="00BE7566">
        <w:rPr>
          <w:rFonts w:ascii="Arial" w:hAnsi="Arial" w:cs="Arial"/>
        </w:rPr>
        <w:t xml:space="preserve">ates </w:t>
      </w:r>
      <w:r w:rsidR="00B82284" w:rsidRPr="00BE7566">
        <w:rPr>
          <w:rFonts w:ascii="Arial" w:hAnsi="Arial" w:cs="Arial"/>
        </w:rPr>
        <w:t>S</w:t>
      </w:r>
      <w:r w:rsidRPr="00BE7566">
        <w:rPr>
          <w:rFonts w:ascii="Arial" w:hAnsi="Arial" w:cs="Arial"/>
        </w:rPr>
        <w:t>upplement that funds Crossrail</w:t>
      </w:r>
      <w:r w:rsidR="00B82284" w:rsidRPr="00BE7566">
        <w:rPr>
          <w:rFonts w:ascii="Arial" w:hAnsi="Arial" w:cs="Arial"/>
        </w:rPr>
        <w:t xml:space="preserve"> in London</w:t>
      </w:r>
      <w:r w:rsidR="00E9200A" w:rsidRPr="00BE7566">
        <w:rPr>
          <w:rFonts w:ascii="Arial" w:hAnsi="Arial" w:cs="Arial"/>
        </w:rPr>
        <w:t xml:space="preserve">. </w:t>
      </w:r>
      <w:r w:rsidR="00AF78AF">
        <w:rPr>
          <w:rFonts w:ascii="Arial" w:hAnsi="Arial" w:cs="Arial"/>
        </w:rPr>
        <w:t>W</w:t>
      </w:r>
      <w:r w:rsidR="00AF78AF" w:rsidRPr="00BE7566">
        <w:rPr>
          <w:rFonts w:ascii="Arial" w:hAnsi="Arial" w:cs="Arial"/>
        </w:rPr>
        <w:t xml:space="preserve">hile this is </w:t>
      </w:r>
      <w:r w:rsidR="007355A6">
        <w:rPr>
          <w:rFonts w:ascii="Arial" w:hAnsi="Arial" w:cs="Arial"/>
        </w:rPr>
        <w:t xml:space="preserve">broadly </w:t>
      </w:r>
      <w:r w:rsidR="00AF78AF" w:rsidRPr="00BE7566">
        <w:rPr>
          <w:rFonts w:ascii="Arial" w:hAnsi="Arial" w:cs="Arial"/>
        </w:rPr>
        <w:t>welcome</w:t>
      </w:r>
      <w:r w:rsidR="00AF78AF">
        <w:rPr>
          <w:rFonts w:ascii="Arial" w:hAnsi="Arial" w:cs="Arial"/>
        </w:rPr>
        <w:t>, if this</w:t>
      </w:r>
      <w:r w:rsidR="00E9200A" w:rsidRPr="00BE7566">
        <w:rPr>
          <w:rFonts w:ascii="Arial" w:hAnsi="Arial" w:cs="Arial"/>
        </w:rPr>
        <w:t xml:space="preserve"> simply extend</w:t>
      </w:r>
      <w:r w:rsidR="00AF78AF">
        <w:rPr>
          <w:rFonts w:ascii="Arial" w:hAnsi="Arial" w:cs="Arial"/>
        </w:rPr>
        <w:t>s</w:t>
      </w:r>
      <w:r w:rsidR="00E9200A" w:rsidRPr="00BE7566">
        <w:rPr>
          <w:rFonts w:ascii="Arial" w:hAnsi="Arial" w:cs="Arial"/>
        </w:rPr>
        <w:t xml:space="preserve"> the BRS approa</w:t>
      </w:r>
      <w:r w:rsidR="00AF78AF">
        <w:rPr>
          <w:rFonts w:ascii="Arial" w:hAnsi="Arial" w:cs="Arial"/>
        </w:rPr>
        <w:t xml:space="preserve">ch to be more widely available </w:t>
      </w:r>
      <w:r w:rsidR="00E9200A" w:rsidRPr="00BE7566">
        <w:rPr>
          <w:rFonts w:ascii="Arial" w:hAnsi="Arial" w:cs="Arial"/>
        </w:rPr>
        <w:t xml:space="preserve">to Metro Mayors, </w:t>
      </w:r>
      <w:r w:rsidR="00AF78AF">
        <w:rPr>
          <w:rFonts w:ascii="Arial" w:hAnsi="Arial" w:cs="Arial"/>
        </w:rPr>
        <w:t xml:space="preserve">it </w:t>
      </w:r>
      <w:r w:rsidR="00E9200A" w:rsidRPr="00BE7566">
        <w:rPr>
          <w:rFonts w:ascii="Arial" w:hAnsi="Arial" w:cs="Arial"/>
        </w:rPr>
        <w:t>may not mean any significant change for London.</w:t>
      </w:r>
    </w:p>
    <w:p w:rsidR="00BE7566" w:rsidRPr="00BE7566" w:rsidRDefault="00BE7566" w:rsidP="00BE7566">
      <w:pPr>
        <w:pStyle w:val="ListParagraph"/>
        <w:rPr>
          <w:rFonts w:ascii="Arial" w:hAnsi="Arial" w:cs="Arial"/>
        </w:rPr>
      </w:pPr>
    </w:p>
    <w:p w:rsidR="00AF78AF" w:rsidRDefault="00B00930" w:rsidP="00AF78AF">
      <w:pPr>
        <w:pStyle w:val="ListParagraph"/>
        <w:numPr>
          <w:ilvl w:val="0"/>
          <w:numId w:val="23"/>
        </w:numPr>
        <w:spacing w:line="360" w:lineRule="auto"/>
        <w:ind w:left="426"/>
        <w:rPr>
          <w:rFonts w:ascii="Arial" w:hAnsi="Arial" w:cs="Arial"/>
        </w:rPr>
      </w:pPr>
      <w:r>
        <w:rPr>
          <w:rFonts w:ascii="Arial" w:hAnsi="Arial" w:cs="Arial"/>
        </w:rPr>
        <w:t xml:space="preserve">There is no clarity about how the two new powers will work in places like London, where city-wide increases to fund infrastructure could coincide with locally planned reductions. </w:t>
      </w:r>
      <w:r w:rsidR="00CA4E94">
        <w:rPr>
          <w:rFonts w:ascii="Arial" w:hAnsi="Arial" w:cs="Arial"/>
        </w:rPr>
        <w:t xml:space="preserve">Whilst </w:t>
      </w:r>
      <w:r w:rsidR="002473F6">
        <w:rPr>
          <w:rFonts w:ascii="Arial" w:hAnsi="Arial" w:cs="Arial"/>
        </w:rPr>
        <w:t xml:space="preserve">the </w:t>
      </w:r>
      <w:r w:rsidR="002473F6" w:rsidRPr="00C17DAA">
        <w:rPr>
          <w:rFonts w:ascii="Arial" w:hAnsi="Arial" w:cs="Arial"/>
        </w:rPr>
        <w:t>closer visibility of the relationship between local business tax and local services</w:t>
      </w:r>
      <w:r w:rsidR="002473F6">
        <w:rPr>
          <w:rFonts w:ascii="Arial" w:hAnsi="Arial" w:cs="Arial"/>
        </w:rPr>
        <w:t xml:space="preserve"> creates</w:t>
      </w:r>
      <w:r w:rsidR="002473F6" w:rsidRPr="00C17DAA">
        <w:rPr>
          <w:rFonts w:ascii="Arial" w:hAnsi="Arial" w:cs="Arial"/>
        </w:rPr>
        <w:t xml:space="preserve"> a new opportunity</w:t>
      </w:r>
      <w:r w:rsidR="002473F6">
        <w:rPr>
          <w:rFonts w:ascii="Arial" w:hAnsi="Arial" w:cs="Arial"/>
        </w:rPr>
        <w:t xml:space="preserve"> to</w:t>
      </w:r>
      <w:r w:rsidR="007355A6">
        <w:rPr>
          <w:rFonts w:ascii="Arial" w:hAnsi="Arial" w:cs="Arial"/>
        </w:rPr>
        <w:t xml:space="preserve"> engage</w:t>
      </w:r>
      <w:r w:rsidR="002473F6" w:rsidRPr="00C17DAA">
        <w:rPr>
          <w:rFonts w:ascii="Arial" w:hAnsi="Arial" w:cs="Arial"/>
        </w:rPr>
        <w:t xml:space="preserve"> with local business,</w:t>
      </w:r>
      <w:r w:rsidR="007355A6">
        <w:rPr>
          <w:rFonts w:ascii="Arial" w:hAnsi="Arial" w:cs="Arial"/>
        </w:rPr>
        <w:t xml:space="preserve"> there will be a </w:t>
      </w:r>
      <w:r w:rsidR="002473F6">
        <w:rPr>
          <w:rFonts w:ascii="Arial" w:hAnsi="Arial" w:cs="Arial"/>
        </w:rPr>
        <w:t xml:space="preserve">series of challenges around </w:t>
      </w:r>
      <w:r w:rsidR="002473F6" w:rsidRPr="00C17DAA">
        <w:rPr>
          <w:rFonts w:ascii="Arial" w:hAnsi="Arial" w:cs="Arial"/>
        </w:rPr>
        <w:t>maintaining local political accountability</w:t>
      </w:r>
      <w:r w:rsidR="007355A6">
        <w:rPr>
          <w:rFonts w:ascii="Arial" w:hAnsi="Arial" w:cs="Arial"/>
        </w:rPr>
        <w:t>,</w:t>
      </w:r>
      <w:r w:rsidR="002473F6">
        <w:rPr>
          <w:rFonts w:ascii="Arial" w:hAnsi="Arial" w:cs="Arial"/>
        </w:rPr>
        <w:t xml:space="preserve"> and </w:t>
      </w:r>
      <w:r w:rsidR="007355A6">
        <w:rPr>
          <w:rFonts w:ascii="Arial" w:hAnsi="Arial" w:cs="Arial"/>
        </w:rPr>
        <w:t xml:space="preserve">questions around </w:t>
      </w:r>
      <w:r w:rsidR="002473F6">
        <w:rPr>
          <w:rFonts w:ascii="Arial" w:hAnsi="Arial" w:cs="Arial"/>
        </w:rPr>
        <w:t xml:space="preserve">whether the current accountability structures are sufficiently robust. London </w:t>
      </w:r>
      <w:r w:rsidR="00AF78AF" w:rsidRPr="00BE7566">
        <w:rPr>
          <w:rFonts w:ascii="Arial" w:hAnsi="Arial" w:cs="Arial"/>
        </w:rPr>
        <w:t>has slightly di</w:t>
      </w:r>
      <w:r w:rsidR="00AF78AF">
        <w:rPr>
          <w:rFonts w:ascii="Arial" w:hAnsi="Arial" w:cs="Arial"/>
        </w:rPr>
        <w:t>ff</w:t>
      </w:r>
      <w:r w:rsidR="00AF78AF" w:rsidRPr="00BE7566">
        <w:rPr>
          <w:rFonts w:ascii="Arial" w:hAnsi="Arial" w:cs="Arial"/>
        </w:rPr>
        <w:t>erent LEP governance arrangements to elsewhere</w:t>
      </w:r>
      <w:r w:rsidR="00CA4E94">
        <w:rPr>
          <w:rFonts w:ascii="Arial" w:hAnsi="Arial" w:cs="Arial"/>
        </w:rPr>
        <w:t xml:space="preserve"> for example,</w:t>
      </w:r>
      <w:r w:rsidR="00AF78AF" w:rsidRPr="00BE7566">
        <w:rPr>
          <w:rFonts w:ascii="Arial" w:hAnsi="Arial" w:cs="Arial"/>
        </w:rPr>
        <w:t xml:space="preserve"> with the London Enterprise Panel acting as an advisory body to the Mayor of London</w:t>
      </w:r>
      <w:r w:rsidR="002473F6">
        <w:rPr>
          <w:rFonts w:ascii="Arial" w:hAnsi="Arial" w:cs="Arial"/>
        </w:rPr>
        <w:t>.</w:t>
      </w:r>
    </w:p>
    <w:p w:rsidR="00C17DAA" w:rsidRPr="00C17DAA" w:rsidRDefault="00C17DAA" w:rsidP="00C17DAA">
      <w:pPr>
        <w:pStyle w:val="ListParagraph"/>
        <w:rPr>
          <w:rFonts w:ascii="Arial" w:hAnsi="Arial" w:cs="Arial"/>
        </w:rPr>
      </w:pPr>
    </w:p>
    <w:p w:rsidR="0046629A" w:rsidRDefault="00F10F86" w:rsidP="0046629A">
      <w:pPr>
        <w:pStyle w:val="ListParagraph"/>
        <w:numPr>
          <w:ilvl w:val="0"/>
          <w:numId w:val="23"/>
        </w:numPr>
        <w:spacing w:line="360" w:lineRule="auto"/>
        <w:ind w:left="426"/>
        <w:rPr>
          <w:rFonts w:ascii="Arial" w:hAnsi="Arial" w:cs="Arial"/>
        </w:rPr>
      </w:pPr>
      <w:r w:rsidRPr="0046629A">
        <w:rPr>
          <w:rFonts w:ascii="Arial" w:hAnsi="Arial" w:cs="Arial"/>
        </w:rPr>
        <w:t>More fundamentally</w:t>
      </w:r>
      <w:r w:rsidR="00C84274" w:rsidRPr="0046629A">
        <w:rPr>
          <w:rFonts w:ascii="Arial" w:hAnsi="Arial" w:cs="Arial"/>
        </w:rPr>
        <w:t xml:space="preserve">, full devolution of business rates means local authorities bearing </w:t>
      </w:r>
      <w:r w:rsidR="00B82284" w:rsidRPr="0046629A">
        <w:rPr>
          <w:rFonts w:ascii="Arial" w:hAnsi="Arial" w:cs="Arial"/>
        </w:rPr>
        <w:t>100</w:t>
      </w:r>
      <w:r w:rsidR="00C84274" w:rsidRPr="0046629A">
        <w:rPr>
          <w:rFonts w:ascii="Arial" w:hAnsi="Arial" w:cs="Arial"/>
        </w:rPr>
        <w:t xml:space="preserve"> per cent of the risk of negative growth. It will be important, therefore, that </w:t>
      </w:r>
      <w:r w:rsidR="00E9180F" w:rsidRPr="0046629A">
        <w:rPr>
          <w:rFonts w:ascii="Arial" w:hAnsi="Arial" w:cs="Arial"/>
        </w:rPr>
        <w:t xml:space="preserve">current issues with </w:t>
      </w:r>
      <w:r w:rsidR="00B82284" w:rsidRPr="0046629A">
        <w:rPr>
          <w:rFonts w:ascii="Arial" w:hAnsi="Arial" w:cs="Arial"/>
        </w:rPr>
        <w:t xml:space="preserve">the business rates </w:t>
      </w:r>
      <w:r w:rsidR="00E9180F" w:rsidRPr="0046629A">
        <w:rPr>
          <w:rFonts w:ascii="Arial" w:hAnsi="Arial" w:cs="Arial"/>
        </w:rPr>
        <w:t xml:space="preserve">as a tax </w:t>
      </w:r>
      <w:r w:rsidRPr="0046629A">
        <w:rPr>
          <w:rFonts w:ascii="Arial" w:hAnsi="Arial" w:cs="Arial"/>
        </w:rPr>
        <w:t>are addressed before full devolution: most importantly</w:t>
      </w:r>
      <w:r w:rsidR="00EE2333" w:rsidRPr="0046629A">
        <w:rPr>
          <w:rFonts w:ascii="Arial" w:hAnsi="Arial" w:cs="Arial"/>
        </w:rPr>
        <w:t>, that</w:t>
      </w:r>
      <w:r w:rsidRPr="0046629A">
        <w:rPr>
          <w:rFonts w:ascii="Arial" w:hAnsi="Arial" w:cs="Arial"/>
        </w:rPr>
        <w:t xml:space="preserve"> an adequate </w:t>
      </w:r>
      <w:r w:rsidR="00256B69" w:rsidRPr="0046629A">
        <w:rPr>
          <w:rFonts w:ascii="Arial" w:hAnsi="Arial" w:cs="Arial"/>
        </w:rPr>
        <w:t xml:space="preserve">solution </w:t>
      </w:r>
      <w:r w:rsidR="00EE2333" w:rsidRPr="0046629A">
        <w:rPr>
          <w:rFonts w:ascii="Arial" w:hAnsi="Arial" w:cs="Arial"/>
        </w:rPr>
        <w:t xml:space="preserve">is found </w:t>
      </w:r>
      <w:r w:rsidR="00256B69" w:rsidRPr="0046629A">
        <w:rPr>
          <w:rFonts w:ascii="Arial" w:hAnsi="Arial" w:cs="Arial"/>
        </w:rPr>
        <w:t xml:space="preserve">to the </w:t>
      </w:r>
      <w:r w:rsidRPr="0046629A">
        <w:rPr>
          <w:rFonts w:ascii="Arial" w:hAnsi="Arial" w:cs="Arial"/>
        </w:rPr>
        <w:t xml:space="preserve">funding </w:t>
      </w:r>
      <w:r w:rsidR="00256B69" w:rsidRPr="0046629A">
        <w:rPr>
          <w:rFonts w:ascii="Arial" w:hAnsi="Arial" w:cs="Arial"/>
        </w:rPr>
        <w:t>uncertainty caused by rating appeals</w:t>
      </w:r>
      <w:r w:rsidRPr="0046629A">
        <w:rPr>
          <w:rFonts w:ascii="Arial" w:hAnsi="Arial" w:cs="Arial"/>
        </w:rPr>
        <w:t xml:space="preserve">. A fully funded safety net system will also be necessary, and there is currently no detail on how </w:t>
      </w:r>
      <w:r w:rsidR="002473F6">
        <w:rPr>
          <w:rFonts w:ascii="Arial" w:hAnsi="Arial" w:cs="Arial"/>
        </w:rPr>
        <w:t>this will be funded</w:t>
      </w:r>
      <w:r w:rsidR="00C474E1" w:rsidRPr="0046629A">
        <w:rPr>
          <w:rFonts w:ascii="Arial" w:hAnsi="Arial" w:cs="Arial"/>
        </w:rPr>
        <w:t>.</w:t>
      </w:r>
    </w:p>
    <w:p w:rsidR="0046629A" w:rsidRPr="0046629A" w:rsidRDefault="0046629A" w:rsidP="0046629A">
      <w:pPr>
        <w:pStyle w:val="ListParagraph"/>
        <w:rPr>
          <w:rFonts w:ascii="Arial" w:hAnsi="Arial" w:cs="Arial"/>
        </w:rPr>
      </w:pPr>
    </w:p>
    <w:p w:rsidR="0046629A" w:rsidRDefault="00067327" w:rsidP="0046629A">
      <w:pPr>
        <w:pStyle w:val="ListParagraph"/>
        <w:numPr>
          <w:ilvl w:val="0"/>
          <w:numId w:val="23"/>
        </w:numPr>
        <w:spacing w:line="360" w:lineRule="auto"/>
        <w:ind w:left="426"/>
        <w:rPr>
          <w:rFonts w:ascii="Arial" w:hAnsi="Arial" w:cs="Arial"/>
        </w:rPr>
      </w:pPr>
      <w:r w:rsidRPr="0046629A">
        <w:rPr>
          <w:rFonts w:ascii="Arial" w:hAnsi="Arial" w:cs="Arial"/>
        </w:rPr>
        <w:t>A further issue</w:t>
      </w:r>
      <w:r w:rsidR="00E9180F" w:rsidRPr="0046629A">
        <w:rPr>
          <w:rFonts w:ascii="Arial" w:hAnsi="Arial" w:cs="Arial"/>
        </w:rPr>
        <w:t xml:space="preserve"> with the system </w:t>
      </w:r>
      <w:r w:rsidRPr="0046629A">
        <w:rPr>
          <w:rFonts w:ascii="Arial" w:hAnsi="Arial" w:cs="Arial"/>
        </w:rPr>
        <w:t>is the narrow</w:t>
      </w:r>
      <w:r w:rsidR="00E9180F" w:rsidRPr="0046629A">
        <w:rPr>
          <w:rFonts w:ascii="Arial" w:hAnsi="Arial" w:cs="Arial"/>
        </w:rPr>
        <w:t xml:space="preserve"> </w:t>
      </w:r>
      <w:r w:rsidRPr="0046629A">
        <w:rPr>
          <w:rFonts w:ascii="Arial" w:hAnsi="Arial" w:cs="Arial"/>
        </w:rPr>
        <w:t>definition of</w:t>
      </w:r>
      <w:r w:rsidR="00E9180F" w:rsidRPr="0046629A">
        <w:rPr>
          <w:rFonts w:ascii="Arial" w:hAnsi="Arial" w:cs="Arial"/>
        </w:rPr>
        <w:t xml:space="preserve"> growth as </w:t>
      </w:r>
      <w:r w:rsidR="00F73BE5" w:rsidRPr="0046629A">
        <w:rPr>
          <w:rFonts w:ascii="Arial" w:hAnsi="Arial" w:cs="Arial"/>
        </w:rPr>
        <w:t>physical rather than revaluation growth.</w:t>
      </w:r>
      <w:r w:rsidR="00E9180F" w:rsidRPr="0046629A">
        <w:rPr>
          <w:rFonts w:ascii="Arial" w:hAnsi="Arial" w:cs="Arial"/>
        </w:rPr>
        <w:t xml:space="preserve"> </w:t>
      </w:r>
      <w:r w:rsidR="00EE2333" w:rsidRPr="0046629A">
        <w:rPr>
          <w:rFonts w:ascii="Arial" w:hAnsi="Arial" w:cs="Arial"/>
        </w:rPr>
        <w:t xml:space="preserve">This makes it </w:t>
      </w:r>
      <w:r w:rsidR="00F73BE5" w:rsidRPr="0046629A">
        <w:rPr>
          <w:rFonts w:ascii="Arial" w:hAnsi="Arial" w:cs="Arial"/>
        </w:rPr>
        <w:t>difficult for loca</w:t>
      </w:r>
      <w:r w:rsidRPr="0046629A">
        <w:rPr>
          <w:rFonts w:ascii="Arial" w:hAnsi="Arial" w:cs="Arial"/>
        </w:rPr>
        <w:t>l authorities in built-up areas</w:t>
      </w:r>
      <w:r w:rsidR="00F73BE5" w:rsidRPr="0046629A">
        <w:rPr>
          <w:rFonts w:ascii="Arial" w:hAnsi="Arial" w:cs="Arial"/>
        </w:rPr>
        <w:t>, to benefit financially from the current system</w:t>
      </w:r>
      <w:r w:rsidR="00EE2333" w:rsidRPr="0046629A">
        <w:rPr>
          <w:rFonts w:ascii="Arial" w:hAnsi="Arial" w:cs="Arial"/>
        </w:rPr>
        <w:t>,</w:t>
      </w:r>
      <w:r w:rsidR="00F73BE5" w:rsidRPr="0046629A">
        <w:rPr>
          <w:rFonts w:ascii="Arial" w:hAnsi="Arial" w:cs="Arial"/>
        </w:rPr>
        <w:t xml:space="preserve"> as there is a general scarcity of land and physical growth often requires the demolition of existing buildings first.</w:t>
      </w:r>
      <w:r w:rsidRPr="0046629A">
        <w:rPr>
          <w:rFonts w:ascii="Arial" w:hAnsi="Arial" w:cs="Arial"/>
        </w:rPr>
        <w:t xml:space="preserve"> </w:t>
      </w:r>
      <w:r w:rsidR="002C0BA8" w:rsidRPr="0046629A">
        <w:rPr>
          <w:rFonts w:ascii="Arial" w:hAnsi="Arial" w:cs="Arial"/>
        </w:rPr>
        <w:t xml:space="preserve">London Councils’ </w:t>
      </w:r>
      <w:r w:rsidR="00EE2333" w:rsidRPr="0046629A">
        <w:rPr>
          <w:rFonts w:ascii="Arial" w:hAnsi="Arial" w:cs="Arial"/>
        </w:rPr>
        <w:t xml:space="preserve">Spending Review submission </w:t>
      </w:r>
      <w:r w:rsidRPr="0046629A">
        <w:rPr>
          <w:rFonts w:ascii="Arial" w:hAnsi="Arial" w:cs="Arial"/>
        </w:rPr>
        <w:t>asked for the definition</w:t>
      </w:r>
      <w:r w:rsidR="00EE2333" w:rsidRPr="0046629A">
        <w:rPr>
          <w:rFonts w:ascii="Arial" w:hAnsi="Arial" w:cs="Arial"/>
        </w:rPr>
        <w:t xml:space="preserve"> of growth to be broadened</w:t>
      </w:r>
      <w:r w:rsidRPr="0046629A">
        <w:rPr>
          <w:rFonts w:ascii="Arial" w:hAnsi="Arial" w:cs="Arial"/>
        </w:rPr>
        <w:t xml:space="preserve"> and for the retention of growth for a fixed period of time to avoid the “cliff edge” effect which could act as a disincentive for developments in the years before a system reset.</w:t>
      </w:r>
    </w:p>
    <w:p w:rsidR="0046629A" w:rsidRPr="0046629A" w:rsidRDefault="0046629A" w:rsidP="0046629A">
      <w:pPr>
        <w:pStyle w:val="ListParagraph"/>
        <w:rPr>
          <w:rFonts w:ascii="Arial" w:hAnsi="Arial" w:cs="Arial"/>
        </w:rPr>
      </w:pPr>
    </w:p>
    <w:p w:rsidR="00EE2333" w:rsidRPr="0046629A" w:rsidRDefault="00CA4E94" w:rsidP="0046629A">
      <w:pPr>
        <w:pStyle w:val="ListParagraph"/>
        <w:numPr>
          <w:ilvl w:val="0"/>
          <w:numId w:val="23"/>
        </w:numPr>
        <w:spacing w:line="360" w:lineRule="auto"/>
        <w:ind w:left="426"/>
        <w:rPr>
          <w:rFonts w:ascii="Arial" w:hAnsi="Arial" w:cs="Arial"/>
        </w:rPr>
      </w:pPr>
      <w:r>
        <w:rPr>
          <w:rFonts w:ascii="Arial" w:hAnsi="Arial" w:cs="Arial"/>
        </w:rPr>
        <w:t xml:space="preserve">In welcoming the reform, there is, of course, still a lot of further work and clarification required and </w:t>
      </w:r>
      <w:r w:rsidR="00EE2333" w:rsidRPr="0046629A">
        <w:rPr>
          <w:rFonts w:ascii="Arial" w:hAnsi="Arial" w:cs="Arial"/>
        </w:rPr>
        <w:t>London Councils office</w:t>
      </w:r>
      <w:r w:rsidR="005D042E" w:rsidRPr="0046629A">
        <w:rPr>
          <w:rFonts w:ascii="Arial" w:hAnsi="Arial" w:cs="Arial"/>
        </w:rPr>
        <w:t>rs will continue to engage with civil servant</w:t>
      </w:r>
      <w:r w:rsidR="002473F6">
        <w:rPr>
          <w:rFonts w:ascii="Arial" w:hAnsi="Arial" w:cs="Arial"/>
        </w:rPr>
        <w:t>s</w:t>
      </w:r>
      <w:r w:rsidR="005D042E" w:rsidRPr="0046629A">
        <w:rPr>
          <w:rFonts w:ascii="Arial" w:hAnsi="Arial" w:cs="Arial"/>
        </w:rPr>
        <w:t>, DCLG</w:t>
      </w:r>
      <w:r w:rsidR="00EE2333" w:rsidRPr="0046629A">
        <w:rPr>
          <w:rFonts w:ascii="Arial" w:hAnsi="Arial" w:cs="Arial"/>
        </w:rPr>
        <w:t xml:space="preserve"> working groups and </w:t>
      </w:r>
      <w:r w:rsidR="005D042E" w:rsidRPr="0046629A">
        <w:rPr>
          <w:rFonts w:ascii="Arial" w:hAnsi="Arial" w:cs="Arial"/>
        </w:rPr>
        <w:t xml:space="preserve">by responding to </w:t>
      </w:r>
      <w:r w:rsidR="002473F6">
        <w:rPr>
          <w:rFonts w:ascii="Arial" w:hAnsi="Arial" w:cs="Arial"/>
        </w:rPr>
        <w:t>g</w:t>
      </w:r>
      <w:r w:rsidR="005D042E" w:rsidRPr="0046629A">
        <w:rPr>
          <w:rFonts w:ascii="Arial" w:hAnsi="Arial" w:cs="Arial"/>
        </w:rPr>
        <w:t>overnment consultations. Officers will</w:t>
      </w:r>
      <w:r w:rsidR="00EE2333" w:rsidRPr="0046629A">
        <w:rPr>
          <w:rFonts w:ascii="Arial" w:hAnsi="Arial" w:cs="Arial"/>
        </w:rPr>
        <w:t xml:space="preserve"> keep Leaders informed as the timetable for the reforms develops in the coming months.</w:t>
      </w:r>
    </w:p>
    <w:p w:rsidR="009B2DDC" w:rsidRDefault="009B2DDC" w:rsidP="00A724FB">
      <w:pPr>
        <w:autoSpaceDE w:val="0"/>
        <w:autoSpaceDN w:val="0"/>
        <w:adjustRightInd w:val="0"/>
        <w:spacing w:after="120" w:line="360" w:lineRule="auto"/>
        <w:contextualSpacing/>
        <w:rPr>
          <w:rFonts w:cs="Arial"/>
          <w:b/>
          <w:u w:val="single"/>
        </w:rPr>
      </w:pPr>
    </w:p>
    <w:p w:rsidR="00002E8F" w:rsidRPr="00D63C23" w:rsidRDefault="00002E8F" w:rsidP="00A724FB">
      <w:pPr>
        <w:autoSpaceDE w:val="0"/>
        <w:autoSpaceDN w:val="0"/>
        <w:adjustRightInd w:val="0"/>
        <w:spacing w:after="120" w:line="360" w:lineRule="auto"/>
        <w:contextualSpacing/>
        <w:rPr>
          <w:rFonts w:cs="Arial"/>
          <w:b/>
          <w:u w:val="single"/>
        </w:rPr>
      </w:pPr>
      <w:r w:rsidRPr="00D63C23">
        <w:rPr>
          <w:rFonts w:cs="Arial"/>
          <w:b/>
          <w:u w:val="single"/>
        </w:rPr>
        <w:lastRenderedPageBreak/>
        <w:t>Wider reform of local government finance</w:t>
      </w:r>
    </w:p>
    <w:p w:rsidR="000B5577" w:rsidRPr="000B5577" w:rsidRDefault="006A715C" w:rsidP="007355A6">
      <w:pPr>
        <w:pStyle w:val="ListParagraph"/>
        <w:numPr>
          <w:ilvl w:val="0"/>
          <w:numId w:val="23"/>
        </w:numPr>
        <w:autoSpaceDE w:val="0"/>
        <w:autoSpaceDN w:val="0"/>
        <w:adjustRightInd w:val="0"/>
        <w:spacing w:line="360" w:lineRule="auto"/>
        <w:ind w:left="426"/>
        <w:rPr>
          <w:rFonts w:cs="Arial"/>
          <w:b/>
          <w:iCs/>
          <w:u w:val="single"/>
        </w:rPr>
      </w:pPr>
      <w:r w:rsidRPr="000B5577">
        <w:rPr>
          <w:rFonts w:ascii="Arial" w:hAnsi="Arial" w:cs="Arial"/>
        </w:rPr>
        <w:t xml:space="preserve">The announcement should be seen within the wider context of </w:t>
      </w:r>
      <w:r w:rsidR="00C05DC6">
        <w:rPr>
          <w:rFonts w:ascii="Arial" w:hAnsi="Arial" w:cs="Arial"/>
        </w:rPr>
        <w:t xml:space="preserve">reforms to </w:t>
      </w:r>
      <w:r w:rsidRPr="000B5577">
        <w:rPr>
          <w:rFonts w:ascii="Arial" w:hAnsi="Arial" w:cs="Arial"/>
        </w:rPr>
        <w:t>l</w:t>
      </w:r>
      <w:r w:rsidR="00A724FB" w:rsidRPr="000B5577">
        <w:rPr>
          <w:rFonts w:ascii="Arial" w:hAnsi="Arial" w:cs="Arial"/>
        </w:rPr>
        <w:t xml:space="preserve">ocal government finance and </w:t>
      </w:r>
      <w:r w:rsidR="00C05DC6">
        <w:rPr>
          <w:rFonts w:ascii="Arial" w:hAnsi="Arial" w:cs="Arial"/>
        </w:rPr>
        <w:t>suggests the government may develop</w:t>
      </w:r>
      <w:r w:rsidR="009F51BE" w:rsidRPr="000B5577">
        <w:rPr>
          <w:rFonts w:ascii="Arial" w:hAnsi="Arial" w:cs="Arial"/>
        </w:rPr>
        <w:t xml:space="preserve"> </w:t>
      </w:r>
      <w:r w:rsidR="00C05DC6">
        <w:rPr>
          <w:rFonts w:ascii="Arial" w:hAnsi="Arial" w:cs="Arial"/>
        </w:rPr>
        <w:t xml:space="preserve">a </w:t>
      </w:r>
      <w:r w:rsidR="009F51BE" w:rsidRPr="000B5577">
        <w:rPr>
          <w:rFonts w:ascii="Arial" w:hAnsi="Arial" w:cs="Arial"/>
        </w:rPr>
        <w:t>longer-term strateg</w:t>
      </w:r>
      <w:r w:rsidR="00A724FB" w:rsidRPr="000B5577">
        <w:rPr>
          <w:rFonts w:ascii="Arial" w:hAnsi="Arial" w:cs="Arial"/>
        </w:rPr>
        <w:t>y for reforming and devolving funding to local government</w:t>
      </w:r>
      <w:r w:rsidR="009F51BE" w:rsidRPr="000B5577">
        <w:rPr>
          <w:rFonts w:ascii="Arial" w:hAnsi="Arial" w:cs="Arial"/>
        </w:rPr>
        <w:t>.</w:t>
      </w:r>
    </w:p>
    <w:p w:rsidR="000B5577" w:rsidRPr="00A7486E" w:rsidRDefault="000B5577" w:rsidP="00A7486E">
      <w:pPr>
        <w:pStyle w:val="ListParagraph"/>
        <w:rPr>
          <w:rFonts w:cs="Arial"/>
          <w:b/>
          <w:iCs/>
          <w:u w:val="single"/>
        </w:rPr>
      </w:pPr>
    </w:p>
    <w:p w:rsidR="00A96B68" w:rsidRDefault="00C05DC6" w:rsidP="007355A6">
      <w:pPr>
        <w:pStyle w:val="ListParagraph"/>
        <w:numPr>
          <w:ilvl w:val="0"/>
          <w:numId w:val="23"/>
        </w:numPr>
        <w:autoSpaceDE w:val="0"/>
        <w:autoSpaceDN w:val="0"/>
        <w:adjustRightInd w:val="0"/>
        <w:spacing w:line="360" w:lineRule="auto"/>
        <w:ind w:left="426"/>
        <w:rPr>
          <w:rFonts w:ascii="Arial" w:hAnsi="Arial" w:cs="Arial"/>
          <w:iCs/>
        </w:rPr>
      </w:pPr>
      <w:r>
        <w:rPr>
          <w:rFonts w:ascii="Arial" w:hAnsi="Arial" w:cs="Arial"/>
          <w:iCs/>
        </w:rPr>
        <w:t>The</w:t>
      </w:r>
      <w:r w:rsidR="00261D87" w:rsidRPr="00261D87">
        <w:rPr>
          <w:rFonts w:ascii="Arial" w:hAnsi="Arial" w:cs="Arial"/>
          <w:iCs/>
        </w:rPr>
        <w:t xml:space="preserve"> commitment to using the uplift in local taxation to fund infrastructure suggests there could be further </w:t>
      </w:r>
      <w:r w:rsidR="005D042E">
        <w:rPr>
          <w:rFonts w:ascii="Arial" w:hAnsi="Arial" w:cs="Arial"/>
          <w:iCs/>
        </w:rPr>
        <w:t xml:space="preserve">scope to develop </w:t>
      </w:r>
      <w:r w:rsidR="00261D87" w:rsidRPr="00261D87">
        <w:rPr>
          <w:rFonts w:ascii="Arial" w:hAnsi="Arial" w:cs="Arial"/>
          <w:iCs/>
        </w:rPr>
        <w:t xml:space="preserve">other forms of </w:t>
      </w:r>
      <w:r w:rsidR="005D042E">
        <w:rPr>
          <w:rFonts w:ascii="Arial" w:hAnsi="Arial" w:cs="Arial"/>
          <w:iCs/>
        </w:rPr>
        <w:t xml:space="preserve">tax </w:t>
      </w:r>
      <w:r w:rsidR="00261D87" w:rsidRPr="00261D87">
        <w:rPr>
          <w:rFonts w:ascii="Arial" w:hAnsi="Arial" w:cs="Arial"/>
          <w:iCs/>
        </w:rPr>
        <w:t xml:space="preserve">retention </w:t>
      </w:r>
      <w:r w:rsidR="005D042E">
        <w:rPr>
          <w:rFonts w:ascii="Arial" w:hAnsi="Arial" w:cs="Arial"/>
          <w:iCs/>
        </w:rPr>
        <w:t xml:space="preserve">type </w:t>
      </w:r>
      <w:r w:rsidR="00261D87" w:rsidRPr="00261D87">
        <w:rPr>
          <w:rFonts w:ascii="Arial" w:hAnsi="Arial" w:cs="Arial"/>
          <w:iCs/>
        </w:rPr>
        <w:t>me</w:t>
      </w:r>
      <w:r w:rsidR="00261D87">
        <w:rPr>
          <w:rFonts w:ascii="Arial" w:hAnsi="Arial" w:cs="Arial"/>
          <w:iCs/>
        </w:rPr>
        <w:t>c</w:t>
      </w:r>
      <w:r w:rsidR="00261D87" w:rsidRPr="00261D87">
        <w:rPr>
          <w:rFonts w:ascii="Arial" w:hAnsi="Arial" w:cs="Arial"/>
          <w:iCs/>
        </w:rPr>
        <w:t>h</w:t>
      </w:r>
      <w:r w:rsidR="00261D87">
        <w:rPr>
          <w:rFonts w:ascii="Arial" w:hAnsi="Arial" w:cs="Arial"/>
          <w:iCs/>
        </w:rPr>
        <w:t>a</w:t>
      </w:r>
      <w:r w:rsidR="00261D87" w:rsidRPr="00261D87">
        <w:rPr>
          <w:rFonts w:ascii="Arial" w:hAnsi="Arial" w:cs="Arial"/>
          <w:iCs/>
        </w:rPr>
        <w:t xml:space="preserve">nisms as </w:t>
      </w:r>
      <w:r w:rsidR="00261D87">
        <w:rPr>
          <w:rFonts w:ascii="Arial" w:hAnsi="Arial" w:cs="Arial"/>
          <w:iCs/>
        </w:rPr>
        <w:t xml:space="preserve">other </w:t>
      </w:r>
      <w:r w:rsidR="00261D87" w:rsidRPr="00261D87">
        <w:rPr>
          <w:rFonts w:ascii="Arial" w:hAnsi="Arial" w:cs="Arial"/>
          <w:iCs/>
        </w:rPr>
        <w:t>devolution deals progress.</w:t>
      </w:r>
    </w:p>
    <w:p w:rsidR="00261D87" w:rsidRPr="00261D87" w:rsidRDefault="00261D87" w:rsidP="00261D87">
      <w:pPr>
        <w:pStyle w:val="ListParagraph"/>
        <w:rPr>
          <w:rFonts w:ascii="Arial" w:hAnsi="Arial" w:cs="Arial"/>
          <w:iCs/>
        </w:rPr>
      </w:pPr>
    </w:p>
    <w:p w:rsidR="008F41D4" w:rsidRPr="00C05DC6" w:rsidRDefault="00A96B68" w:rsidP="007355A6">
      <w:pPr>
        <w:pStyle w:val="ListParagraph"/>
        <w:numPr>
          <w:ilvl w:val="0"/>
          <w:numId w:val="23"/>
        </w:numPr>
        <w:autoSpaceDE w:val="0"/>
        <w:autoSpaceDN w:val="0"/>
        <w:adjustRightInd w:val="0"/>
        <w:spacing w:line="360" w:lineRule="auto"/>
        <w:ind w:left="426"/>
        <w:rPr>
          <w:rFonts w:ascii="Arial" w:hAnsi="Arial" w:cs="Arial"/>
          <w:b/>
          <w:iCs/>
          <w:u w:val="single"/>
        </w:rPr>
      </w:pPr>
      <w:r w:rsidRPr="00C05DC6">
        <w:rPr>
          <w:rFonts w:ascii="Arial" w:hAnsi="Arial" w:cs="Arial"/>
          <w:iCs/>
        </w:rPr>
        <w:t>T</w:t>
      </w:r>
      <w:r w:rsidR="00A7486E" w:rsidRPr="00C05DC6">
        <w:rPr>
          <w:rFonts w:ascii="Arial" w:hAnsi="Arial" w:cs="Arial"/>
          <w:iCs/>
        </w:rPr>
        <w:t>he fact that local taxation will now fund most of the services delivered by local gove</w:t>
      </w:r>
      <w:r w:rsidRPr="00C05DC6">
        <w:rPr>
          <w:rFonts w:ascii="Arial" w:hAnsi="Arial" w:cs="Arial"/>
          <w:iCs/>
        </w:rPr>
        <w:t>rnment by the end of the decade may suggest a greater level of local accountability wi</w:t>
      </w:r>
      <w:r w:rsidR="00F500BF" w:rsidRPr="00C05DC6">
        <w:rPr>
          <w:rFonts w:ascii="Arial" w:hAnsi="Arial" w:cs="Arial"/>
          <w:iCs/>
        </w:rPr>
        <w:t>thin the system</w:t>
      </w:r>
      <w:r w:rsidR="005D042E" w:rsidRPr="00C05DC6">
        <w:rPr>
          <w:rFonts w:ascii="Arial" w:hAnsi="Arial" w:cs="Arial"/>
          <w:iCs/>
        </w:rPr>
        <w:t>;</w:t>
      </w:r>
      <w:r w:rsidR="00F500BF" w:rsidRPr="00C05DC6">
        <w:rPr>
          <w:rFonts w:ascii="Arial" w:hAnsi="Arial" w:cs="Arial"/>
          <w:iCs/>
        </w:rPr>
        <w:t xml:space="preserve"> however</w:t>
      </w:r>
      <w:r w:rsidR="005D042E" w:rsidRPr="00C05DC6">
        <w:rPr>
          <w:rFonts w:ascii="Arial" w:hAnsi="Arial" w:cs="Arial"/>
          <w:iCs/>
        </w:rPr>
        <w:t>,</w:t>
      </w:r>
      <w:r w:rsidR="00F500BF" w:rsidRPr="00C05DC6">
        <w:rPr>
          <w:rFonts w:ascii="Arial" w:hAnsi="Arial" w:cs="Arial"/>
          <w:iCs/>
        </w:rPr>
        <w:t xml:space="preserve"> it may</w:t>
      </w:r>
      <w:r w:rsidRPr="00C05DC6">
        <w:rPr>
          <w:rFonts w:ascii="Arial" w:hAnsi="Arial" w:cs="Arial"/>
          <w:iCs/>
        </w:rPr>
        <w:t xml:space="preserve"> put even more importance on</w:t>
      </w:r>
      <w:r w:rsidR="00261D87" w:rsidRPr="00C05DC6">
        <w:rPr>
          <w:rFonts w:ascii="Arial" w:hAnsi="Arial" w:cs="Arial"/>
          <w:iCs/>
        </w:rPr>
        <w:t xml:space="preserve"> how those taxes are determined and </w:t>
      </w:r>
      <w:r w:rsidR="00F500BF" w:rsidRPr="00C05DC6">
        <w:rPr>
          <w:rFonts w:ascii="Arial" w:hAnsi="Arial" w:cs="Arial"/>
          <w:iCs/>
        </w:rPr>
        <w:t xml:space="preserve">whether they </w:t>
      </w:r>
      <w:r w:rsidR="00261D87" w:rsidRPr="00C05DC6">
        <w:rPr>
          <w:rFonts w:ascii="Arial" w:hAnsi="Arial" w:cs="Arial"/>
          <w:iCs/>
        </w:rPr>
        <w:t xml:space="preserve">operate efficiently. It may </w:t>
      </w:r>
      <w:r w:rsidR="001E7D1B" w:rsidRPr="00C05DC6">
        <w:rPr>
          <w:rFonts w:ascii="Arial" w:hAnsi="Arial" w:cs="Arial"/>
        </w:rPr>
        <w:t xml:space="preserve">offer the opportunity for </w:t>
      </w:r>
      <w:r w:rsidR="00C05DC6" w:rsidRPr="00C05DC6">
        <w:rPr>
          <w:rFonts w:ascii="Arial" w:hAnsi="Arial" w:cs="Arial"/>
        </w:rPr>
        <w:t xml:space="preserve">London Councils </w:t>
      </w:r>
      <w:r w:rsidR="001E7D1B" w:rsidRPr="00C05DC6">
        <w:rPr>
          <w:rFonts w:ascii="Arial" w:hAnsi="Arial" w:cs="Arial"/>
        </w:rPr>
        <w:t>to advocate</w:t>
      </w:r>
      <w:r w:rsidR="001E7D1B" w:rsidRPr="00C05DC6">
        <w:rPr>
          <w:rFonts w:ascii="Arial" w:hAnsi="Arial" w:cs="Arial"/>
          <w:iCs/>
        </w:rPr>
        <w:t xml:space="preserve"> </w:t>
      </w:r>
      <w:r w:rsidR="00261D87" w:rsidRPr="00C05DC6">
        <w:rPr>
          <w:rFonts w:ascii="Arial" w:hAnsi="Arial" w:cs="Arial"/>
          <w:iCs/>
        </w:rPr>
        <w:t xml:space="preserve">reform of </w:t>
      </w:r>
      <w:r w:rsidR="00F500BF" w:rsidRPr="00C05DC6">
        <w:rPr>
          <w:rFonts w:ascii="Arial" w:hAnsi="Arial" w:cs="Arial"/>
          <w:iCs/>
        </w:rPr>
        <w:t>other property taxes over the course of the parliament</w:t>
      </w:r>
      <w:r w:rsidR="00C05DC6" w:rsidRPr="00C05DC6">
        <w:rPr>
          <w:rFonts w:ascii="Arial" w:hAnsi="Arial" w:cs="Arial"/>
          <w:iCs/>
        </w:rPr>
        <w:t>, in line with the Spending Review submission.</w:t>
      </w:r>
    </w:p>
    <w:p w:rsidR="007C3D54" w:rsidRPr="00D63C23" w:rsidRDefault="00306FF8" w:rsidP="003D5DF6">
      <w:pPr>
        <w:spacing w:line="360" w:lineRule="auto"/>
        <w:rPr>
          <w:rFonts w:cs="Arial"/>
          <w:b/>
          <w:iCs/>
          <w:u w:val="single"/>
        </w:rPr>
      </w:pPr>
      <w:r w:rsidRPr="00D63C23">
        <w:rPr>
          <w:rFonts w:cs="Arial"/>
          <w:b/>
          <w:iCs/>
          <w:u w:val="single"/>
        </w:rPr>
        <w:t>Recommendations</w:t>
      </w:r>
    </w:p>
    <w:p w:rsidR="007D7928" w:rsidRPr="007D7928" w:rsidRDefault="007D7928" w:rsidP="007D7928">
      <w:pPr>
        <w:pStyle w:val="ListParagraph"/>
        <w:numPr>
          <w:ilvl w:val="0"/>
          <w:numId w:val="23"/>
        </w:numPr>
        <w:spacing w:line="360" w:lineRule="auto"/>
        <w:rPr>
          <w:rFonts w:ascii="Arial" w:hAnsi="Arial" w:cs="Arial"/>
          <w:lang w:val="en"/>
        </w:rPr>
      </w:pPr>
      <w:r w:rsidRPr="007D7928">
        <w:rPr>
          <w:rFonts w:ascii="Arial" w:hAnsi="Arial" w:cs="Arial"/>
          <w:lang w:val="en"/>
        </w:rPr>
        <w:t>Leaders are asked to:</w:t>
      </w:r>
    </w:p>
    <w:p w:rsidR="007D7928" w:rsidRPr="007D7928" w:rsidRDefault="00B00930" w:rsidP="007D7928">
      <w:pPr>
        <w:pStyle w:val="ListParagraph"/>
        <w:numPr>
          <w:ilvl w:val="0"/>
          <w:numId w:val="42"/>
        </w:numPr>
        <w:spacing w:line="360" w:lineRule="auto"/>
        <w:rPr>
          <w:rFonts w:ascii="Arial" w:hAnsi="Arial" w:cs="Arial"/>
          <w:lang w:val="en"/>
        </w:rPr>
      </w:pPr>
      <w:r>
        <w:rPr>
          <w:rFonts w:ascii="Arial" w:hAnsi="Arial" w:cs="Arial"/>
          <w:lang w:val="en"/>
        </w:rPr>
        <w:t xml:space="preserve">note </w:t>
      </w:r>
      <w:r w:rsidR="007D7928" w:rsidRPr="007D7928">
        <w:rPr>
          <w:rFonts w:ascii="Arial" w:hAnsi="Arial" w:cs="Arial"/>
          <w:lang w:val="en"/>
        </w:rPr>
        <w:t xml:space="preserve">the content of the report and the issues described in paragraphs </w:t>
      </w:r>
      <w:r w:rsidR="00C73AB2">
        <w:rPr>
          <w:rFonts w:ascii="Arial" w:hAnsi="Arial" w:cs="Arial"/>
          <w:lang w:val="en"/>
        </w:rPr>
        <w:t>12 to 21</w:t>
      </w:r>
      <w:r w:rsidR="007D7928" w:rsidRPr="007D7928">
        <w:rPr>
          <w:rFonts w:ascii="Arial" w:hAnsi="Arial" w:cs="Arial"/>
          <w:lang w:val="en"/>
        </w:rPr>
        <w:t xml:space="preserve">; </w:t>
      </w:r>
    </w:p>
    <w:p w:rsidR="00C05DC6" w:rsidRPr="007D7928" w:rsidRDefault="007D7928" w:rsidP="007D7928">
      <w:pPr>
        <w:pStyle w:val="ListParagraph"/>
        <w:numPr>
          <w:ilvl w:val="0"/>
          <w:numId w:val="42"/>
        </w:numPr>
        <w:spacing w:line="360" w:lineRule="auto"/>
        <w:rPr>
          <w:rFonts w:ascii="Arial" w:hAnsi="Arial" w:cs="Arial"/>
          <w:lang w:val="en"/>
        </w:rPr>
      </w:pPr>
      <w:r w:rsidRPr="007D7928">
        <w:rPr>
          <w:rFonts w:ascii="Arial" w:hAnsi="Arial" w:cs="Arial"/>
          <w:lang w:val="en"/>
        </w:rPr>
        <w:t>support ongoing technical work and lobbying to secure the changes advocated in the Spending Review submission</w:t>
      </w:r>
      <w:r w:rsidR="00813469">
        <w:rPr>
          <w:rFonts w:ascii="Arial" w:hAnsi="Arial" w:cs="Arial"/>
          <w:lang w:val="en"/>
        </w:rPr>
        <w:t>.</w:t>
      </w:r>
    </w:p>
    <w:p w:rsidR="00306FF8" w:rsidRPr="001122F2" w:rsidRDefault="00306FF8" w:rsidP="003D5DF6">
      <w:pPr>
        <w:pBdr>
          <w:top w:val="single" w:sz="4" w:space="18" w:color="auto"/>
        </w:pBdr>
        <w:spacing w:line="360" w:lineRule="auto"/>
        <w:rPr>
          <w:rFonts w:cs="Arial"/>
          <w:b/>
        </w:rPr>
      </w:pPr>
      <w:r w:rsidRPr="001122F2">
        <w:rPr>
          <w:rFonts w:cs="Arial"/>
          <w:b/>
        </w:rPr>
        <w:t>Financial Implications for London Councils</w:t>
      </w:r>
    </w:p>
    <w:p w:rsidR="00306FF8" w:rsidRPr="001122F2" w:rsidRDefault="00362D8E" w:rsidP="003D5DF6">
      <w:pPr>
        <w:pBdr>
          <w:top w:val="single" w:sz="4" w:space="18" w:color="auto"/>
        </w:pBdr>
        <w:spacing w:line="360" w:lineRule="auto"/>
        <w:rPr>
          <w:rFonts w:cs="Arial"/>
        </w:rPr>
      </w:pPr>
      <w:r>
        <w:rPr>
          <w:rFonts w:cs="Arial"/>
        </w:rPr>
        <w:t>None</w:t>
      </w:r>
    </w:p>
    <w:p w:rsidR="00306FF8" w:rsidRPr="001122F2" w:rsidRDefault="00306FF8" w:rsidP="003D5DF6">
      <w:pPr>
        <w:pBdr>
          <w:top w:val="single" w:sz="4" w:space="18" w:color="auto"/>
        </w:pBdr>
        <w:spacing w:line="360" w:lineRule="auto"/>
        <w:rPr>
          <w:rFonts w:cs="Arial"/>
        </w:rPr>
      </w:pPr>
    </w:p>
    <w:p w:rsidR="00306FF8" w:rsidRPr="001122F2" w:rsidRDefault="00306FF8" w:rsidP="003D5DF6">
      <w:pPr>
        <w:spacing w:line="360" w:lineRule="auto"/>
        <w:rPr>
          <w:rFonts w:cs="Arial"/>
          <w:b/>
        </w:rPr>
      </w:pPr>
      <w:r w:rsidRPr="001122F2">
        <w:rPr>
          <w:rFonts w:cs="Arial"/>
          <w:b/>
        </w:rPr>
        <w:t>Legal Implications for London Councils</w:t>
      </w:r>
    </w:p>
    <w:p w:rsidR="00306FF8" w:rsidRPr="001122F2" w:rsidRDefault="00306FF8" w:rsidP="003D5DF6">
      <w:pPr>
        <w:spacing w:line="360" w:lineRule="auto"/>
        <w:rPr>
          <w:rFonts w:cs="Arial"/>
        </w:rPr>
      </w:pPr>
      <w:r w:rsidRPr="001122F2">
        <w:rPr>
          <w:rFonts w:cs="Arial"/>
        </w:rPr>
        <w:t>None</w:t>
      </w:r>
    </w:p>
    <w:p w:rsidR="00306FF8" w:rsidRPr="001122F2" w:rsidRDefault="00306FF8" w:rsidP="003D5DF6">
      <w:pPr>
        <w:spacing w:line="360" w:lineRule="auto"/>
        <w:rPr>
          <w:rFonts w:cs="Arial"/>
        </w:rPr>
      </w:pPr>
    </w:p>
    <w:p w:rsidR="00306FF8" w:rsidRPr="001122F2" w:rsidRDefault="00306FF8" w:rsidP="003D5DF6">
      <w:pPr>
        <w:spacing w:line="360" w:lineRule="auto"/>
        <w:rPr>
          <w:rFonts w:cs="Arial"/>
          <w:b/>
        </w:rPr>
      </w:pPr>
      <w:r w:rsidRPr="001122F2">
        <w:rPr>
          <w:rFonts w:cs="Arial"/>
          <w:b/>
        </w:rPr>
        <w:t>Equalities Implications for London Councils</w:t>
      </w:r>
    </w:p>
    <w:p w:rsidR="00306FF8" w:rsidRPr="001122F2" w:rsidRDefault="00306FF8" w:rsidP="003D5DF6">
      <w:pPr>
        <w:spacing w:line="360" w:lineRule="auto"/>
        <w:rPr>
          <w:rFonts w:cs="Arial"/>
        </w:rPr>
      </w:pPr>
      <w:r w:rsidRPr="001122F2">
        <w:rPr>
          <w:rFonts w:cs="Arial"/>
        </w:rPr>
        <w:t>None</w:t>
      </w:r>
    </w:p>
    <w:sectPr w:rsidR="00306FF8" w:rsidRPr="001122F2" w:rsidSect="00630A9B">
      <w:footerReference w:type="default" r:id="rId12"/>
      <w:pgSz w:w="11907" w:h="16840" w:code="9"/>
      <w:pgMar w:top="1418" w:right="1134" w:bottom="993" w:left="1276" w:header="720" w:footer="52"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3C" w:rsidRDefault="007E2A3C">
      <w:r>
        <w:separator/>
      </w:r>
    </w:p>
  </w:endnote>
  <w:endnote w:type="continuationSeparator" w:id="0">
    <w:p w:rsidR="007E2A3C" w:rsidRDefault="007E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variable"/>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536255"/>
      <w:docPartObj>
        <w:docPartGallery w:val="Page Numbers (Bottom of Page)"/>
        <w:docPartUnique/>
      </w:docPartObj>
    </w:sdtPr>
    <w:sdtEndPr>
      <w:rPr>
        <w:noProof/>
      </w:rPr>
    </w:sdtEndPr>
    <w:sdtContent>
      <w:p w:rsidR="007355A6" w:rsidRDefault="007355A6">
        <w:pPr>
          <w:pStyle w:val="Footer"/>
          <w:jc w:val="center"/>
        </w:pPr>
        <w:r>
          <w:fldChar w:fldCharType="begin"/>
        </w:r>
        <w:r>
          <w:instrText xml:space="preserve"> PAGE   \* MERGEFORMAT </w:instrText>
        </w:r>
        <w:r>
          <w:fldChar w:fldCharType="separate"/>
        </w:r>
        <w:r w:rsidR="0037161A">
          <w:rPr>
            <w:noProof/>
          </w:rPr>
          <w:t>8</w:t>
        </w:r>
        <w:r>
          <w:rPr>
            <w:noProof/>
          </w:rPr>
          <w:fldChar w:fldCharType="end"/>
        </w:r>
      </w:p>
    </w:sdtContent>
  </w:sdt>
  <w:p w:rsidR="007355A6" w:rsidRDefault="0073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3C" w:rsidRDefault="007E2A3C">
      <w:r>
        <w:separator/>
      </w:r>
    </w:p>
  </w:footnote>
  <w:footnote w:type="continuationSeparator" w:id="0">
    <w:p w:rsidR="007E2A3C" w:rsidRDefault="007E2A3C">
      <w:r>
        <w:continuationSeparator/>
      </w:r>
    </w:p>
  </w:footnote>
  <w:footnote w:id="1">
    <w:p w:rsidR="007355A6" w:rsidRPr="00DE18F0" w:rsidRDefault="007355A6">
      <w:pPr>
        <w:pStyle w:val="FootnoteText"/>
        <w:rPr>
          <w:lang w:val="en-GB"/>
        </w:rPr>
      </w:pPr>
      <w:r>
        <w:rPr>
          <w:rStyle w:val="FootnoteReference"/>
        </w:rPr>
        <w:footnoteRef/>
      </w:r>
      <w:r>
        <w:t xml:space="preserve"> </w:t>
      </w:r>
      <w:hyperlink r:id="rId1" w:history="1">
        <w:r w:rsidRPr="00AF5FD7">
          <w:rPr>
            <w:rStyle w:val="Hyperlink"/>
          </w:rPr>
          <w:t>https://www.gov.uk/government/news/chancellor-unveils-devolution-revolution</w:t>
        </w:r>
      </w:hyperlink>
      <w:r>
        <w:t xml:space="preserve"> </w:t>
      </w:r>
    </w:p>
  </w:footnote>
  <w:footnote w:id="2">
    <w:p w:rsidR="007355A6" w:rsidRPr="00354B0B" w:rsidRDefault="007355A6">
      <w:pPr>
        <w:pStyle w:val="FootnoteText"/>
        <w:rPr>
          <w:lang w:val="en-GB"/>
        </w:rPr>
      </w:pPr>
      <w:r>
        <w:rPr>
          <w:rStyle w:val="FootnoteReference"/>
        </w:rPr>
        <w:footnoteRef/>
      </w:r>
      <w:r>
        <w:t xml:space="preserve"> </w:t>
      </w:r>
      <w:hyperlink r:id="rId2" w:history="1">
        <w:r w:rsidRPr="00AF5FD7">
          <w:rPr>
            <w:rStyle w:val="Hyperlink"/>
          </w:rPr>
          <w:t>http://www.londoncouncils.gov.uk/download/file/fid/16387</w:t>
        </w:r>
      </w:hyperlink>
      <w:r>
        <w:t xml:space="preserve"> </w:t>
      </w:r>
    </w:p>
  </w:footnote>
  <w:footnote w:id="3">
    <w:p w:rsidR="007355A6" w:rsidRPr="00F51E81" w:rsidRDefault="007355A6">
      <w:pPr>
        <w:pStyle w:val="FootnoteText"/>
        <w:rPr>
          <w:lang w:val="en-GB"/>
        </w:rPr>
      </w:pPr>
      <w:r>
        <w:rPr>
          <w:rStyle w:val="FootnoteReference"/>
        </w:rPr>
        <w:footnoteRef/>
      </w:r>
      <w:r>
        <w:t xml:space="preserve"> </w:t>
      </w:r>
      <w:r>
        <w:rPr>
          <w:lang w:val="en-GB"/>
        </w:rPr>
        <w:t>As updated in the Summer Budget (paragraph 1.244)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D6"/>
    <w:multiLevelType w:val="hybridMultilevel"/>
    <w:tmpl w:val="1044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F2F89"/>
    <w:multiLevelType w:val="hybridMultilevel"/>
    <w:tmpl w:val="F44C98DC"/>
    <w:lvl w:ilvl="0" w:tplc="A1A00076">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E6E1D"/>
    <w:multiLevelType w:val="hybridMultilevel"/>
    <w:tmpl w:val="16B206A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0BF15C91"/>
    <w:multiLevelType w:val="hybridMultilevel"/>
    <w:tmpl w:val="F808D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B62FCA"/>
    <w:multiLevelType w:val="hybridMultilevel"/>
    <w:tmpl w:val="ECC4AE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96657"/>
    <w:multiLevelType w:val="hybridMultilevel"/>
    <w:tmpl w:val="A6CA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C0DA0"/>
    <w:multiLevelType w:val="hybridMultilevel"/>
    <w:tmpl w:val="6BD43D3C"/>
    <w:lvl w:ilvl="0" w:tplc="56AECA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AF78DC"/>
    <w:multiLevelType w:val="hybridMultilevel"/>
    <w:tmpl w:val="BB5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D1B90"/>
    <w:multiLevelType w:val="hybridMultilevel"/>
    <w:tmpl w:val="174ADB2A"/>
    <w:lvl w:ilvl="0" w:tplc="56AECAE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46A24"/>
    <w:multiLevelType w:val="hybridMultilevel"/>
    <w:tmpl w:val="8840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B2F70"/>
    <w:multiLevelType w:val="hybridMultilevel"/>
    <w:tmpl w:val="16C2535A"/>
    <w:lvl w:ilvl="0" w:tplc="A2D2D0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E4762A"/>
    <w:multiLevelType w:val="hybridMultilevel"/>
    <w:tmpl w:val="F9F83CFE"/>
    <w:lvl w:ilvl="0" w:tplc="B37AF7DC">
      <w:start w:val="1"/>
      <w:numFmt w:val="decimal"/>
      <w:lvlText w:val="%1."/>
      <w:lvlJc w:val="left"/>
      <w:pPr>
        <w:ind w:left="720" w:hanging="360"/>
      </w:pPr>
      <w:rPr>
        <w:rFonts w:hint="default"/>
        <w:b w:val="0"/>
        <w:sz w:val="22"/>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35564"/>
    <w:multiLevelType w:val="hybridMultilevel"/>
    <w:tmpl w:val="F366384C"/>
    <w:lvl w:ilvl="0" w:tplc="00EA4E3E">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9D2535"/>
    <w:multiLevelType w:val="multilevel"/>
    <w:tmpl w:val="94201A78"/>
    <w:lvl w:ilvl="0">
      <w:start w:val="1"/>
      <w:numFmt w:val="decimal"/>
      <w:pStyle w:val="Clausehead"/>
      <w:lvlText w:val="%1"/>
      <w:lvlJc w:val="left"/>
      <w:pPr>
        <w:tabs>
          <w:tab w:val="num" w:pos="567"/>
        </w:tabs>
        <w:ind w:left="567" w:hanging="567"/>
      </w:pPr>
      <w:rPr>
        <w:rFonts w:ascii="Arial" w:hAnsi="Arial" w:hint="default"/>
        <w:b w:val="0"/>
        <w:i w:val="0"/>
        <w:sz w:val="22"/>
      </w:rPr>
    </w:lvl>
    <w:lvl w:ilvl="1">
      <w:start w:val="1"/>
      <w:numFmt w:val="decimal"/>
      <w:pStyle w:val="Sub1"/>
      <w:lvlText w:val="(%2)"/>
      <w:lvlJc w:val="left"/>
      <w:pPr>
        <w:tabs>
          <w:tab w:val="num" w:pos="851"/>
        </w:tabs>
        <w:ind w:left="851" w:hanging="56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uba"/>
      <w:lvlText w:val="(%3)"/>
      <w:lvlJc w:val="left"/>
      <w:pPr>
        <w:tabs>
          <w:tab w:val="num" w:pos="1418"/>
        </w:tabs>
        <w:ind w:left="1418" w:hanging="567"/>
      </w:pPr>
      <w:rPr>
        <w:rFonts w:ascii="Arial" w:hAnsi="Arial" w:hint="default"/>
        <w:b w:val="0"/>
        <w:i w:val="0"/>
        <w:sz w:val="22"/>
      </w:rPr>
    </w:lvl>
    <w:lvl w:ilvl="3">
      <w:start w:val="1"/>
      <w:numFmt w:val="lowerRoman"/>
      <w:pStyle w:val="subi"/>
      <w:lvlText w:val="(%4)"/>
      <w:lvlJc w:val="left"/>
      <w:pPr>
        <w:tabs>
          <w:tab w:val="num" w:pos="2138"/>
        </w:tabs>
        <w:ind w:left="1985" w:hanging="567"/>
      </w:pPr>
      <w:rPr>
        <w:rFonts w:ascii="Arial" w:hAnsi="Arial" w:hint="default"/>
        <w:b w:val="0"/>
        <w:i w:val="0"/>
        <w:sz w:val="22"/>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1854"/>
        </w:tabs>
        <w:ind w:left="1854" w:hanging="720"/>
      </w:pPr>
      <w:rPr>
        <w:rFonts w:hint="default"/>
      </w:rPr>
    </w:lvl>
    <w:lvl w:ilvl="6">
      <w:start w:val="1"/>
      <w:numFmt w:val="lowerRoman"/>
      <w:lvlText w:val="(%7)"/>
      <w:lvlJc w:val="left"/>
      <w:pPr>
        <w:tabs>
          <w:tab w:val="num" w:pos="2574"/>
        </w:tabs>
        <w:ind w:left="2574" w:hanging="720"/>
      </w:pPr>
      <w:rPr>
        <w:rFonts w:hint="default"/>
      </w:rPr>
    </w:lvl>
    <w:lvl w:ilvl="7">
      <w:start w:val="1"/>
      <w:numFmt w:val="lowerLetter"/>
      <w:lvlText w:val="(%8)"/>
      <w:lvlJc w:val="left"/>
      <w:pPr>
        <w:tabs>
          <w:tab w:val="num" w:pos="3294"/>
        </w:tabs>
        <w:ind w:left="3294" w:hanging="720"/>
      </w:pPr>
      <w:rPr>
        <w:rFonts w:hint="default"/>
      </w:rPr>
    </w:lvl>
    <w:lvl w:ilvl="8">
      <w:start w:val="1"/>
      <w:numFmt w:val="lowerRoman"/>
      <w:lvlText w:val="(%9)"/>
      <w:lvlJc w:val="left"/>
      <w:pPr>
        <w:tabs>
          <w:tab w:val="num" w:pos="4014"/>
        </w:tabs>
        <w:ind w:left="4014" w:hanging="720"/>
      </w:pPr>
      <w:rPr>
        <w:rFonts w:hint="default"/>
      </w:rPr>
    </w:lvl>
  </w:abstractNum>
  <w:abstractNum w:abstractNumId="14">
    <w:nsid w:val="1F36086D"/>
    <w:multiLevelType w:val="hybridMultilevel"/>
    <w:tmpl w:val="C9DA3938"/>
    <w:lvl w:ilvl="0" w:tplc="08090001">
      <w:start w:val="1"/>
      <w:numFmt w:val="bullet"/>
      <w:lvlText w:val=""/>
      <w:lvlJc w:val="left"/>
      <w:pPr>
        <w:ind w:left="720" w:hanging="360"/>
      </w:pPr>
      <w:rPr>
        <w:rFonts w:ascii="Symbol" w:hAnsi="Symbol" w:hint="default"/>
        <w:b w:val="0"/>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6B582C"/>
    <w:multiLevelType w:val="hybridMultilevel"/>
    <w:tmpl w:val="BD1459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1C58B3"/>
    <w:multiLevelType w:val="hybridMultilevel"/>
    <w:tmpl w:val="046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305D0C"/>
    <w:multiLevelType w:val="hybridMultilevel"/>
    <w:tmpl w:val="A836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96AF8"/>
    <w:multiLevelType w:val="hybridMultilevel"/>
    <w:tmpl w:val="EB907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8131FFF"/>
    <w:multiLevelType w:val="hybridMultilevel"/>
    <w:tmpl w:val="82C09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5C1493"/>
    <w:multiLevelType w:val="hybridMultilevel"/>
    <w:tmpl w:val="B84A9B98"/>
    <w:lvl w:ilvl="0" w:tplc="00EA4E3E">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7D5931"/>
    <w:multiLevelType w:val="hybridMultilevel"/>
    <w:tmpl w:val="CCA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820173"/>
    <w:multiLevelType w:val="hybridMultilevel"/>
    <w:tmpl w:val="34CCEB2A"/>
    <w:lvl w:ilvl="0" w:tplc="56AECA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D74F30"/>
    <w:multiLevelType w:val="hybridMultilevel"/>
    <w:tmpl w:val="6846A822"/>
    <w:lvl w:ilvl="0" w:tplc="4CBA03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2C16312"/>
    <w:multiLevelType w:val="hybridMultilevel"/>
    <w:tmpl w:val="FD007804"/>
    <w:lvl w:ilvl="0" w:tplc="20C6BBF4">
      <w:start w:val="1"/>
      <w:numFmt w:val="decimal"/>
      <w:lvlText w:val="%1."/>
      <w:lvlJc w:val="left"/>
      <w:pPr>
        <w:ind w:left="502" w:hanging="360"/>
      </w:pPr>
      <w:rPr>
        <w:rFonts w:ascii="Arial" w:hAnsi="Arial" w:cs="Arial" w:hint="default"/>
        <w:b w:val="0"/>
        <w:sz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EA2B57"/>
    <w:multiLevelType w:val="hybridMultilevel"/>
    <w:tmpl w:val="BF583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251FE8"/>
    <w:multiLevelType w:val="hybridMultilevel"/>
    <w:tmpl w:val="A06A75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C373B5"/>
    <w:multiLevelType w:val="hybridMultilevel"/>
    <w:tmpl w:val="830A9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E57BB2"/>
    <w:multiLevelType w:val="hybridMultilevel"/>
    <w:tmpl w:val="676C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33153"/>
    <w:multiLevelType w:val="hybridMultilevel"/>
    <w:tmpl w:val="13DA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817F71"/>
    <w:multiLevelType w:val="hybridMultilevel"/>
    <w:tmpl w:val="A53EC014"/>
    <w:lvl w:ilvl="0" w:tplc="56AECA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A93961"/>
    <w:multiLevelType w:val="hybridMultilevel"/>
    <w:tmpl w:val="6BD43D3C"/>
    <w:lvl w:ilvl="0" w:tplc="56AECA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FD1ECE"/>
    <w:multiLevelType w:val="hybridMultilevel"/>
    <w:tmpl w:val="05C0F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65AD2"/>
    <w:multiLevelType w:val="hybridMultilevel"/>
    <w:tmpl w:val="0C4E7E22"/>
    <w:lvl w:ilvl="0" w:tplc="00EA4E3E">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9559FF"/>
    <w:multiLevelType w:val="hybridMultilevel"/>
    <w:tmpl w:val="AC581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925E8E"/>
    <w:multiLevelType w:val="hybridMultilevel"/>
    <w:tmpl w:val="92C8AF56"/>
    <w:lvl w:ilvl="0" w:tplc="56AECA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C15D14"/>
    <w:multiLevelType w:val="hybridMultilevel"/>
    <w:tmpl w:val="2BBC528A"/>
    <w:lvl w:ilvl="0" w:tplc="B37AF7DC">
      <w:start w:val="1"/>
      <w:numFmt w:val="decimal"/>
      <w:lvlText w:val="%1."/>
      <w:lvlJc w:val="left"/>
      <w:pPr>
        <w:ind w:left="720" w:hanging="360"/>
      </w:pPr>
      <w:rPr>
        <w:rFonts w:hint="default"/>
        <w:b w:val="0"/>
        <w:sz w:val="22"/>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216F35"/>
    <w:multiLevelType w:val="hybridMultilevel"/>
    <w:tmpl w:val="D0283C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691347"/>
    <w:multiLevelType w:val="hybridMultilevel"/>
    <w:tmpl w:val="5E2C3894"/>
    <w:lvl w:ilvl="0" w:tplc="56AECAE2">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9A030C"/>
    <w:multiLevelType w:val="hybridMultilevel"/>
    <w:tmpl w:val="574A47AE"/>
    <w:lvl w:ilvl="0" w:tplc="20C6BBF4">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B914FE"/>
    <w:multiLevelType w:val="hybridMultilevel"/>
    <w:tmpl w:val="121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A411BD"/>
    <w:multiLevelType w:val="hybridMultilevel"/>
    <w:tmpl w:val="84FAD3C8"/>
    <w:lvl w:ilvl="0" w:tplc="08090001">
      <w:start w:val="1"/>
      <w:numFmt w:val="bullet"/>
      <w:lvlText w:val=""/>
      <w:lvlJc w:val="left"/>
      <w:pPr>
        <w:ind w:left="502" w:hanging="360"/>
      </w:pPr>
      <w:rPr>
        <w:rFonts w:ascii="Symbol" w:hAnsi="Symbol" w:hint="default"/>
        <w:b w:val="0"/>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4"/>
  </w:num>
  <w:num w:numId="3">
    <w:abstractNumId w:val="36"/>
  </w:num>
  <w:num w:numId="4">
    <w:abstractNumId w:val="11"/>
  </w:num>
  <w:num w:numId="5">
    <w:abstractNumId w:val="9"/>
  </w:num>
  <w:num w:numId="6">
    <w:abstractNumId w:val="5"/>
  </w:num>
  <w:num w:numId="7">
    <w:abstractNumId w:val="21"/>
  </w:num>
  <w:num w:numId="8">
    <w:abstractNumId w:val="40"/>
  </w:num>
  <w:num w:numId="9">
    <w:abstractNumId w:val="28"/>
  </w:num>
  <w:num w:numId="10">
    <w:abstractNumId w:val="0"/>
  </w:num>
  <w:num w:numId="11">
    <w:abstractNumId w:val="37"/>
  </w:num>
  <w:num w:numId="12">
    <w:abstractNumId w:val="26"/>
  </w:num>
  <w:num w:numId="13">
    <w:abstractNumId w:val="14"/>
  </w:num>
  <w:num w:numId="14">
    <w:abstractNumId w:val="4"/>
  </w:num>
  <w:num w:numId="15">
    <w:abstractNumId w:val="41"/>
  </w:num>
  <w:num w:numId="16">
    <w:abstractNumId w:val="39"/>
  </w:num>
  <w:num w:numId="17">
    <w:abstractNumId w:val="16"/>
  </w:num>
  <w:num w:numId="18">
    <w:abstractNumId w:val="7"/>
  </w:num>
  <w:num w:numId="19">
    <w:abstractNumId w:val="10"/>
  </w:num>
  <w:num w:numId="20">
    <w:abstractNumId w:val="2"/>
  </w:num>
  <w:num w:numId="21">
    <w:abstractNumId w:val="19"/>
  </w:num>
  <w:num w:numId="22">
    <w:abstractNumId w:val="22"/>
  </w:num>
  <w:num w:numId="23">
    <w:abstractNumId w:val="12"/>
  </w:num>
  <w:num w:numId="24">
    <w:abstractNumId w:val="18"/>
  </w:num>
  <w:num w:numId="25">
    <w:abstractNumId w:val="3"/>
  </w:num>
  <w:num w:numId="26">
    <w:abstractNumId w:val="35"/>
  </w:num>
  <w:num w:numId="27">
    <w:abstractNumId w:val="30"/>
  </w:num>
  <w:num w:numId="28">
    <w:abstractNumId w:val="6"/>
  </w:num>
  <w:num w:numId="29">
    <w:abstractNumId w:val="31"/>
  </w:num>
  <w:num w:numId="30">
    <w:abstractNumId w:val="17"/>
  </w:num>
  <w:num w:numId="31">
    <w:abstractNumId w:val="27"/>
  </w:num>
  <w:num w:numId="32">
    <w:abstractNumId w:val="32"/>
  </w:num>
  <w:num w:numId="33">
    <w:abstractNumId w:val="15"/>
  </w:num>
  <w:num w:numId="34">
    <w:abstractNumId w:val="34"/>
  </w:num>
  <w:num w:numId="35">
    <w:abstractNumId w:val="8"/>
  </w:num>
  <w:num w:numId="36">
    <w:abstractNumId w:val="38"/>
  </w:num>
  <w:num w:numId="37">
    <w:abstractNumId w:val="25"/>
  </w:num>
  <w:num w:numId="38">
    <w:abstractNumId w:val="29"/>
  </w:num>
  <w:num w:numId="39">
    <w:abstractNumId w:val="33"/>
  </w:num>
  <w:num w:numId="40">
    <w:abstractNumId w:val="20"/>
  </w:num>
  <w:num w:numId="41">
    <w:abstractNumId w:val="1"/>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20"/>
    <w:rsid w:val="0000103A"/>
    <w:rsid w:val="00002E8F"/>
    <w:rsid w:val="0000329D"/>
    <w:rsid w:val="00006D8B"/>
    <w:rsid w:val="0001178A"/>
    <w:rsid w:val="000144D4"/>
    <w:rsid w:val="000218B6"/>
    <w:rsid w:val="00024BA4"/>
    <w:rsid w:val="00024F02"/>
    <w:rsid w:val="000304D2"/>
    <w:rsid w:val="000317A2"/>
    <w:rsid w:val="00033594"/>
    <w:rsid w:val="00033E06"/>
    <w:rsid w:val="00036C65"/>
    <w:rsid w:val="0003728F"/>
    <w:rsid w:val="00042593"/>
    <w:rsid w:val="00042848"/>
    <w:rsid w:val="00042960"/>
    <w:rsid w:val="00053052"/>
    <w:rsid w:val="00053E1D"/>
    <w:rsid w:val="00055125"/>
    <w:rsid w:val="000563A5"/>
    <w:rsid w:val="000567E3"/>
    <w:rsid w:val="000611FA"/>
    <w:rsid w:val="0006171E"/>
    <w:rsid w:val="00065404"/>
    <w:rsid w:val="0006566A"/>
    <w:rsid w:val="00065AFA"/>
    <w:rsid w:val="000667F4"/>
    <w:rsid w:val="00066A88"/>
    <w:rsid w:val="00066C8F"/>
    <w:rsid w:val="00067327"/>
    <w:rsid w:val="000801B9"/>
    <w:rsid w:val="0008726B"/>
    <w:rsid w:val="00087894"/>
    <w:rsid w:val="00096D43"/>
    <w:rsid w:val="000975E8"/>
    <w:rsid w:val="000A223C"/>
    <w:rsid w:val="000A26EF"/>
    <w:rsid w:val="000A6826"/>
    <w:rsid w:val="000B506C"/>
    <w:rsid w:val="000B5577"/>
    <w:rsid w:val="000B7DF4"/>
    <w:rsid w:val="000C3775"/>
    <w:rsid w:val="000C7A99"/>
    <w:rsid w:val="000D2589"/>
    <w:rsid w:val="000D52E1"/>
    <w:rsid w:val="000D7DE2"/>
    <w:rsid w:val="000E18A7"/>
    <w:rsid w:val="000E1FFA"/>
    <w:rsid w:val="000E5B54"/>
    <w:rsid w:val="000E7ABB"/>
    <w:rsid w:val="000F1C65"/>
    <w:rsid w:val="000F2DDC"/>
    <w:rsid w:val="000F4FD2"/>
    <w:rsid w:val="001043BF"/>
    <w:rsid w:val="00104F35"/>
    <w:rsid w:val="00106A0D"/>
    <w:rsid w:val="00106D50"/>
    <w:rsid w:val="001122F2"/>
    <w:rsid w:val="00116C0F"/>
    <w:rsid w:val="00117AFD"/>
    <w:rsid w:val="00117CB6"/>
    <w:rsid w:val="00122778"/>
    <w:rsid w:val="00122C56"/>
    <w:rsid w:val="00125594"/>
    <w:rsid w:val="001339F2"/>
    <w:rsid w:val="00136C0F"/>
    <w:rsid w:val="00136D9D"/>
    <w:rsid w:val="00140AB6"/>
    <w:rsid w:val="00147B2F"/>
    <w:rsid w:val="00147C54"/>
    <w:rsid w:val="00151A7F"/>
    <w:rsid w:val="00160008"/>
    <w:rsid w:val="00161B7B"/>
    <w:rsid w:val="00162C83"/>
    <w:rsid w:val="001659ED"/>
    <w:rsid w:val="00173D1D"/>
    <w:rsid w:val="00182DD8"/>
    <w:rsid w:val="00183534"/>
    <w:rsid w:val="001855F0"/>
    <w:rsid w:val="00185BCC"/>
    <w:rsid w:val="00185E52"/>
    <w:rsid w:val="001910B0"/>
    <w:rsid w:val="001930CC"/>
    <w:rsid w:val="00197B8E"/>
    <w:rsid w:val="001A2417"/>
    <w:rsid w:val="001A2D53"/>
    <w:rsid w:val="001A73EF"/>
    <w:rsid w:val="001B2A7C"/>
    <w:rsid w:val="001B2F93"/>
    <w:rsid w:val="001C105A"/>
    <w:rsid w:val="001C552A"/>
    <w:rsid w:val="001D4E06"/>
    <w:rsid w:val="001E6744"/>
    <w:rsid w:val="001E7D1B"/>
    <w:rsid w:val="001F303C"/>
    <w:rsid w:val="001F40FE"/>
    <w:rsid w:val="001F69F4"/>
    <w:rsid w:val="001F6CE3"/>
    <w:rsid w:val="00202482"/>
    <w:rsid w:val="0020262E"/>
    <w:rsid w:val="00205C3D"/>
    <w:rsid w:val="00205CBF"/>
    <w:rsid w:val="00210BB1"/>
    <w:rsid w:val="00211199"/>
    <w:rsid w:val="00213DE5"/>
    <w:rsid w:val="00216F6A"/>
    <w:rsid w:val="00220346"/>
    <w:rsid w:val="00221CE8"/>
    <w:rsid w:val="002237C8"/>
    <w:rsid w:val="002258DC"/>
    <w:rsid w:val="002266B8"/>
    <w:rsid w:val="00227FD2"/>
    <w:rsid w:val="002300BD"/>
    <w:rsid w:val="00230F0D"/>
    <w:rsid w:val="00236038"/>
    <w:rsid w:val="002440D3"/>
    <w:rsid w:val="002473F6"/>
    <w:rsid w:val="0025116D"/>
    <w:rsid w:val="00251C42"/>
    <w:rsid w:val="002544AC"/>
    <w:rsid w:val="002565BB"/>
    <w:rsid w:val="00256B69"/>
    <w:rsid w:val="00260E17"/>
    <w:rsid w:val="00261D87"/>
    <w:rsid w:val="00263E35"/>
    <w:rsid w:val="00266196"/>
    <w:rsid w:val="00271DAA"/>
    <w:rsid w:val="002743F1"/>
    <w:rsid w:val="00275393"/>
    <w:rsid w:val="002824D9"/>
    <w:rsid w:val="002856BD"/>
    <w:rsid w:val="00287312"/>
    <w:rsid w:val="00291C5F"/>
    <w:rsid w:val="002A2ABE"/>
    <w:rsid w:val="002A43AF"/>
    <w:rsid w:val="002A629E"/>
    <w:rsid w:val="002B1246"/>
    <w:rsid w:val="002B140A"/>
    <w:rsid w:val="002B4E97"/>
    <w:rsid w:val="002C0BA8"/>
    <w:rsid w:val="002C293C"/>
    <w:rsid w:val="002C2DF6"/>
    <w:rsid w:val="002C5B20"/>
    <w:rsid w:val="002C69F3"/>
    <w:rsid w:val="002C7FE0"/>
    <w:rsid w:val="002D26F5"/>
    <w:rsid w:val="002D5253"/>
    <w:rsid w:val="002D73FC"/>
    <w:rsid w:val="002E1490"/>
    <w:rsid w:val="002E6E61"/>
    <w:rsid w:val="002E7A9E"/>
    <w:rsid w:val="002F0E74"/>
    <w:rsid w:val="002F624E"/>
    <w:rsid w:val="002F6375"/>
    <w:rsid w:val="00301528"/>
    <w:rsid w:val="00301E2B"/>
    <w:rsid w:val="003021FA"/>
    <w:rsid w:val="00304232"/>
    <w:rsid w:val="0030669C"/>
    <w:rsid w:val="00306FF8"/>
    <w:rsid w:val="00311660"/>
    <w:rsid w:val="00316AC4"/>
    <w:rsid w:val="00326535"/>
    <w:rsid w:val="003269F5"/>
    <w:rsid w:val="003319DF"/>
    <w:rsid w:val="00334500"/>
    <w:rsid w:val="0033521A"/>
    <w:rsid w:val="003379FB"/>
    <w:rsid w:val="00337A61"/>
    <w:rsid w:val="00344258"/>
    <w:rsid w:val="00347AE1"/>
    <w:rsid w:val="0035218B"/>
    <w:rsid w:val="0035493A"/>
    <w:rsid w:val="00354B0B"/>
    <w:rsid w:val="00362632"/>
    <w:rsid w:val="00362D8E"/>
    <w:rsid w:val="00363377"/>
    <w:rsid w:val="00363A81"/>
    <w:rsid w:val="00364501"/>
    <w:rsid w:val="0037161A"/>
    <w:rsid w:val="00372899"/>
    <w:rsid w:val="00373438"/>
    <w:rsid w:val="00373DC1"/>
    <w:rsid w:val="00380810"/>
    <w:rsid w:val="003810B9"/>
    <w:rsid w:val="0038164B"/>
    <w:rsid w:val="00384D41"/>
    <w:rsid w:val="00384FE2"/>
    <w:rsid w:val="003851CE"/>
    <w:rsid w:val="00385473"/>
    <w:rsid w:val="003912DD"/>
    <w:rsid w:val="00391BD2"/>
    <w:rsid w:val="00395AE3"/>
    <w:rsid w:val="003A01F1"/>
    <w:rsid w:val="003A434B"/>
    <w:rsid w:val="003A551E"/>
    <w:rsid w:val="003A56E8"/>
    <w:rsid w:val="003A5D06"/>
    <w:rsid w:val="003B0522"/>
    <w:rsid w:val="003B176D"/>
    <w:rsid w:val="003B230F"/>
    <w:rsid w:val="003B6216"/>
    <w:rsid w:val="003C27E1"/>
    <w:rsid w:val="003C3BD8"/>
    <w:rsid w:val="003D4C68"/>
    <w:rsid w:val="003D5DF6"/>
    <w:rsid w:val="003D62C9"/>
    <w:rsid w:val="003E001B"/>
    <w:rsid w:val="003E1625"/>
    <w:rsid w:val="003E46B0"/>
    <w:rsid w:val="003E7C38"/>
    <w:rsid w:val="003F172D"/>
    <w:rsid w:val="003F6F4A"/>
    <w:rsid w:val="00402DA7"/>
    <w:rsid w:val="00402F3A"/>
    <w:rsid w:val="004045C5"/>
    <w:rsid w:val="00405D2C"/>
    <w:rsid w:val="00420F83"/>
    <w:rsid w:val="004227B2"/>
    <w:rsid w:val="004272CF"/>
    <w:rsid w:val="00427D67"/>
    <w:rsid w:val="00427D71"/>
    <w:rsid w:val="004323AE"/>
    <w:rsid w:val="004340A7"/>
    <w:rsid w:val="00435205"/>
    <w:rsid w:val="0043580D"/>
    <w:rsid w:val="00437299"/>
    <w:rsid w:val="00443FC1"/>
    <w:rsid w:val="0044448C"/>
    <w:rsid w:val="00444A7F"/>
    <w:rsid w:val="0044630D"/>
    <w:rsid w:val="004465CB"/>
    <w:rsid w:val="00446913"/>
    <w:rsid w:val="00447248"/>
    <w:rsid w:val="00451BD9"/>
    <w:rsid w:val="00451BF6"/>
    <w:rsid w:val="004558D6"/>
    <w:rsid w:val="00456CF1"/>
    <w:rsid w:val="0046013D"/>
    <w:rsid w:val="0046050C"/>
    <w:rsid w:val="004626D8"/>
    <w:rsid w:val="00464C01"/>
    <w:rsid w:val="0046629A"/>
    <w:rsid w:val="00471B3A"/>
    <w:rsid w:val="00474140"/>
    <w:rsid w:val="00477407"/>
    <w:rsid w:val="00487827"/>
    <w:rsid w:val="004878FF"/>
    <w:rsid w:val="00492038"/>
    <w:rsid w:val="0049256C"/>
    <w:rsid w:val="0049394A"/>
    <w:rsid w:val="00497192"/>
    <w:rsid w:val="004A06AB"/>
    <w:rsid w:val="004A409C"/>
    <w:rsid w:val="004A62ED"/>
    <w:rsid w:val="004B028A"/>
    <w:rsid w:val="004B366D"/>
    <w:rsid w:val="004B4D95"/>
    <w:rsid w:val="004B5834"/>
    <w:rsid w:val="004B67F2"/>
    <w:rsid w:val="004C69E2"/>
    <w:rsid w:val="004D07EA"/>
    <w:rsid w:val="004D207B"/>
    <w:rsid w:val="004D3DBA"/>
    <w:rsid w:val="004E0CDE"/>
    <w:rsid w:val="004E1411"/>
    <w:rsid w:val="004E1B05"/>
    <w:rsid w:val="004E2E96"/>
    <w:rsid w:val="004E7DC7"/>
    <w:rsid w:val="004F3599"/>
    <w:rsid w:val="004F4038"/>
    <w:rsid w:val="00501C2F"/>
    <w:rsid w:val="0051000F"/>
    <w:rsid w:val="00515E47"/>
    <w:rsid w:val="00515EBA"/>
    <w:rsid w:val="00516021"/>
    <w:rsid w:val="00516DC2"/>
    <w:rsid w:val="0051776D"/>
    <w:rsid w:val="00521DFD"/>
    <w:rsid w:val="00523934"/>
    <w:rsid w:val="00523F4B"/>
    <w:rsid w:val="00524A67"/>
    <w:rsid w:val="005254E3"/>
    <w:rsid w:val="00527E3B"/>
    <w:rsid w:val="0053128D"/>
    <w:rsid w:val="00535094"/>
    <w:rsid w:val="00540460"/>
    <w:rsid w:val="00541184"/>
    <w:rsid w:val="00542224"/>
    <w:rsid w:val="0054509D"/>
    <w:rsid w:val="00546AEB"/>
    <w:rsid w:val="00550AB2"/>
    <w:rsid w:val="00551827"/>
    <w:rsid w:val="00556F21"/>
    <w:rsid w:val="00560CBA"/>
    <w:rsid w:val="00561015"/>
    <w:rsid w:val="00563438"/>
    <w:rsid w:val="005641A3"/>
    <w:rsid w:val="005710A7"/>
    <w:rsid w:val="00571CC8"/>
    <w:rsid w:val="005729BF"/>
    <w:rsid w:val="00573F05"/>
    <w:rsid w:val="005741C2"/>
    <w:rsid w:val="00576761"/>
    <w:rsid w:val="00583456"/>
    <w:rsid w:val="005867A3"/>
    <w:rsid w:val="005869A4"/>
    <w:rsid w:val="005870F8"/>
    <w:rsid w:val="005905EF"/>
    <w:rsid w:val="00592589"/>
    <w:rsid w:val="005931D7"/>
    <w:rsid w:val="005938EA"/>
    <w:rsid w:val="005A2278"/>
    <w:rsid w:val="005A27ED"/>
    <w:rsid w:val="005A3242"/>
    <w:rsid w:val="005A7013"/>
    <w:rsid w:val="005B05FE"/>
    <w:rsid w:val="005B46E4"/>
    <w:rsid w:val="005B7A6D"/>
    <w:rsid w:val="005C177A"/>
    <w:rsid w:val="005C2421"/>
    <w:rsid w:val="005C6C69"/>
    <w:rsid w:val="005C7829"/>
    <w:rsid w:val="005D042E"/>
    <w:rsid w:val="005D0C3C"/>
    <w:rsid w:val="005D1494"/>
    <w:rsid w:val="005D49CF"/>
    <w:rsid w:val="005E1633"/>
    <w:rsid w:val="005E4FAB"/>
    <w:rsid w:val="005F4709"/>
    <w:rsid w:val="005F5112"/>
    <w:rsid w:val="005F5733"/>
    <w:rsid w:val="005F68E7"/>
    <w:rsid w:val="005F70D8"/>
    <w:rsid w:val="005F79D9"/>
    <w:rsid w:val="00605B1E"/>
    <w:rsid w:val="0061316C"/>
    <w:rsid w:val="00616A18"/>
    <w:rsid w:val="00617CE5"/>
    <w:rsid w:val="0062100D"/>
    <w:rsid w:val="0062181B"/>
    <w:rsid w:val="00623608"/>
    <w:rsid w:val="00623698"/>
    <w:rsid w:val="00623FA8"/>
    <w:rsid w:val="00626795"/>
    <w:rsid w:val="00627387"/>
    <w:rsid w:val="00630A9B"/>
    <w:rsid w:val="0063133C"/>
    <w:rsid w:val="0063381F"/>
    <w:rsid w:val="00635E23"/>
    <w:rsid w:val="00635E3D"/>
    <w:rsid w:val="006424C1"/>
    <w:rsid w:val="00642E0D"/>
    <w:rsid w:val="00643C94"/>
    <w:rsid w:val="00645180"/>
    <w:rsid w:val="006506A4"/>
    <w:rsid w:val="00652B31"/>
    <w:rsid w:val="006534D4"/>
    <w:rsid w:val="006633F0"/>
    <w:rsid w:val="00663B39"/>
    <w:rsid w:val="006668DB"/>
    <w:rsid w:val="00667D73"/>
    <w:rsid w:val="006722F9"/>
    <w:rsid w:val="00672F5F"/>
    <w:rsid w:val="00675BDB"/>
    <w:rsid w:val="0067639F"/>
    <w:rsid w:val="00676AD3"/>
    <w:rsid w:val="00684662"/>
    <w:rsid w:val="00687764"/>
    <w:rsid w:val="00687F88"/>
    <w:rsid w:val="00692939"/>
    <w:rsid w:val="00693585"/>
    <w:rsid w:val="00694355"/>
    <w:rsid w:val="006956BE"/>
    <w:rsid w:val="006A544A"/>
    <w:rsid w:val="006A6711"/>
    <w:rsid w:val="006A715C"/>
    <w:rsid w:val="006B0946"/>
    <w:rsid w:val="006B79C2"/>
    <w:rsid w:val="006C128E"/>
    <w:rsid w:val="006D12A8"/>
    <w:rsid w:val="006D3294"/>
    <w:rsid w:val="006D3471"/>
    <w:rsid w:val="006D3BC3"/>
    <w:rsid w:val="006E6F1B"/>
    <w:rsid w:val="006E715B"/>
    <w:rsid w:val="006F73A0"/>
    <w:rsid w:val="007006E4"/>
    <w:rsid w:val="00701B85"/>
    <w:rsid w:val="007060E3"/>
    <w:rsid w:val="00715504"/>
    <w:rsid w:val="00717D0A"/>
    <w:rsid w:val="007250CB"/>
    <w:rsid w:val="0073153F"/>
    <w:rsid w:val="007323E0"/>
    <w:rsid w:val="0073365A"/>
    <w:rsid w:val="00733C0D"/>
    <w:rsid w:val="00734A00"/>
    <w:rsid w:val="007355A6"/>
    <w:rsid w:val="00737F44"/>
    <w:rsid w:val="00744B15"/>
    <w:rsid w:val="0074604C"/>
    <w:rsid w:val="0075213E"/>
    <w:rsid w:val="00754337"/>
    <w:rsid w:val="007561A0"/>
    <w:rsid w:val="007572DE"/>
    <w:rsid w:val="0076599F"/>
    <w:rsid w:val="00766360"/>
    <w:rsid w:val="00770DC5"/>
    <w:rsid w:val="00774EB4"/>
    <w:rsid w:val="0078346C"/>
    <w:rsid w:val="00784991"/>
    <w:rsid w:val="007902D1"/>
    <w:rsid w:val="007907EC"/>
    <w:rsid w:val="00790E71"/>
    <w:rsid w:val="00797CF8"/>
    <w:rsid w:val="007B176C"/>
    <w:rsid w:val="007B7129"/>
    <w:rsid w:val="007C1559"/>
    <w:rsid w:val="007C3D54"/>
    <w:rsid w:val="007C529A"/>
    <w:rsid w:val="007C62A6"/>
    <w:rsid w:val="007D336F"/>
    <w:rsid w:val="007D3C00"/>
    <w:rsid w:val="007D62C7"/>
    <w:rsid w:val="007D7928"/>
    <w:rsid w:val="007E009E"/>
    <w:rsid w:val="007E2A3C"/>
    <w:rsid w:val="007E5C13"/>
    <w:rsid w:val="007E7AD6"/>
    <w:rsid w:val="007F0434"/>
    <w:rsid w:val="007F5E07"/>
    <w:rsid w:val="008002F2"/>
    <w:rsid w:val="00807F3F"/>
    <w:rsid w:val="00813469"/>
    <w:rsid w:val="008139C2"/>
    <w:rsid w:val="00814E1B"/>
    <w:rsid w:val="0081540E"/>
    <w:rsid w:val="00820C59"/>
    <w:rsid w:val="008234E7"/>
    <w:rsid w:val="00823806"/>
    <w:rsid w:val="00825475"/>
    <w:rsid w:val="008264A5"/>
    <w:rsid w:val="0082793A"/>
    <w:rsid w:val="00827D8C"/>
    <w:rsid w:val="008317CF"/>
    <w:rsid w:val="00832E41"/>
    <w:rsid w:val="00832E8E"/>
    <w:rsid w:val="00850C73"/>
    <w:rsid w:val="008521CE"/>
    <w:rsid w:val="00854A55"/>
    <w:rsid w:val="00863B82"/>
    <w:rsid w:val="008649F3"/>
    <w:rsid w:val="0087253B"/>
    <w:rsid w:val="0087306D"/>
    <w:rsid w:val="008768AF"/>
    <w:rsid w:val="00880CCF"/>
    <w:rsid w:val="00882096"/>
    <w:rsid w:val="0088275C"/>
    <w:rsid w:val="00882D8E"/>
    <w:rsid w:val="00882E6B"/>
    <w:rsid w:val="008844A7"/>
    <w:rsid w:val="00884CAB"/>
    <w:rsid w:val="008854EC"/>
    <w:rsid w:val="0088740C"/>
    <w:rsid w:val="00887812"/>
    <w:rsid w:val="0089363E"/>
    <w:rsid w:val="00893F16"/>
    <w:rsid w:val="008A1529"/>
    <w:rsid w:val="008B112C"/>
    <w:rsid w:val="008B1FF4"/>
    <w:rsid w:val="008B45DB"/>
    <w:rsid w:val="008B536B"/>
    <w:rsid w:val="008B59B7"/>
    <w:rsid w:val="008C1EA1"/>
    <w:rsid w:val="008C5714"/>
    <w:rsid w:val="008D570E"/>
    <w:rsid w:val="008D600A"/>
    <w:rsid w:val="008E2175"/>
    <w:rsid w:val="008E2A47"/>
    <w:rsid w:val="008E4E48"/>
    <w:rsid w:val="008E5274"/>
    <w:rsid w:val="008E72FC"/>
    <w:rsid w:val="008F0F6C"/>
    <w:rsid w:val="008F10E5"/>
    <w:rsid w:val="008F41D4"/>
    <w:rsid w:val="0090394C"/>
    <w:rsid w:val="00905EC0"/>
    <w:rsid w:val="009127B1"/>
    <w:rsid w:val="00912870"/>
    <w:rsid w:val="00913860"/>
    <w:rsid w:val="00913E08"/>
    <w:rsid w:val="00913E9C"/>
    <w:rsid w:val="009167D2"/>
    <w:rsid w:val="00917953"/>
    <w:rsid w:val="009205AE"/>
    <w:rsid w:val="00921894"/>
    <w:rsid w:val="00923277"/>
    <w:rsid w:val="009301DD"/>
    <w:rsid w:val="00930480"/>
    <w:rsid w:val="009307D5"/>
    <w:rsid w:val="0093404E"/>
    <w:rsid w:val="00936A43"/>
    <w:rsid w:val="00940895"/>
    <w:rsid w:val="009449BE"/>
    <w:rsid w:val="00952C48"/>
    <w:rsid w:val="0096014F"/>
    <w:rsid w:val="00966D2A"/>
    <w:rsid w:val="009713E0"/>
    <w:rsid w:val="00971B23"/>
    <w:rsid w:val="009722FD"/>
    <w:rsid w:val="00972E89"/>
    <w:rsid w:val="00973DA9"/>
    <w:rsid w:val="00977E73"/>
    <w:rsid w:val="00983511"/>
    <w:rsid w:val="00990111"/>
    <w:rsid w:val="009902CA"/>
    <w:rsid w:val="009920A4"/>
    <w:rsid w:val="009923D4"/>
    <w:rsid w:val="009943D1"/>
    <w:rsid w:val="009963E5"/>
    <w:rsid w:val="00997FF8"/>
    <w:rsid w:val="009A6EBB"/>
    <w:rsid w:val="009A757F"/>
    <w:rsid w:val="009B252F"/>
    <w:rsid w:val="009B2DDC"/>
    <w:rsid w:val="009B562B"/>
    <w:rsid w:val="009B5C5E"/>
    <w:rsid w:val="009C647B"/>
    <w:rsid w:val="009C6B65"/>
    <w:rsid w:val="009D3AF5"/>
    <w:rsid w:val="009D6A44"/>
    <w:rsid w:val="009D7345"/>
    <w:rsid w:val="009E3BB5"/>
    <w:rsid w:val="009E51A7"/>
    <w:rsid w:val="009E5A40"/>
    <w:rsid w:val="009F3786"/>
    <w:rsid w:val="009F51BE"/>
    <w:rsid w:val="00A00B1A"/>
    <w:rsid w:val="00A127FC"/>
    <w:rsid w:val="00A14F7C"/>
    <w:rsid w:val="00A21BCF"/>
    <w:rsid w:val="00A309AB"/>
    <w:rsid w:val="00A43AE8"/>
    <w:rsid w:val="00A43EBA"/>
    <w:rsid w:val="00A44B37"/>
    <w:rsid w:val="00A468D1"/>
    <w:rsid w:val="00A504D8"/>
    <w:rsid w:val="00A54021"/>
    <w:rsid w:val="00A5432E"/>
    <w:rsid w:val="00A60329"/>
    <w:rsid w:val="00A618E0"/>
    <w:rsid w:val="00A62E31"/>
    <w:rsid w:val="00A712C3"/>
    <w:rsid w:val="00A71AC4"/>
    <w:rsid w:val="00A724FB"/>
    <w:rsid w:val="00A740D5"/>
    <w:rsid w:val="00A7486E"/>
    <w:rsid w:val="00A7492D"/>
    <w:rsid w:val="00A82FDE"/>
    <w:rsid w:val="00A8459C"/>
    <w:rsid w:val="00A84665"/>
    <w:rsid w:val="00A919A2"/>
    <w:rsid w:val="00A9218A"/>
    <w:rsid w:val="00A94214"/>
    <w:rsid w:val="00A9492C"/>
    <w:rsid w:val="00A954CD"/>
    <w:rsid w:val="00A96B68"/>
    <w:rsid w:val="00A97652"/>
    <w:rsid w:val="00AA0A4B"/>
    <w:rsid w:val="00AA0D89"/>
    <w:rsid w:val="00AA1028"/>
    <w:rsid w:val="00AB0C0E"/>
    <w:rsid w:val="00AB6854"/>
    <w:rsid w:val="00AB6D59"/>
    <w:rsid w:val="00AB7C1D"/>
    <w:rsid w:val="00AC2ABC"/>
    <w:rsid w:val="00AC6D6C"/>
    <w:rsid w:val="00AD0A42"/>
    <w:rsid w:val="00AD0B97"/>
    <w:rsid w:val="00AD1DFD"/>
    <w:rsid w:val="00AD2F3D"/>
    <w:rsid w:val="00AD42D8"/>
    <w:rsid w:val="00AD7ECE"/>
    <w:rsid w:val="00AE17B0"/>
    <w:rsid w:val="00AE3AEB"/>
    <w:rsid w:val="00AE4370"/>
    <w:rsid w:val="00AE5680"/>
    <w:rsid w:val="00AE6DDA"/>
    <w:rsid w:val="00AF18BA"/>
    <w:rsid w:val="00AF354F"/>
    <w:rsid w:val="00AF3CF9"/>
    <w:rsid w:val="00AF4783"/>
    <w:rsid w:val="00AF78AF"/>
    <w:rsid w:val="00B00930"/>
    <w:rsid w:val="00B02DE3"/>
    <w:rsid w:val="00B05FDE"/>
    <w:rsid w:val="00B12252"/>
    <w:rsid w:val="00B14886"/>
    <w:rsid w:val="00B20205"/>
    <w:rsid w:val="00B37F9B"/>
    <w:rsid w:val="00B40C87"/>
    <w:rsid w:val="00B4149A"/>
    <w:rsid w:val="00B44762"/>
    <w:rsid w:val="00B460CF"/>
    <w:rsid w:val="00B527F0"/>
    <w:rsid w:val="00B53BCB"/>
    <w:rsid w:val="00B544EE"/>
    <w:rsid w:val="00B5618C"/>
    <w:rsid w:val="00B570B2"/>
    <w:rsid w:val="00B624E3"/>
    <w:rsid w:val="00B63669"/>
    <w:rsid w:val="00B652FB"/>
    <w:rsid w:val="00B73616"/>
    <w:rsid w:val="00B73D1C"/>
    <w:rsid w:val="00B74D13"/>
    <w:rsid w:val="00B82284"/>
    <w:rsid w:val="00B83432"/>
    <w:rsid w:val="00B879AC"/>
    <w:rsid w:val="00B929EB"/>
    <w:rsid w:val="00B933EE"/>
    <w:rsid w:val="00B94596"/>
    <w:rsid w:val="00B952EE"/>
    <w:rsid w:val="00B95C4D"/>
    <w:rsid w:val="00B9614C"/>
    <w:rsid w:val="00BA0E3B"/>
    <w:rsid w:val="00BA6B5A"/>
    <w:rsid w:val="00BB14F8"/>
    <w:rsid w:val="00BB1C63"/>
    <w:rsid w:val="00BB4070"/>
    <w:rsid w:val="00BB620B"/>
    <w:rsid w:val="00BB6843"/>
    <w:rsid w:val="00BB69A3"/>
    <w:rsid w:val="00BB7446"/>
    <w:rsid w:val="00BC172F"/>
    <w:rsid w:val="00BC6564"/>
    <w:rsid w:val="00BC71DB"/>
    <w:rsid w:val="00BD5A2B"/>
    <w:rsid w:val="00BE27A0"/>
    <w:rsid w:val="00BE2C44"/>
    <w:rsid w:val="00BE553C"/>
    <w:rsid w:val="00BE59BC"/>
    <w:rsid w:val="00BE7566"/>
    <w:rsid w:val="00BF2333"/>
    <w:rsid w:val="00BF2C55"/>
    <w:rsid w:val="00BF6C55"/>
    <w:rsid w:val="00BF7495"/>
    <w:rsid w:val="00C01946"/>
    <w:rsid w:val="00C02000"/>
    <w:rsid w:val="00C04559"/>
    <w:rsid w:val="00C04CD8"/>
    <w:rsid w:val="00C05DC6"/>
    <w:rsid w:val="00C0688A"/>
    <w:rsid w:val="00C069EA"/>
    <w:rsid w:val="00C06DDA"/>
    <w:rsid w:val="00C11BC8"/>
    <w:rsid w:val="00C163F8"/>
    <w:rsid w:val="00C175D4"/>
    <w:rsid w:val="00C17DAA"/>
    <w:rsid w:val="00C22890"/>
    <w:rsid w:val="00C25FAF"/>
    <w:rsid w:val="00C26AB1"/>
    <w:rsid w:val="00C404F5"/>
    <w:rsid w:val="00C41EED"/>
    <w:rsid w:val="00C474E1"/>
    <w:rsid w:val="00C476B5"/>
    <w:rsid w:val="00C50055"/>
    <w:rsid w:val="00C51E9A"/>
    <w:rsid w:val="00C53B9E"/>
    <w:rsid w:val="00C56FB2"/>
    <w:rsid w:val="00C658AD"/>
    <w:rsid w:val="00C66796"/>
    <w:rsid w:val="00C706A2"/>
    <w:rsid w:val="00C73AB2"/>
    <w:rsid w:val="00C75395"/>
    <w:rsid w:val="00C822F5"/>
    <w:rsid w:val="00C84274"/>
    <w:rsid w:val="00C867EC"/>
    <w:rsid w:val="00C877D6"/>
    <w:rsid w:val="00C92581"/>
    <w:rsid w:val="00C969C9"/>
    <w:rsid w:val="00C97450"/>
    <w:rsid w:val="00CA32C6"/>
    <w:rsid w:val="00CA4E94"/>
    <w:rsid w:val="00CA55AF"/>
    <w:rsid w:val="00CA5C11"/>
    <w:rsid w:val="00CB21D0"/>
    <w:rsid w:val="00CB2DB4"/>
    <w:rsid w:val="00CB39A0"/>
    <w:rsid w:val="00CB5442"/>
    <w:rsid w:val="00CB7DDB"/>
    <w:rsid w:val="00CC2CC7"/>
    <w:rsid w:val="00CC2FB9"/>
    <w:rsid w:val="00CC45DA"/>
    <w:rsid w:val="00CC75A5"/>
    <w:rsid w:val="00CD088E"/>
    <w:rsid w:val="00CD141F"/>
    <w:rsid w:val="00CD4723"/>
    <w:rsid w:val="00CD4961"/>
    <w:rsid w:val="00CD595C"/>
    <w:rsid w:val="00CD77E9"/>
    <w:rsid w:val="00CE04F8"/>
    <w:rsid w:val="00CE069D"/>
    <w:rsid w:val="00CE3D6D"/>
    <w:rsid w:val="00CF2A12"/>
    <w:rsid w:val="00D01CD9"/>
    <w:rsid w:val="00D02D5D"/>
    <w:rsid w:val="00D05BDC"/>
    <w:rsid w:val="00D05E8E"/>
    <w:rsid w:val="00D10DE6"/>
    <w:rsid w:val="00D211C6"/>
    <w:rsid w:val="00D2120C"/>
    <w:rsid w:val="00D218A0"/>
    <w:rsid w:val="00D26C5C"/>
    <w:rsid w:val="00D27C8E"/>
    <w:rsid w:val="00D30A48"/>
    <w:rsid w:val="00D32C39"/>
    <w:rsid w:val="00D34E0D"/>
    <w:rsid w:val="00D35B3E"/>
    <w:rsid w:val="00D42066"/>
    <w:rsid w:val="00D44C05"/>
    <w:rsid w:val="00D4535D"/>
    <w:rsid w:val="00D4618D"/>
    <w:rsid w:val="00D63C23"/>
    <w:rsid w:val="00D651B8"/>
    <w:rsid w:val="00D65781"/>
    <w:rsid w:val="00D66AEA"/>
    <w:rsid w:val="00D67A26"/>
    <w:rsid w:val="00D72405"/>
    <w:rsid w:val="00D7402E"/>
    <w:rsid w:val="00D7424F"/>
    <w:rsid w:val="00D815AA"/>
    <w:rsid w:val="00D81EA4"/>
    <w:rsid w:val="00D8270B"/>
    <w:rsid w:val="00D853A9"/>
    <w:rsid w:val="00D86FFE"/>
    <w:rsid w:val="00D9114A"/>
    <w:rsid w:val="00D91CDE"/>
    <w:rsid w:val="00DA4B63"/>
    <w:rsid w:val="00DB1890"/>
    <w:rsid w:val="00DB2526"/>
    <w:rsid w:val="00DB26AD"/>
    <w:rsid w:val="00DB2CED"/>
    <w:rsid w:val="00DB452C"/>
    <w:rsid w:val="00DB590D"/>
    <w:rsid w:val="00DB5D47"/>
    <w:rsid w:val="00DB71FD"/>
    <w:rsid w:val="00DB7B96"/>
    <w:rsid w:val="00DC106E"/>
    <w:rsid w:val="00DC3D63"/>
    <w:rsid w:val="00DC4A5E"/>
    <w:rsid w:val="00DC70A0"/>
    <w:rsid w:val="00DD2006"/>
    <w:rsid w:val="00DD3032"/>
    <w:rsid w:val="00DD4B6D"/>
    <w:rsid w:val="00DD6536"/>
    <w:rsid w:val="00DE0446"/>
    <w:rsid w:val="00DE18F0"/>
    <w:rsid w:val="00DE7DB1"/>
    <w:rsid w:val="00DF2258"/>
    <w:rsid w:val="00DF340F"/>
    <w:rsid w:val="00DF3CBA"/>
    <w:rsid w:val="00DF6C2D"/>
    <w:rsid w:val="00DF764A"/>
    <w:rsid w:val="00E00F48"/>
    <w:rsid w:val="00E0100A"/>
    <w:rsid w:val="00E06AAD"/>
    <w:rsid w:val="00E12589"/>
    <w:rsid w:val="00E13F40"/>
    <w:rsid w:val="00E14C33"/>
    <w:rsid w:val="00E2086A"/>
    <w:rsid w:val="00E234CB"/>
    <w:rsid w:val="00E24597"/>
    <w:rsid w:val="00E25E53"/>
    <w:rsid w:val="00E30E5E"/>
    <w:rsid w:val="00E3388F"/>
    <w:rsid w:val="00E370E3"/>
    <w:rsid w:val="00E41A18"/>
    <w:rsid w:val="00E43430"/>
    <w:rsid w:val="00E435EA"/>
    <w:rsid w:val="00E53D53"/>
    <w:rsid w:val="00E547FD"/>
    <w:rsid w:val="00E6303E"/>
    <w:rsid w:val="00E64750"/>
    <w:rsid w:val="00E7148D"/>
    <w:rsid w:val="00E7353D"/>
    <w:rsid w:val="00E7586B"/>
    <w:rsid w:val="00E75E13"/>
    <w:rsid w:val="00E7778B"/>
    <w:rsid w:val="00E9180F"/>
    <w:rsid w:val="00E9200A"/>
    <w:rsid w:val="00E934F5"/>
    <w:rsid w:val="00E97AF4"/>
    <w:rsid w:val="00EA1EBE"/>
    <w:rsid w:val="00EA3671"/>
    <w:rsid w:val="00EA3CE8"/>
    <w:rsid w:val="00EA41A6"/>
    <w:rsid w:val="00EB73C2"/>
    <w:rsid w:val="00EC2A2D"/>
    <w:rsid w:val="00EC41EF"/>
    <w:rsid w:val="00EC4E4E"/>
    <w:rsid w:val="00EC786E"/>
    <w:rsid w:val="00ED2407"/>
    <w:rsid w:val="00ED4A29"/>
    <w:rsid w:val="00ED4F18"/>
    <w:rsid w:val="00ED5CBE"/>
    <w:rsid w:val="00ED7C3C"/>
    <w:rsid w:val="00EE2333"/>
    <w:rsid w:val="00EE2CB7"/>
    <w:rsid w:val="00EE3947"/>
    <w:rsid w:val="00EE57B8"/>
    <w:rsid w:val="00EE630F"/>
    <w:rsid w:val="00EF6811"/>
    <w:rsid w:val="00F00659"/>
    <w:rsid w:val="00F02E19"/>
    <w:rsid w:val="00F10C08"/>
    <w:rsid w:val="00F10F86"/>
    <w:rsid w:val="00F11D53"/>
    <w:rsid w:val="00F13216"/>
    <w:rsid w:val="00F13F58"/>
    <w:rsid w:val="00F14DC8"/>
    <w:rsid w:val="00F16960"/>
    <w:rsid w:val="00F239E8"/>
    <w:rsid w:val="00F24845"/>
    <w:rsid w:val="00F25EDE"/>
    <w:rsid w:val="00F316A1"/>
    <w:rsid w:val="00F33E26"/>
    <w:rsid w:val="00F410EE"/>
    <w:rsid w:val="00F4312C"/>
    <w:rsid w:val="00F4325E"/>
    <w:rsid w:val="00F43A05"/>
    <w:rsid w:val="00F44DBE"/>
    <w:rsid w:val="00F500BF"/>
    <w:rsid w:val="00F50BE3"/>
    <w:rsid w:val="00F51E81"/>
    <w:rsid w:val="00F56FD7"/>
    <w:rsid w:val="00F6391A"/>
    <w:rsid w:val="00F6464C"/>
    <w:rsid w:val="00F70113"/>
    <w:rsid w:val="00F70210"/>
    <w:rsid w:val="00F73BE5"/>
    <w:rsid w:val="00F742B4"/>
    <w:rsid w:val="00F754EB"/>
    <w:rsid w:val="00F80345"/>
    <w:rsid w:val="00F81431"/>
    <w:rsid w:val="00F84637"/>
    <w:rsid w:val="00F860BB"/>
    <w:rsid w:val="00F8611C"/>
    <w:rsid w:val="00F90731"/>
    <w:rsid w:val="00F91145"/>
    <w:rsid w:val="00F92876"/>
    <w:rsid w:val="00F94E48"/>
    <w:rsid w:val="00F95372"/>
    <w:rsid w:val="00F979D5"/>
    <w:rsid w:val="00FA08C4"/>
    <w:rsid w:val="00FA3987"/>
    <w:rsid w:val="00FA47BA"/>
    <w:rsid w:val="00FA6033"/>
    <w:rsid w:val="00FA746F"/>
    <w:rsid w:val="00FB1A3A"/>
    <w:rsid w:val="00FB3233"/>
    <w:rsid w:val="00FC3B62"/>
    <w:rsid w:val="00FD2225"/>
    <w:rsid w:val="00FE025C"/>
    <w:rsid w:val="00FE08E2"/>
    <w:rsid w:val="00FE0905"/>
    <w:rsid w:val="00FE4EB0"/>
    <w:rsid w:val="00FE51D5"/>
    <w:rsid w:val="00FE66EF"/>
    <w:rsid w:val="00FF344E"/>
    <w:rsid w:val="00FF7654"/>
    <w:rsid w:val="00FF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B20"/>
    <w:rPr>
      <w:rFonts w:ascii="Arial" w:hAnsi="Arial"/>
      <w:sz w:val="22"/>
      <w:szCs w:val="22"/>
      <w:lang w:eastAsia="en-US"/>
    </w:rPr>
  </w:style>
  <w:style w:type="paragraph" w:styleId="Heading2">
    <w:name w:val="heading 2"/>
    <w:aliases w:val="~SubHeading"/>
    <w:basedOn w:val="Normal"/>
    <w:next w:val="Normal"/>
    <w:link w:val="Heading2Char"/>
    <w:uiPriority w:val="9"/>
    <w:qFormat/>
    <w:rsid w:val="003A56E8"/>
    <w:pPr>
      <w:spacing w:before="40" w:after="40"/>
      <w:outlineLvl w:val="1"/>
    </w:pPr>
    <w:rPr>
      <w:rFonts w:eastAsia="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B20"/>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2C5B20"/>
    <w:pPr>
      <w:spacing w:before="120" w:after="120"/>
    </w:pPr>
  </w:style>
  <w:style w:type="paragraph" w:customStyle="1" w:styleId="Spacer">
    <w:name w:val="Spacer"/>
    <w:basedOn w:val="Header"/>
    <w:rsid w:val="002C5B20"/>
    <w:pPr>
      <w:tabs>
        <w:tab w:val="clear" w:pos="4320"/>
        <w:tab w:val="clear" w:pos="8640"/>
        <w:tab w:val="right" w:pos="9497"/>
      </w:tabs>
      <w:ind w:left="567"/>
    </w:pPr>
    <w:rPr>
      <w:sz w:val="12"/>
    </w:rPr>
  </w:style>
  <w:style w:type="paragraph" w:customStyle="1" w:styleId="algFormBold">
    <w:name w:val="alg_FormBold"/>
    <w:basedOn w:val="algForm"/>
    <w:rsid w:val="002C5B20"/>
    <w:pPr>
      <w:ind w:left="-108"/>
    </w:pPr>
    <w:rPr>
      <w:b/>
    </w:rPr>
  </w:style>
  <w:style w:type="paragraph" w:customStyle="1" w:styleId="algHeading1">
    <w:name w:val="alg_Heading1"/>
    <w:basedOn w:val="Normal"/>
    <w:rsid w:val="002C5B20"/>
    <w:pPr>
      <w:spacing w:before="120" w:after="120"/>
      <w:ind w:left="-108"/>
    </w:pPr>
    <w:rPr>
      <w:sz w:val="48"/>
    </w:rPr>
  </w:style>
  <w:style w:type="paragraph" w:customStyle="1" w:styleId="algHeading2">
    <w:name w:val="alg_Heading2"/>
    <w:basedOn w:val="Normal"/>
    <w:autoRedefine/>
    <w:rsid w:val="00306FF8"/>
    <w:pPr>
      <w:spacing w:line="360" w:lineRule="auto"/>
      <w:ind w:left="-108" w:right="-108"/>
      <w:jc w:val="center"/>
    </w:pPr>
    <w:rPr>
      <w:rFonts w:cs="Arial"/>
      <w:b/>
      <w:noProof/>
      <w:sz w:val="32"/>
    </w:rPr>
  </w:style>
  <w:style w:type="paragraph" w:customStyle="1" w:styleId="DefaultParagraphFontParaCharCharChar1Char">
    <w:name w:val="Default Paragraph Font Para Char Char Char1 Char"/>
    <w:basedOn w:val="Normal"/>
    <w:rsid w:val="002C5B20"/>
    <w:pPr>
      <w:keepLines/>
      <w:spacing w:after="160" w:line="240" w:lineRule="exact"/>
      <w:ind w:left="2977"/>
    </w:pPr>
    <w:rPr>
      <w:rFonts w:ascii="Tahoma" w:hAnsi="Tahoma"/>
      <w:sz w:val="20"/>
      <w:szCs w:val="24"/>
      <w:lang w:val="en-US"/>
    </w:rPr>
  </w:style>
  <w:style w:type="paragraph" w:styleId="Header">
    <w:name w:val="header"/>
    <w:basedOn w:val="Normal"/>
    <w:rsid w:val="002C5B20"/>
    <w:pPr>
      <w:tabs>
        <w:tab w:val="center" w:pos="4320"/>
        <w:tab w:val="right" w:pos="8640"/>
      </w:tabs>
    </w:pPr>
  </w:style>
  <w:style w:type="character" w:styleId="FootnoteReference">
    <w:name w:val="footnote reference"/>
    <w:rsid w:val="002C5B20"/>
    <w:rPr>
      <w:vertAlign w:val="superscript"/>
    </w:rPr>
  </w:style>
  <w:style w:type="paragraph" w:styleId="FootnoteText">
    <w:name w:val="footnote text"/>
    <w:aliases w:val="~FootnoteText"/>
    <w:basedOn w:val="Normal"/>
    <w:link w:val="FootnoteTextChar"/>
    <w:rsid w:val="002C5B20"/>
    <w:rPr>
      <w:rFonts w:ascii="ITC Officina Sans Book" w:hAnsi="ITC Officina Sans Book"/>
      <w:sz w:val="20"/>
      <w:szCs w:val="20"/>
      <w:lang w:val="en-US"/>
    </w:rPr>
  </w:style>
  <w:style w:type="paragraph" w:customStyle="1" w:styleId="Clausehead">
    <w:name w:val="Clausehead"/>
    <w:basedOn w:val="Normal"/>
    <w:rsid w:val="002C5B20"/>
    <w:pPr>
      <w:numPr>
        <w:numId w:val="1"/>
      </w:numPr>
    </w:pPr>
    <w:rPr>
      <w:szCs w:val="24"/>
      <w:lang w:val="en-US"/>
    </w:rPr>
  </w:style>
  <w:style w:type="paragraph" w:customStyle="1" w:styleId="Sub1">
    <w:name w:val="Sub (1)"/>
    <w:basedOn w:val="Normal"/>
    <w:rsid w:val="002C5B20"/>
    <w:pPr>
      <w:numPr>
        <w:ilvl w:val="1"/>
        <w:numId w:val="1"/>
      </w:numPr>
    </w:pPr>
    <w:rPr>
      <w:szCs w:val="24"/>
      <w:lang w:val="en-US"/>
    </w:rPr>
  </w:style>
  <w:style w:type="paragraph" w:customStyle="1" w:styleId="Suba">
    <w:name w:val="Sub (a)"/>
    <w:basedOn w:val="Normal"/>
    <w:rsid w:val="002C5B20"/>
    <w:pPr>
      <w:numPr>
        <w:ilvl w:val="2"/>
        <w:numId w:val="1"/>
      </w:numPr>
    </w:pPr>
    <w:rPr>
      <w:szCs w:val="24"/>
      <w:lang w:val="en-US"/>
    </w:rPr>
  </w:style>
  <w:style w:type="paragraph" w:customStyle="1" w:styleId="subi">
    <w:name w:val="sub (i)"/>
    <w:basedOn w:val="Normal"/>
    <w:rsid w:val="002C5B20"/>
    <w:pPr>
      <w:numPr>
        <w:ilvl w:val="3"/>
        <w:numId w:val="1"/>
      </w:numPr>
    </w:pPr>
    <w:rPr>
      <w:szCs w:val="24"/>
      <w:lang w:val="en-US"/>
    </w:rPr>
  </w:style>
  <w:style w:type="paragraph" w:customStyle="1" w:styleId="Default">
    <w:name w:val="Default"/>
    <w:rsid w:val="000D52E1"/>
    <w:pPr>
      <w:autoSpaceDE w:val="0"/>
      <w:autoSpaceDN w:val="0"/>
      <w:adjustRightInd w:val="0"/>
    </w:pPr>
    <w:rPr>
      <w:rFonts w:ascii="Arial" w:hAnsi="Arial" w:cs="Arial"/>
      <w:color w:val="000000"/>
      <w:sz w:val="24"/>
      <w:szCs w:val="24"/>
    </w:rPr>
  </w:style>
  <w:style w:type="paragraph" w:customStyle="1" w:styleId="StylealgDetailsLeft-005cm">
    <w:name w:val="Style alg_Details + Left:  -0.05 cm"/>
    <w:basedOn w:val="algDetails"/>
    <w:rsid w:val="00363377"/>
    <w:pPr>
      <w:ind w:left="-28"/>
    </w:pPr>
  </w:style>
  <w:style w:type="paragraph" w:customStyle="1" w:styleId="algDetails">
    <w:name w:val="alg_Details"/>
    <w:basedOn w:val="Normal"/>
    <w:rsid w:val="00363377"/>
    <w:pPr>
      <w:spacing w:after="40"/>
    </w:pPr>
    <w:rPr>
      <w:sz w:val="20"/>
    </w:rPr>
  </w:style>
  <w:style w:type="paragraph" w:styleId="BodyTextIndent">
    <w:name w:val="Body Text Indent"/>
    <w:basedOn w:val="Normal"/>
    <w:rsid w:val="00D86FFE"/>
    <w:pPr>
      <w:ind w:left="360"/>
    </w:pPr>
    <w:rPr>
      <w:rFonts w:ascii="Officina Sans ITC TT" w:hAnsi="Officina Sans ITC TT"/>
      <w:sz w:val="24"/>
      <w:szCs w:val="20"/>
    </w:rPr>
  </w:style>
  <w:style w:type="paragraph" w:styleId="BalloonText">
    <w:name w:val="Balloon Text"/>
    <w:basedOn w:val="Normal"/>
    <w:semiHidden/>
    <w:rsid w:val="00C877D6"/>
    <w:rPr>
      <w:rFonts w:ascii="Tahoma" w:hAnsi="Tahoma" w:cs="Tahoma"/>
      <w:sz w:val="16"/>
      <w:szCs w:val="16"/>
    </w:rPr>
  </w:style>
  <w:style w:type="character" w:styleId="CommentReference">
    <w:name w:val="annotation reference"/>
    <w:uiPriority w:val="99"/>
    <w:semiHidden/>
    <w:rsid w:val="00B460CF"/>
    <w:rPr>
      <w:sz w:val="16"/>
      <w:szCs w:val="16"/>
    </w:rPr>
  </w:style>
  <w:style w:type="paragraph" w:styleId="CommentText">
    <w:name w:val="annotation text"/>
    <w:basedOn w:val="Normal"/>
    <w:link w:val="CommentTextChar"/>
    <w:uiPriority w:val="99"/>
    <w:semiHidden/>
    <w:rsid w:val="00B460CF"/>
    <w:rPr>
      <w:sz w:val="20"/>
      <w:szCs w:val="20"/>
    </w:rPr>
  </w:style>
  <w:style w:type="paragraph" w:styleId="CommentSubject">
    <w:name w:val="annotation subject"/>
    <w:basedOn w:val="CommentText"/>
    <w:next w:val="CommentText"/>
    <w:semiHidden/>
    <w:rsid w:val="00B460CF"/>
    <w:rPr>
      <w:b/>
      <w:bCs/>
    </w:rPr>
  </w:style>
  <w:style w:type="paragraph" w:styleId="BodyText">
    <w:name w:val="Body Text"/>
    <w:basedOn w:val="Normal"/>
    <w:rsid w:val="00BC172F"/>
    <w:pPr>
      <w:spacing w:after="120"/>
    </w:pPr>
  </w:style>
  <w:style w:type="character" w:styleId="Strong">
    <w:name w:val="Strong"/>
    <w:qFormat/>
    <w:rsid w:val="00DB26AD"/>
    <w:rPr>
      <w:b/>
      <w:bCs/>
    </w:rPr>
  </w:style>
  <w:style w:type="paragraph" w:customStyle="1" w:styleId="1">
    <w:name w:val="1"/>
    <w:basedOn w:val="Normal"/>
    <w:rsid w:val="0046013D"/>
    <w:pPr>
      <w:spacing w:after="160" w:line="240" w:lineRule="exact"/>
    </w:pPr>
    <w:rPr>
      <w:rFonts w:ascii="Verdana" w:hAnsi="Verdana" w:cs="Verdana"/>
      <w:sz w:val="20"/>
      <w:szCs w:val="20"/>
      <w:lang w:val="en-US"/>
    </w:rPr>
  </w:style>
  <w:style w:type="paragraph" w:styleId="ListParagraph">
    <w:name w:val="List Paragraph"/>
    <w:basedOn w:val="Normal"/>
    <w:link w:val="ListParagraphChar"/>
    <w:uiPriority w:val="34"/>
    <w:qFormat/>
    <w:rsid w:val="00D67A26"/>
    <w:pPr>
      <w:spacing w:after="200" w:line="276" w:lineRule="auto"/>
      <w:ind w:left="720"/>
      <w:contextualSpacing/>
    </w:pPr>
    <w:rPr>
      <w:rFonts w:ascii="Calibri" w:eastAsia="Calibri" w:hAnsi="Calibri"/>
    </w:rPr>
  </w:style>
  <w:style w:type="character" w:customStyle="1" w:styleId="FootnoteTextChar">
    <w:name w:val="Footnote Text Char"/>
    <w:aliases w:val="~FootnoteText Char"/>
    <w:link w:val="FootnoteText"/>
    <w:rsid w:val="00D67A26"/>
    <w:rPr>
      <w:rFonts w:ascii="ITC Officina Sans Book" w:hAnsi="ITC Officina Sans Book"/>
      <w:lang w:val="en-US" w:eastAsia="en-US"/>
    </w:rPr>
  </w:style>
  <w:style w:type="paragraph" w:styleId="Footer">
    <w:name w:val="footer"/>
    <w:basedOn w:val="Normal"/>
    <w:link w:val="FooterChar"/>
    <w:uiPriority w:val="99"/>
    <w:rsid w:val="00561015"/>
    <w:pPr>
      <w:tabs>
        <w:tab w:val="center" w:pos="4513"/>
        <w:tab w:val="right" w:pos="9026"/>
      </w:tabs>
    </w:pPr>
  </w:style>
  <w:style w:type="character" w:customStyle="1" w:styleId="FooterChar">
    <w:name w:val="Footer Char"/>
    <w:link w:val="Footer"/>
    <w:uiPriority w:val="99"/>
    <w:rsid w:val="00561015"/>
    <w:rPr>
      <w:rFonts w:ascii="Arial" w:hAnsi="Arial"/>
      <w:sz w:val="22"/>
      <w:szCs w:val="22"/>
      <w:lang w:eastAsia="en-US"/>
    </w:rPr>
  </w:style>
  <w:style w:type="paragraph" w:styleId="Revision">
    <w:name w:val="Revision"/>
    <w:hidden/>
    <w:uiPriority w:val="99"/>
    <w:semiHidden/>
    <w:rsid w:val="00F6391A"/>
    <w:rPr>
      <w:rFonts w:ascii="Arial" w:hAnsi="Arial"/>
      <w:sz w:val="22"/>
      <w:szCs w:val="22"/>
      <w:lang w:eastAsia="en-US"/>
    </w:rPr>
  </w:style>
  <w:style w:type="character" w:styleId="Hyperlink">
    <w:name w:val="Hyperlink"/>
    <w:rsid w:val="00CC2FB9"/>
    <w:rPr>
      <w:color w:val="0000FF"/>
      <w:u w:val="single"/>
    </w:rPr>
  </w:style>
  <w:style w:type="paragraph" w:customStyle="1" w:styleId="default0">
    <w:name w:val="default"/>
    <w:basedOn w:val="Normal"/>
    <w:rsid w:val="00024F02"/>
    <w:pPr>
      <w:autoSpaceDE w:val="0"/>
      <w:autoSpaceDN w:val="0"/>
    </w:pPr>
    <w:rPr>
      <w:rFonts w:eastAsia="Calibri" w:cs="Arial"/>
      <w:color w:val="000000"/>
      <w:sz w:val="24"/>
      <w:szCs w:val="24"/>
      <w:lang w:eastAsia="en-GB"/>
    </w:rPr>
  </w:style>
  <w:style w:type="character" w:customStyle="1" w:styleId="Heading2Char">
    <w:name w:val="Heading 2 Char"/>
    <w:aliases w:val="~SubHeading Char"/>
    <w:link w:val="Heading2"/>
    <w:uiPriority w:val="9"/>
    <w:rsid w:val="003A56E8"/>
    <w:rPr>
      <w:rFonts w:ascii="Arial" w:eastAsia="Arial" w:hAnsi="Arial" w:cs="Arial"/>
      <w:b/>
      <w:color w:val="000000"/>
      <w:sz w:val="22"/>
      <w:szCs w:val="22"/>
      <w:lang w:eastAsia="en-US"/>
    </w:rPr>
  </w:style>
  <w:style w:type="character" w:customStyle="1" w:styleId="CommentTextChar">
    <w:name w:val="Comment Text Char"/>
    <w:basedOn w:val="DefaultParagraphFont"/>
    <w:link w:val="CommentText"/>
    <w:uiPriority w:val="99"/>
    <w:semiHidden/>
    <w:rsid w:val="00337A61"/>
    <w:rPr>
      <w:rFonts w:ascii="Arial" w:hAnsi="Arial"/>
      <w:lang w:eastAsia="en-US"/>
    </w:rPr>
  </w:style>
  <w:style w:type="character" w:customStyle="1" w:styleId="ListParagraphChar">
    <w:name w:val="List Paragraph Char"/>
    <w:basedOn w:val="DefaultParagraphFont"/>
    <w:link w:val="ListParagraph"/>
    <w:uiPriority w:val="34"/>
    <w:locked/>
    <w:rsid w:val="00104F3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B20"/>
    <w:rPr>
      <w:rFonts w:ascii="Arial" w:hAnsi="Arial"/>
      <w:sz w:val="22"/>
      <w:szCs w:val="22"/>
      <w:lang w:eastAsia="en-US"/>
    </w:rPr>
  </w:style>
  <w:style w:type="paragraph" w:styleId="Heading2">
    <w:name w:val="heading 2"/>
    <w:aliases w:val="~SubHeading"/>
    <w:basedOn w:val="Normal"/>
    <w:next w:val="Normal"/>
    <w:link w:val="Heading2Char"/>
    <w:uiPriority w:val="9"/>
    <w:qFormat/>
    <w:rsid w:val="003A56E8"/>
    <w:pPr>
      <w:spacing w:before="40" w:after="40"/>
      <w:outlineLvl w:val="1"/>
    </w:pPr>
    <w:rPr>
      <w:rFonts w:eastAsia="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B20"/>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2C5B20"/>
    <w:pPr>
      <w:spacing w:before="120" w:after="120"/>
    </w:pPr>
  </w:style>
  <w:style w:type="paragraph" w:customStyle="1" w:styleId="Spacer">
    <w:name w:val="Spacer"/>
    <w:basedOn w:val="Header"/>
    <w:rsid w:val="002C5B20"/>
    <w:pPr>
      <w:tabs>
        <w:tab w:val="clear" w:pos="4320"/>
        <w:tab w:val="clear" w:pos="8640"/>
        <w:tab w:val="right" w:pos="9497"/>
      </w:tabs>
      <w:ind w:left="567"/>
    </w:pPr>
    <w:rPr>
      <w:sz w:val="12"/>
    </w:rPr>
  </w:style>
  <w:style w:type="paragraph" w:customStyle="1" w:styleId="algFormBold">
    <w:name w:val="alg_FormBold"/>
    <w:basedOn w:val="algForm"/>
    <w:rsid w:val="002C5B20"/>
    <w:pPr>
      <w:ind w:left="-108"/>
    </w:pPr>
    <w:rPr>
      <w:b/>
    </w:rPr>
  </w:style>
  <w:style w:type="paragraph" w:customStyle="1" w:styleId="algHeading1">
    <w:name w:val="alg_Heading1"/>
    <w:basedOn w:val="Normal"/>
    <w:rsid w:val="002C5B20"/>
    <w:pPr>
      <w:spacing w:before="120" w:after="120"/>
      <w:ind w:left="-108"/>
    </w:pPr>
    <w:rPr>
      <w:sz w:val="48"/>
    </w:rPr>
  </w:style>
  <w:style w:type="paragraph" w:customStyle="1" w:styleId="algHeading2">
    <w:name w:val="alg_Heading2"/>
    <w:basedOn w:val="Normal"/>
    <w:autoRedefine/>
    <w:rsid w:val="00306FF8"/>
    <w:pPr>
      <w:spacing w:line="360" w:lineRule="auto"/>
      <w:ind w:left="-108" w:right="-108"/>
      <w:jc w:val="center"/>
    </w:pPr>
    <w:rPr>
      <w:rFonts w:cs="Arial"/>
      <w:b/>
      <w:noProof/>
      <w:sz w:val="32"/>
    </w:rPr>
  </w:style>
  <w:style w:type="paragraph" w:customStyle="1" w:styleId="DefaultParagraphFontParaCharCharChar1Char">
    <w:name w:val="Default Paragraph Font Para Char Char Char1 Char"/>
    <w:basedOn w:val="Normal"/>
    <w:rsid w:val="002C5B20"/>
    <w:pPr>
      <w:keepLines/>
      <w:spacing w:after="160" w:line="240" w:lineRule="exact"/>
      <w:ind w:left="2977"/>
    </w:pPr>
    <w:rPr>
      <w:rFonts w:ascii="Tahoma" w:hAnsi="Tahoma"/>
      <w:sz w:val="20"/>
      <w:szCs w:val="24"/>
      <w:lang w:val="en-US"/>
    </w:rPr>
  </w:style>
  <w:style w:type="paragraph" w:styleId="Header">
    <w:name w:val="header"/>
    <w:basedOn w:val="Normal"/>
    <w:rsid w:val="002C5B20"/>
    <w:pPr>
      <w:tabs>
        <w:tab w:val="center" w:pos="4320"/>
        <w:tab w:val="right" w:pos="8640"/>
      </w:tabs>
    </w:pPr>
  </w:style>
  <w:style w:type="character" w:styleId="FootnoteReference">
    <w:name w:val="footnote reference"/>
    <w:rsid w:val="002C5B20"/>
    <w:rPr>
      <w:vertAlign w:val="superscript"/>
    </w:rPr>
  </w:style>
  <w:style w:type="paragraph" w:styleId="FootnoteText">
    <w:name w:val="footnote text"/>
    <w:aliases w:val="~FootnoteText"/>
    <w:basedOn w:val="Normal"/>
    <w:link w:val="FootnoteTextChar"/>
    <w:rsid w:val="002C5B20"/>
    <w:rPr>
      <w:rFonts w:ascii="ITC Officina Sans Book" w:hAnsi="ITC Officina Sans Book"/>
      <w:sz w:val="20"/>
      <w:szCs w:val="20"/>
      <w:lang w:val="en-US"/>
    </w:rPr>
  </w:style>
  <w:style w:type="paragraph" w:customStyle="1" w:styleId="Clausehead">
    <w:name w:val="Clausehead"/>
    <w:basedOn w:val="Normal"/>
    <w:rsid w:val="002C5B20"/>
    <w:pPr>
      <w:numPr>
        <w:numId w:val="1"/>
      </w:numPr>
    </w:pPr>
    <w:rPr>
      <w:szCs w:val="24"/>
      <w:lang w:val="en-US"/>
    </w:rPr>
  </w:style>
  <w:style w:type="paragraph" w:customStyle="1" w:styleId="Sub1">
    <w:name w:val="Sub (1)"/>
    <w:basedOn w:val="Normal"/>
    <w:rsid w:val="002C5B20"/>
    <w:pPr>
      <w:numPr>
        <w:ilvl w:val="1"/>
        <w:numId w:val="1"/>
      </w:numPr>
    </w:pPr>
    <w:rPr>
      <w:szCs w:val="24"/>
      <w:lang w:val="en-US"/>
    </w:rPr>
  </w:style>
  <w:style w:type="paragraph" w:customStyle="1" w:styleId="Suba">
    <w:name w:val="Sub (a)"/>
    <w:basedOn w:val="Normal"/>
    <w:rsid w:val="002C5B20"/>
    <w:pPr>
      <w:numPr>
        <w:ilvl w:val="2"/>
        <w:numId w:val="1"/>
      </w:numPr>
    </w:pPr>
    <w:rPr>
      <w:szCs w:val="24"/>
      <w:lang w:val="en-US"/>
    </w:rPr>
  </w:style>
  <w:style w:type="paragraph" w:customStyle="1" w:styleId="subi">
    <w:name w:val="sub (i)"/>
    <w:basedOn w:val="Normal"/>
    <w:rsid w:val="002C5B20"/>
    <w:pPr>
      <w:numPr>
        <w:ilvl w:val="3"/>
        <w:numId w:val="1"/>
      </w:numPr>
    </w:pPr>
    <w:rPr>
      <w:szCs w:val="24"/>
      <w:lang w:val="en-US"/>
    </w:rPr>
  </w:style>
  <w:style w:type="paragraph" w:customStyle="1" w:styleId="Default">
    <w:name w:val="Default"/>
    <w:rsid w:val="000D52E1"/>
    <w:pPr>
      <w:autoSpaceDE w:val="0"/>
      <w:autoSpaceDN w:val="0"/>
      <w:adjustRightInd w:val="0"/>
    </w:pPr>
    <w:rPr>
      <w:rFonts w:ascii="Arial" w:hAnsi="Arial" w:cs="Arial"/>
      <w:color w:val="000000"/>
      <w:sz w:val="24"/>
      <w:szCs w:val="24"/>
    </w:rPr>
  </w:style>
  <w:style w:type="paragraph" w:customStyle="1" w:styleId="StylealgDetailsLeft-005cm">
    <w:name w:val="Style alg_Details + Left:  -0.05 cm"/>
    <w:basedOn w:val="algDetails"/>
    <w:rsid w:val="00363377"/>
    <w:pPr>
      <w:ind w:left="-28"/>
    </w:pPr>
  </w:style>
  <w:style w:type="paragraph" w:customStyle="1" w:styleId="algDetails">
    <w:name w:val="alg_Details"/>
    <w:basedOn w:val="Normal"/>
    <w:rsid w:val="00363377"/>
    <w:pPr>
      <w:spacing w:after="40"/>
    </w:pPr>
    <w:rPr>
      <w:sz w:val="20"/>
    </w:rPr>
  </w:style>
  <w:style w:type="paragraph" w:styleId="BodyTextIndent">
    <w:name w:val="Body Text Indent"/>
    <w:basedOn w:val="Normal"/>
    <w:rsid w:val="00D86FFE"/>
    <w:pPr>
      <w:ind w:left="360"/>
    </w:pPr>
    <w:rPr>
      <w:rFonts w:ascii="Officina Sans ITC TT" w:hAnsi="Officina Sans ITC TT"/>
      <w:sz w:val="24"/>
      <w:szCs w:val="20"/>
    </w:rPr>
  </w:style>
  <w:style w:type="paragraph" w:styleId="BalloonText">
    <w:name w:val="Balloon Text"/>
    <w:basedOn w:val="Normal"/>
    <w:semiHidden/>
    <w:rsid w:val="00C877D6"/>
    <w:rPr>
      <w:rFonts w:ascii="Tahoma" w:hAnsi="Tahoma" w:cs="Tahoma"/>
      <w:sz w:val="16"/>
      <w:szCs w:val="16"/>
    </w:rPr>
  </w:style>
  <w:style w:type="character" w:styleId="CommentReference">
    <w:name w:val="annotation reference"/>
    <w:uiPriority w:val="99"/>
    <w:semiHidden/>
    <w:rsid w:val="00B460CF"/>
    <w:rPr>
      <w:sz w:val="16"/>
      <w:szCs w:val="16"/>
    </w:rPr>
  </w:style>
  <w:style w:type="paragraph" w:styleId="CommentText">
    <w:name w:val="annotation text"/>
    <w:basedOn w:val="Normal"/>
    <w:link w:val="CommentTextChar"/>
    <w:uiPriority w:val="99"/>
    <w:semiHidden/>
    <w:rsid w:val="00B460CF"/>
    <w:rPr>
      <w:sz w:val="20"/>
      <w:szCs w:val="20"/>
    </w:rPr>
  </w:style>
  <w:style w:type="paragraph" w:styleId="CommentSubject">
    <w:name w:val="annotation subject"/>
    <w:basedOn w:val="CommentText"/>
    <w:next w:val="CommentText"/>
    <w:semiHidden/>
    <w:rsid w:val="00B460CF"/>
    <w:rPr>
      <w:b/>
      <w:bCs/>
    </w:rPr>
  </w:style>
  <w:style w:type="paragraph" w:styleId="BodyText">
    <w:name w:val="Body Text"/>
    <w:basedOn w:val="Normal"/>
    <w:rsid w:val="00BC172F"/>
    <w:pPr>
      <w:spacing w:after="120"/>
    </w:pPr>
  </w:style>
  <w:style w:type="character" w:styleId="Strong">
    <w:name w:val="Strong"/>
    <w:qFormat/>
    <w:rsid w:val="00DB26AD"/>
    <w:rPr>
      <w:b/>
      <w:bCs/>
    </w:rPr>
  </w:style>
  <w:style w:type="paragraph" w:customStyle="1" w:styleId="1">
    <w:name w:val="1"/>
    <w:basedOn w:val="Normal"/>
    <w:rsid w:val="0046013D"/>
    <w:pPr>
      <w:spacing w:after="160" w:line="240" w:lineRule="exact"/>
    </w:pPr>
    <w:rPr>
      <w:rFonts w:ascii="Verdana" w:hAnsi="Verdana" w:cs="Verdana"/>
      <w:sz w:val="20"/>
      <w:szCs w:val="20"/>
      <w:lang w:val="en-US"/>
    </w:rPr>
  </w:style>
  <w:style w:type="paragraph" w:styleId="ListParagraph">
    <w:name w:val="List Paragraph"/>
    <w:basedOn w:val="Normal"/>
    <w:link w:val="ListParagraphChar"/>
    <w:uiPriority w:val="34"/>
    <w:qFormat/>
    <w:rsid w:val="00D67A26"/>
    <w:pPr>
      <w:spacing w:after="200" w:line="276" w:lineRule="auto"/>
      <w:ind w:left="720"/>
      <w:contextualSpacing/>
    </w:pPr>
    <w:rPr>
      <w:rFonts w:ascii="Calibri" w:eastAsia="Calibri" w:hAnsi="Calibri"/>
    </w:rPr>
  </w:style>
  <w:style w:type="character" w:customStyle="1" w:styleId="FootnoteTextChar">
    <w:name w:val="Footnote Text Char"/>
    <w:aliases w:val="~FootnoteText Char"/>
    <w:link w:val="FootnoteText"/>
    <w:rsid w:val="00D67A26"/>
    <w:rPr>
      <w:rFonts w:ascii="ITC Officina Sans Book" w:hAnsi="ITC Officina Sans Book"/>
      <w:lang w:val="en-US" w:eastAsia="en-US"/>
    </w:rPr>
  </w:style>
  <w:style w:type="paragraph" w:styleId="Footer">
    <w:name w:val="footer"/>
    <w:basedOn w:val="Normal"/>
    <w:link w:val="FooterChar"/>
    <w:uiPriority w:val="99"/>
    <w:rsid w:val="00561015"/>
    <w:pPr>
      <w:tabs>
        <w:tab w:val="center" w:pos="4513"/>
        <w:tab w:val="right" w:pos="9026"/>
      </w:tabs>
    </w:pPr>
  </w:style>
  <w:style w:type="character" w:customStyle="1" w:styleId="FooterChar">
    <w:name w:val="Footer Char"/>
    <w:link w:val="Footer"/>
    <w:uiPriority w:val="99"/>
    <w:rsid w:val="00561015"/>
    <w:rPr>
      <w:rFonts w:ascii="Arial" w:hAnsi="Arial"/>
      <w:sz w:val="22"/>
      <w:szCs w:val="22"/>
      <w:lang w:eastAsia="en-US"/>
    </w:rPr>
  </w:style>
  <w:style w:type="paragraph" w:styleId="Revision">
    <w:name w:val="Revision"/>
    <w:hidden/>
    <w:uiPriority w:val="99"/>
    <w:semiHidden/>
    <w:rsid w:val="00F6391A"/>
    <w:rPr>
      <w:rFonts w:ascii="Arial" w:hAnsi="Arial"/>
      <w:sz w:val="22"/>
      <w:szCs w:val="22"/>
      <w:lang w:eastAsia="en-US"/>
    </w:rPr>
  </w:style>
  <w:style w:type="character" w:styleId="Hyperlink">
    <w:name w:val="Hyperlink"/>
    <w:rsid w:val="00CC2FB9"/>
    <w:rPr>
      <w:color w:val="0000FF"/>
      <w:u w:val="single"/>
    </w:rPr>
  </w:style>
  <w:style w:type="paragraph" w:customStyle="1" w:styleId="default0">
    <w:name w:val="default"/>
    <w:basedOn w:val="Normal"/>
    <w:rsid w:val="00024F02"/>
    <w:pPr>
      <w:autoSpaceDE w:val="0"/>
      <w:autoSpaceDN w:val="0"/>
    </w:pPr>
    <w:rPr>
      <w:rFonts w:eastAsia="Calibri" w:cs="Arial"/>
      <w:color w:val="000000"/>
      <w:sz w:val="24"/>
      <w:szCs w:val="24"/>
      <w:lang w:eastAsia="en-GB"/>
    </w:rPr>
  </w:style>
  <w:style w:type="character" w:customStyle="1" w:styleId="Heading2Char">
    <w:name w:val="Heading 2 Char"/>
    <w:aliases w:val="~SubHeading Char"/>
    <w:link w:val="Heading2"/>
    <w:uiPriority w:val="9"/>
    <w:rsid w:val="003A56E8"/>
    <w:rPr>
      <w:rFonts w:ascii="Arial" w:eastAsia="Arial" w:hAnsi="Arial" w:cs="Arial"/>
      <w:b/>
      <w:color w:val="000000"/>
      <w:sz w:val="22"/>
      <w:szCs w:val="22"/>
      <w:lang w:eastAsia="en-US"/>
    </w:rPr>
  </w:style>
  <w:style w:type="character" w:customStyle="1" w:styleId="CommentTextChar">
    <w:name w:val="Comment Text Char"/>
    <w:basedOn w:val="DefaultParagraphFont"/>
    <w:link w:val="CommentText"/>
    <w:uiPriority w:val="99"/>
    <w:semiHidden/>
    <w:rsid w:val="00337A61"/>
    <w:rPr>
      <w:rFonts w:ascii="Arial" w:hAnsi="Arial"/>
      <w:lang w:eastAsia="en-US"/>
    </w:rPr>
  </w:style>
  <w:style w:type="character" w:customStyle="1" w:styleId="ListParagraphChar">
    <w:name w:val="List Paragraph Char"/>
    <w:basedOn w:val="DefaultParagraphFont"/>
    <w:link w:val="ListParagraph"/>
    <w:uiPriority w:val="34"/>
    <w:locked/>
    <w:rsid w:val="00104F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48">
      <w:bodyDiv w:val="1"/>
      <w:marLeft w:val="0"/>
      <w:marRight w:val="0"/>
      <w:marTop w:val="0"/>
      <w:marBottom w:val="0"/>
      <w:divBdr>
        <w:top w:val="none" w:sz="0" w:space="0" w:color="auto"/>
        <w:left w:val="none" w:sz="0" w:space="0" w:color="auto"/>
        <w:bottom w:val="none" w:sz="0" w:space="0" w:color="auto"/>
        <w:right w:val="none" w:sz="0" w:space="0" w:color="auto"/>
      </w:divBdr>
    </w:div>
    <w:div w:id="869494822">
      <w:bodyDiv w:val="1"/>
      <w:marLeft w:val="0"/>
      <w:marRight w:val="0"/>
      <w:marTop w:val="0"/>
      <w:marBottom w:val="0"/>
      <w:divBdr>
        <w:top w:val="none" w:sz="0" w:space="0" w:color="auto"/>
        <w:left w:val="none" w:sz="0" w:space="0" w:color="auto"/>
        <w:bottom w:val="none" w:sz="0" w:space="0" w:color="auto"/>
        <w:right w:val="none" w:sz="0" w:space="0" w:color="auto"/>
      </w:divBdr>
    </w:div>
    <w:div w:id="1088886485">
      <w:bodyDiv w:val="1"/>
      <w:marLeft w:val="0"/>
      <w:marRight w:val="0"/>
      <w:marTop w:val="0"/>
      <w:marBottom w:val="0"/>
      <w:divBdr>
        <w:top w:val="none" w:sz="0" w:space="0" w:color="auto"/>
        <w:left w:val="none" w:sz="0" w:space="0" w:color="auto"/>
        <w:bottom w:val="none" w:sz="0" w:space="0" w:color="auto"/>
        <w:right w:val="none" w:sz="0" w:space="0" w:color="auto"/>
      </w:divBdr>
    </w:div>
    <w:div w:id="1901088739">
      <w:bodyDiv w:val="1"/>
      <w:marLeft w:val="0"/>
      <w:marRight w:val="0"/>
      <w:marTop w:val="0"/>
      <w:marBottom w:val="0"/>
      <w:divBdr>
        <w:top w:val="none" w:sz="0" w:space="0" w:color="auto"/>
        <w:left w:val="none" w:sz="0" w:space="0" w:color="auto"/>
        <w:bottom w:val="none" w:sz="0" w:space="0" w:color="auto"/>
        <w:right w:val="none" w:sz="0" w:space="0" w:color="auto"/>
      </w:divBdr>
    </w:div>
    <w:div w:id="2042122938">
      <w:bodyDiv w:val="1"/>
      <w:marLeft w:val="0"/>
      <w:marRight w:val="0"/>
      <w:marTop w:val="0"/>
      <w:marBottom w:val="0"/>
      <w:divBdr>
        <w:top w:val="none" w:sz="0" w:space="0" w:color="auto"/>
        <w:left w:val="none" w:sz="0" w:space="0" w:color="auto"/>
        <w:bottom w:val="none" w:sz="0" w:space="0" w:color="auto"/>
        <w:right w:val="none" w:sz="0" w:space="0" w:color="auto"/>
      </w:divBdr>
    </w:div>
    <w:div w:id="20575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paul.honeyben@londoncouncil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ondoncouncils.gov.uk/download/file/fid/16387" TargetMode="External"/><Relationship Id="rId1" Type="http://schemas.openxmlformats.org/officeDocument/2006/relationships/hyperlink" Target="https://www.gov.uk/government/news/chancellor-unveils-devolution-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BF07-27FC-4201-A395-9B5396DB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2147</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Executive</vt:lpstr>
    </vt:vector>
  </TitlesOfParts>
  <Company>London Councils</Company>
  <LinksUpToDate>false</LinksUpToDate>
  <CharactersWithSpaces>13327</CharactersWithSpaces>
  <SharedDoc>false</SharedDoc>
  <HLinks>
    <vt:vector size="6" baseType="variant">
      <vt:variant>
        <vt:i4>5439561</vt:i4>
      </vt:variant>
      <vt:variant>
        <vt:i4>0</vt:i4>
      </vt:variant>
      <vt:variant>
        <vt:i4>0</vt:i4>
      </vt:variant>
      <vt:variant>
        <vt:i4>5</vt:i4>
      </vt:variant>
      <vt:variant>
        <vt:lpwstr>http://www.londoncouncils.gov.uk/committees/agenda.htm?pk_agenda_items=5916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dc:title>
  <dc:creator>Administrator</dc:creator>
  <cp:lastModifiedBy>Ana Gradiska</cp:lastModifiedBy>
  <cp:revision>3</cp:revision>
  <cp:lastPrinted>2015-10-08T12:37:00Z</cp:lastPrinted>
  <dcterms:created xsi:type="dcterms:W3CDTF">2015-10-09T13:12:00Z</dcterms:created>
  <dcterms:modified xsi:type="dcterms:W3CDTF">2015-10-09T13:12:00Z</dcterms:modified>
</cp:coreProperties>
</file>