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7B0CCE" w:rsidRDefault="000F11AE" w:rsidP="007B0CCE">
            <w:pPr>
              <w:pStyle w:val="algHeading2"/>
              <w:tabs>
                <w:tab w:val="clear" w:pos="-108"/>
                <w:tab w:val="clear" w:pos="709"/>
              </w:tabs>
              <w:spacing w:after="0"/>
              <w:rPr>
                <w:sz w:val="40"/>
                <w:szCs w:val="40"/>
                <w:u w:val="none"/>
              </w:rPr>
            </w:pPr>
            <w:r w:rsidRPr="007B0CCE">
              <w:rPr>
                <w:sz w:val="40"/>
                <w:szCs w:val="40"/>
                <w:u w:val="none"/>
              </w:rPr>
              <w:t>Chair’s Report</w:t>
            </w:r>
          </w:p>
        </w:tc>
        <w:tc>
          <w:tcPr>
            <w:tcW w:w="2347" w:type="dxa"/>
            <w:tcBorders>
              <w:top w:val="nil"/>
              <w:bottom w:val="nil"/>
            </w:tcBorders>
          </w:tcPr>
          <w:p w:rsidR="000F11AE" w:rsidRPr="007B0CCE" w:rsidRDefault="000F11AE" w:rsidP="007B0CCE">
            <w:pPr>
              <w:pStyle w:val="algHeading2"/>
              <w:tabs>
                <w:tab w:val="clear" w:pos="-108"/>
                <w:tab w:val="clear" w:pos="709"/>
              </w:tabs>
              <w:spacing w:after="0"/>
              <w:rPr>
                <w:sz w:val="40"/>
                <w:szCs w:val="40"/>
                <w:u w:val="none"/>
              </w:rPr>
            </w:pPr>
            <w:r w:rsidRPr="007B0CCE">
              <w:rPr>
                <w:sz w:val="40"/>
                <w:szCs w:val="40"/>
                <w:u w:val="none"/>
              </w:rPr>
              <w:t>Item no:</w:t>
            </w:r>
          </w:p>
        </w:tc>
        <w:tc>
          <w:tcPr>
            <w:tcW w:w="851" w:type="dxa"/>
            <w:tcBorders>
              <w:top w:val="nil"/>
              <w:bottom w:val="nil"/>
            </w:tcBorders>
          </w:tcPr>
          <w:p w:rsidR="00CB2B3F" w:rsidRPr="007B0CCE" w:rsidRDefault="0078486A" w:rsidP="007B0CCE">
            <w:pPr>
              <w:pStyle w:val="algHeading2"/>
              <w:tabs>
                <w:tab w:val="clear" w:pos="-108"/>
                <w:tab w:val="clear" w:pos="709"/>
              </w:tabs>
              <w:spacing w:after="0"/>
              <w:rPr>
                <w:sz w:val="40"/>
                <w:szCs w:val="40"/>
                <w:u w:val="none"/>
              </w:rPr>
            </w:pPr>
            <w:r>
              <w:rPr>
                <w:sz w:val="40"/>
                <w:szCs w:val="40"/>
                <w:u w:val="none"/>
              </w:rPr>
              <w:t>05</w:t>
            </w:r>
            <w:bookmarkStart w:id="0" w:name="_GoBack"/>
            <w:bookmarkEnd w:id="0"/>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124CD4" w:rsidP="007871DC">
            <w:pPr>
              <w:pStyle w:val="algForm"/>
              <w:rPr>
                <w:noProof/>
              </w:rPr>
            </w:pPr>
            <w:r>
              <w:rPr>
                <w:noProof/>
              </w:rPr>
              <w:t>Katharina Winbeck</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0F11AE" w:rsidP="00F037E8">
            <w:pPr>
              <w:pStyle w:val="algForm"/>
            </w:pPr>
            <w:r>
              <w:t xml:space="preserve">Head of </w:t>
            </w:r>
            <w:r w:rsidR="007871DC">
              <w:t xml:space="preserve">Transport </w:t>
            </w:r>
            <w:r w:rsidR="00F037E8">
              <w:t>and</w:t>
            </w:r>
            <w:r w:rsidR="007871DC">
              <w:t xml:space="preserve"> Environment</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AB15EB" w:rsidP="00AB15EB">
            <w:pPr>
              <w:pStyle w:val="algForm"/>
            </w:pPr>
            <w:r>
              <w:rPr>
                <w:rFonts w:cs="Arial"/>
              </w:rPr>
              <w:t>11</w:t>
            </w:r>
            <w:r w:rsidR="00154F4C">
              <w:rPr>
                <w:rFonts w:cs="Arial"/>
              </w:rPr>
              <w:t xml:space="preserve"> </w:t>
            </w:r>
            <w:r>
              <w:rPr>
                <w:rFonts w:cs="Arial"/>
              </w:rPr>
              <w:t>December</w:t>
            </w:r>
            <w:r w:rsidR="00154F4C">
              <w:rPr>
                <w:rFonts w:cs="Arial"/>
              </w:rPr>
              <w:t xml:space="preserve"> 2014</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124CD4" w:rsidP="007871DC">
            <w:pPr>
              <w:pStyle w:val="algForm"/>
              <w:rPr>
                <w:noProof/>
              </w:rPr>
            </w:pPr>
            <w:r>
              <w:rPr>
                <w:noProof/>
              </w:rPr>
              <w:t>Katharina Winbeck</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7871DC">
            <w:pPr>
              <w:pStyle w:val="algForm"/>
              <w:rPr>
                <w:noProof/>
              </w:rPr>
            </w:pPr>
            <w:r>
              <w:rPr>
                <w:noProof/>
              </w:rPr>
              <w:t>020 793</w:t>
            </w:r>
            <w:r w:rsidR="001A0256">
              <w:rPr>
                <w:noProof/>
              </w:rPr>
              <w:t xml:space="preserve">4 </w:t>
            </w:r>
            <w:r w:rsidR="00A450E3">
              <w:rPr>
                <w:noProof/>
              </w:rPr>
              <w:t>9</w:t>
            </w:r>
            <w:r w:rsidR="007871DC">
              <w:rPr>
                <w:noProof/>
              </w:rPr>
              <w:t>945</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124CD4" w:rsidP="00F037E8">
            <w:pPr>
              <w:pStyle w:val="algForm"/>
              <w:rPr>
                <w:noProof/>
              </w:rPr>
            </w:pPr>
            <w:r>
              <w:rPr>
                <w:noProof/>
              </w:rPr>
              <w:t>Katharina.winbeck</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57319C4B" wp14:editId="2545DAC4">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Default="000F11AE" w:rsidP="007B0CCE">
      <w:pPr>
        <w:pStyle w:val="algHeading2"/>
        <w:tabs>
          <w:tab w:val="clear" w:pos="-108"/>
          <w:tab w:val="clear" w:pos="709"/>
        </w:tabs>
        <w:spacing w:after="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7F04F3" w:rsidTr="007F04F3">
        <w:trPr>
          <w:trHeight w:val="686"/>
        </w:trPr>
        <w:tc>
          <w:tcPr>
            <w:tcW w:w="2324" w:type="dxa"/>
            <w:tcBorders>
              <w:top w:val="nil"/>
              <w:left w:val="nil"/>
              <w:bottom w:val="nil"/>
              <w:right w:val="nil"/>
            </w:tcBorders>
            <w:shd w:val="clear" w:color="auto" w:fill="auto"/>
          </w:tcPr>
          <w:p w:rsidR="007252A2" w:rsidRPr="007F04F3" w:rsidRDefault="007252A2" w:rsidP="007F04F3">
            <w:pPr>
              <w:spacing w:before="120"/>
              <w:rPr>
                <w:b/>
                <w:bCs/>
              </w:rPr>
            </w:pPr>
            <w:r w:rsidRPr="007F04F3">
              <w:rPr>
                <w:b/>
                <w:bCs/>
              </w:rPr>
              <w:t>Summary</w:t>
            </w:r>
          </w:p>
        </w:tc>
        <w:tc>
          <w:tcPr>
            <w:tcW w:w="7281" w:type="dxa"/>
            <w:tcBorders>
              <w:top w:val="nil"/>
              <w:left w:val="nil"/>
              <w:bottom w:val="nil"/>
              <w:right w:val="nil"/>
            </w:tcBorders>
            <w:shd w:val="clear" w:color="auto" w:fill="auto"/>
          </w:tcPr>
          <w:p w:rsidR="007252A2" w:rsidRPr="001A0256" w:rsidRDefault="00F037E8" w:rsidP="005C3B17">
            <w:pPr>
              <w:widowControl w:val="0"/>
              <w:autoSpaceDE w:val="0"/>
              <w:autoSpaceDN w:val="0"/>
              <w:adjustRightInd w:val="0"/>
              <w:spacing w:before="120" w:after="120"/>
            </w:pPr>
            <w:r>
              <w:rPr>
                <w:rFonts w:cs="Arial"/>
              </w:rPr>
              <w:t>This report updates M</w:t>
            </w:r>
            <w:r w:rsidR="007252A2" w:rsidRPr="007F04F3">
              <w:rPr>
                <w:rFonts w:cs="Arial"/>
              </w:rPr>
              <w:t xml:space="preserve">embers on </w:t>
            </w:r>
            <w:r>
              <w:rPr>
                <w:rFonts w:cs="Arial"/>
              </w:rPr>
              <w:t>transport and environment policy</w:t>
            </w:r>
            <w:r w:rsidR="007252A2" w:rsidRPr="007F04F3">
              <w:rPr>
                <w:rFonts w:cs="Arial"/>
              </w:rPr>
              <w:t xml:space="preserve"> since the </w:t>
            </w:r>
            <w:r w:rsidR="009C7A85">
              <w:rPr>
                <w:rFonts w:cs="Arial"/>
              </w:rPr>
              <w:t xml:space="preserve">last TEC meeting on </w:t>
            </w:r>
            <w:r w:rsidR="005C3B17">
              <w:rPr>
                <w:rFonts w:cs="Arial"/>
              </w:rPr>
              <w:t>16</w:t>
            </w:r>
            <w:r w:rsidR="00154F4C">
              <w:rPr>
                <w:rFonts w:cs="Arial"/>
              </w:rPr>
              <w:t xml:space="preserve"> </w:t>
            </w:r>
            <w:r w:rsidR="005C3B17">
              <w:rPr>
                <w:rFonts w:cs="Arial"/>
              </w:rPr>
              <w:t>October</w:t>
            </w:r>
            <w:r w:rsidR="00154F4C">
              <w:rPr>
                <w:rFonts w:cs="Arial"/>
              </w:rPr>
              <w:t xml:space="preserve"> 2014</w:t>
            </w:r>
            <w:r>
              <w:rPr>
                <w:rFonts w:cs="Arial"/>
              </w:rPr>
              <w:t xml:space="preserve"> and provides a forward look </w:t>
            </w:r>
            <w:r w:rsidR="00154F4C">
              <w:rPr>
                <w:rFonts w:cs="Arial"/>
              </w:rPr>
              <w:t>un</w:t>
            </w:r>
            <w:r w:rsidR="00824F82">
              <w:rPr>
                <w:rFonts w:cs="Arial"/>
              </w:rPr>
              <w:t xml:space="preserve">til the next TEC meeting on </w:t>
            </w:r>
            <w:r w:rsidR="005C3B17">
              <w:rPr>
                <w:rFonts w:cs="Arial"/>
              </w:rPr>
              <w:t>12</w:t>
            </w:r>
            <w:r w:rsidR="00154F4C">
              <w:rPr>
                <w:rFonts w:cs="Arial"/>
              </w:rPr>
              <w:t xml:space="preserve"> </w:t>
            </w:r>
            <w:r w:rsidR="005C3B17">
              <w:rPr>
                <w:rFonts w:cs="Arial"/>
              </w:rPr>
              <w:t>March</w:t>
            </w:r>
            <w:r w:rsidR="0035432A">
              <w:rPr>
                <w:rFonts w:cs="Arial"/>
              </w:rPr>
              <w:t xml:space="preserve"> 201</w:t>
            </w:r>
            <w:r w:rsidR="005C3B17">
              <w:rPr>
                <w:rFonts w:cs="Arial"/>
              </w:rPr>
              <w:t>5</w:t>
            </w:r>
            <w:r w:rsidR="007252A2" w:rsidRPr="007F04F3">
              <w:rPr>
                <w:rFonts w:cs="Arial"/>
              </w:rPr>
              <w:t>.</w:t>
            </w:r>
            <w:r w:rsidR="005B5582">
              <w:rPr>
                <w:rFonts w:cs="Arial"/>
              </w:rPr>
              <w:t xml:space="preserve"> </w:t>
            </w:r>
          </w:p>
        </w:tc>
      </w:tr>
      <w:tr w:rsidR="007252A2" w:rsidRPr="007F04F3" w:rsidTr="007F04F3">
        <w:trPr>
          <w:trHeight w:val="424"/>
        </w:trPr>
        <w:tc>
          <w:tcPr>
            <w:tcW w:w="2324" w:type="dxa"/>
            <w:tcBorders>
              <w:top w:val="nil"/>
              <w:left w:val="nil"/>
              <w:bottom w:val="nil"/>
              <w:right w:val="nil"/>
            </w:tcBorders>
            <w:shd w:val="clear" w:color="auto" w:fill="auto"/>
          </w:tcPr>
          <w:p w:rsidR="007252A2" w:rsidRPr="007F04F3" w:rsidRDefault="007252A2" w:rsidP="007F04F3">
            <w:pPr>
              <w:spacing w:before="120"/>
              <w:rPr>
                <w:b/>
                <w:bCs/>
              </w:rPr>
            </w:pPr>
            <w:r w:rsidRPr="007F04F3">
              <w:rPr>
                <w:b/>
                <w:bCs/>
              </w:rPr>
              <w:t>Recommendations</w:t>
            </w:r>
          </w:p>
        </w:tc>
        <w:tc>
          <w:tcPr>
            <w:tcW w:w="7281" w:type="dxa"/>
            <w:tcBorders>
              <w:top w:val="nil"/>
              <w:left w:val="nil"/>
              <w:bottom w:val="nil"/>
              <w:right w:val="nil"/>
            </w:tcBorders>
            <w:shd w:val="clear" w:color="auto" w:fill="auto"/>
          </w:tcPr>
          <w:p w:rsidR="007252A2" w:rsidRPr="00C26C06" w:rsidRDefault="007252A2" w:rsidP="007F04F3">
            <w:pPr>
              <w:spacing w:before="120"/>
            </w:pPr>
            <w:r>
              <w:t>Members to note this report.</w:t>
            </w:r>
          </w:p>
        </w:tc>
      </w:tr>
    </w:tbl>
    <w:p w:rsidR="007B6887" w:rsidRDefault="007B6887" w:rsidP="007252A2"/>
    <w:p w:rsidR="008306C8" w:rsidRDefault="008306C8" w:rsidP="00346EB2">
      <w:pPr>
        <w:spacing w:after="120"/>
        <w:rPr>
          <w:b/>
          <w:u w:val="single"/>
        </w:rPr>
      </w:pPr>
    </w:p>
    <w:p w:rsidR="000F11AE" w:rsidRPr="008C0393" w:rsidRDefault="000F11AE" w:rsidP="00A20865">
      <w:pPr>
        <w:spacing w:after="120"/>
        <w:jc w:val="both"/>
        <w:rPr>
          <w:b/>
          <w:u w:val="single"/>
        </w:rPr>
      </w:pPr>
      <w:r w:rsidRPr="008C0393">
        <w:rPr>
          <w:b/>
          <w:u w:val="single"/>
        </w:rPr>
        <w:t>Update included in this report</w:t>
      </w:r>
      <w:r w:rsidR="0083005B">
        <w:rPr>
          <w:b/>
          <w:u w:val="single"/>
        </w:rPr>
        <w:t>:</w:t>
      </w:r>
    </w:p>
    <w:p w:rsidR="00255BCC" w:rsidRPr="008C0393" w:rsidRDefault="00255BCC" w:rsidP="00A20865">
      <w:pPr>
        <w:spacing w:after="120"/>
        <w:jc w:val="both"/>
      </w:pPr>
    </w:p>
    <w:p w:rsidR="0058572D" w:rsidRPr="0058572D" w:rsidRDefault="00F037E8" w:rsidP="00A20865">
      <w:pPr>
        <w:spacing w:after="120"/>
        <w:jc w:val="both"/>
        <w:rPr>
          <w:b/>
          <w:u w:val="single"/>
        </w:rPr>
      </w:pPr>
      <w:r w:rsidRPr="008C0393">
        <w:rPr>
          <w:b/>
          <w:u w:val="single"/>
        </w:rPr>
        <w:t>Transport</w:t>
      </w:r>
    </w:p>
    <w:p w:rsidR="00A878F2" w:rsidRDefault="000A6CEB" w:rsidP="00A20865">
      <w:pPr>
        <w:spacing w:after="120"/>
        <w:jc w:val="both"/>
      </w:pPr>
      <w:r>
        <w:t>Buses</w:t>
      </w:r>
    </w:p>
    <w:p w:rsidR="000A6CEB" w:rsidRDefault="000A6CEB" w:rsidP="00A20865">
      <w:pPr>
        <w:spacing w:after="120"/>
        <w:jc w:val="both"/>
      </w:pPr>
      <w:r>
        <w:t xml:space="preserve">Meeting with CELC leads for Transport and Environment </w:t>
      </w:r>
    </w:p>
    <w:p w:rsidR="00A878F2" w:rsidRDefault="009D14DB" w:rsidP="00A20865">
      <w:pPr>
        <w:spacing w:after="120"/>
        <w:jc w:val="both"/>
      </w:pPr>
      <w:r>
        <w:t>Crossrail 2</w:t>
      </w:r>
    </w:p>
    <w:p w:rsidR="0071497B" w:rsidRPr="00A878F2" w:rsidRDefault="0071497B" w:rsidP="00A20865">
      <w:pPr>
        <w:spacing w:after="120"/>
        <w:jc w:val="both"/>
      </w:pPr>
      <w:r>
        <w:t>ULEZ</w:t>
      </w:r>
    </w:p>
    <w:p w:rsidR="00A878F2" w:rsidRDefault="00A878F2" w:rsidP="00A20865">
      <w:pPr>
        <w:spacing w:after="120"/>
        <w:jc w:val="both"/>
        <w:rPr>
          <w:b/>
          <w:u w:val="single"/>
        </w:rPr>
      </w:pPr>
    </w:p>
    <w:p w:rsidR="007252A2" w:rsidRPr="008C0393" w:rsidRDefault="007252A2" w:rsidP="00A20865">
      <w:pPr>
        <w:spacing w:after="120"/>
        <w:jc w:val="both"/>
        <w:rPr>
          <w:b/>
          <w:u w:val="single"/>
        </w:rPr>
      </w:pPr>
      <w:r w:rsidRPr="008C0393">
        <w:rPr>
          <w:b/>
          <w:u w:val="single"/>
        </w:rPr>
        <w:t>Environment</w:t>
      </w:r>
    </w:p>
    <w:p w:rsidR="006F5208" w:rsidRDefault="006F5208" w:rsidP="00A20865">
      <w:pPr>
        <w:spacing w:after="120"/>
        <w:jc w:val="both"/>
      </w:pPr>
      <w:r>
        <w:t>Air quality</w:t>
      </w:r>
    </w:p>
    <w:p w:rsidR="00AB15EB" w:rsidRDefault="000A6CEB" w:rsidP="00A20865">
      <w:pPr>
        <w:spacing w:after="120"/>
        <w:jc w:val="both"/>
      </w:pPr>
      <w:r>
        <w:t>Flooding</w:t>
      </w:r>
    </w:p>
    <w:p w:rsidR="00813130" w:rsidRDefault="00813130" w:rsidP="00A20865">
      <w:pPr>
        <w:spacing w:after="120"/>
        <w:jc w:val="both"/>
      </w:pPr>
      <w:r>
        <w:t>Energy</w:t>
      </w:r>
    </w:p>
    <w:p w:rsidR="00813130" w:rsidRDefault="00813130" w:rsidP="00A20865">
      <w:pPr>
        <w:spacing w:after="120"/>
        <w:jc w:val="both"/>
      </w:pPr>
      <w:r>
        <w:t>Green Infrastructure</w:t>
      </w:r>
    </w:p>
    <w:p w:rsidR="00D225A6" w:rsidRDefault="00D225A6" w:rsidP="00A20865">
      <w:pPr>
        <w:spacing w:after="120"/>
        <w:jc w:val="both"/>
      </w:pPr>
      <w:r>
        <w:t>LWARB</w:t>
      </w:r>
    </w:p>
    <w:p w:rsidR="008C0393" w:rsidRPr="008C0393" w:rsidRDefault="008C0393" w:rsidP="00A20865">
      <w:pPr>
        <w:spacing w:after="120"/>
        <w:jc w:val="both"/>
      </w:pPr>
    </w:p>
    <w:p w:rsidR="007252A2" w:rsidRPr="008C0393" w:rsidRDefault="006E4EC0" w:rsidP="00A20865">
      <w:pPr>
        <w:spacing w:after="120"/>
        <w:jc w:val="both"/>
        <w:rPr>
          <w:b/>
          <w:u w:val="single"/>
        </w:rPr>
      </w:pPr>
      <w:r w:rsidRPr="008C0393">
        <w:rPr>
          <w:b/>
          <w:u w:val="single"/>
        </w:rPr>
        <w:t>Forward Look</w:t>
      </w:r>
    </w:p>
    <w:p w:rsidR="007252A2" w:rsidRPr="00726F9A" w:rsidRDefault="00F366F9" w:rsidP="00726F9A">
      <w:pPr>
        <w:jc w:val="both"/>
      </w:pPr>
      <w:r>
        <w:br w:type="page"/>
      </w:r>
      <w:r w:rsidR="007252A2" w:rsidRPr="00726F9A">
        <w:rPr>
          <w:rFonts w:cs="Arial"/>
          <w:b/>
          <w:u w:val="single"/>
        </w:rPr>
        <w:lastRenderedPageBreak/>
        <w:t>Introduction</w:t>
      </w:r>
    </w:p>
    <w:p w:rsidR="00D225A6" w:rsidRDefault="00D225A6" w:rsidP="00726F9A">
      <w:pPr>
        <w:pStyle w:val="ListParagraph"/>
        <w:ind w:left="426"/>
        <w:jc w:val="both"/>
      </w:pPr>
    </w:p>
    <w:p w:rsidR="00A84068" w:rsidRPr="00A84068" w:rsidRDefault="00F037E8" w:rsidP="00726F9A">
      <w:pPr>
        <w:pStyle w:val="ListParagraph"/>
        <w:numPr>
          <w:ilvl w:val="0"/>
          <w:numId w:val="2"/>
        </w:numPr>
        <w:ind w:left="426" w:hanging="426"/>
        <w:jc w:val="both"/>
      </w:pPr>
      <w:r w:rsidRPr="00F037E8">
        <w:t xml:space="preserve">This report updates Members on London Councils’ work on transport and environment policy since the last TEC meeting </w:t>
      </w:r>
      <w:r w:rsidR="00813130">
        <w:rPr>
          <w:rFonts w:cs="Arial"/>
        </w:rPr>
        <w:t>on 16 October 2014</w:t>
      </w:r>
      <w:r w:rsidR="0058572D">
        <w:rPr>
          <w:rFonts w:cs="Arial"/>
        </w:rPr>
        <w:t xml:space="preserve"> and</w:t>
      </w:r>
      <w:r w:rsidR="00E15778">
        <w:rPr>
          <w:rFonts w:cs="Arial"/>
        </w:rPr>
        <w:t xml:space="preserve"> provides a forward look </w:t>
      </w:r>
      <w:r w:rsidR="00813130">
        <w:rPr>
          <w:rFonts w:cs="Arial"/>
        </w:rPr>
        <w:t>until 12 March 2015</w:t>
      </w:r>
      <w:r w:rsidR="00124CD4">
        <w:rPr>
          <w:rFonts w:cs="Arial"/>
        </w:rPr>
        <w:t>.</w:t>
      </w:r>
    </w:p>
    <w:p w:rsidR="00346EB2" w:rsidRDefault="00346EB2" w:rsidP="00A20865">
      <w:pPr>
        <w:spacing w:after="120"/>
        <w:jc w:val="both"/>
        <w:rPr>
          <w:rFonts w:cs="Arial"/>
          <w:b/>
          <w:u w:val="single"/>
        </w:rPr>
      </w:pPr>
    </w:p>
    <w:p w:rsidR="00F037E8" w:rsidRPr="00726F9A" w:rsidRDefault="00F037E8" w:rsidP="00726F9A">
      <w:pPr>
        <w:jc w:val="both"/>
        <w:rPr>
          <w:rFonts w:cs="Arial"/>
          <w:b/>
          <w:u w:val="single"/>
        </w:rPr>
      </w:pPr>
      <w:r w:rsidRPr="00726F9A">
        <w:rPr>
          <w:rFonts w:cs="Arial"/>
          <w:b/>
          <w:u w:val="single"/>
        </w:rPr>
        <w:t>Transport</w:t>
      </w:r>
    </w:p>
    <w:p w:rsidR="006F5208" w:rsidRDefault="006F5208" w:rsidP="00726F9A">
      <w:pPr>
        <w:jc w:val="both"/>
        <w:rPr>
          <w:b/>
        </w:rPr>
      </w:pPr>
    </w:p>
    <w:p w:rsidR="00A878F2" w:rsidRDefault="00A878F2" w:rsidP="00A20865">
      <w:pPr>
        <w:spacing w:after="120"/>
        <w:jc w:val="both"/>
        <w:rPr>
          <w:b/>
        </w:rPr>
      </w:pPr>
      <w:r>
        <w:rPr>
          <w:b/>
        </w:rPr>
        <w:t>Buses</w:t>
      </w:r>
    </w:p>
    <w:p w:rsidR="00A878F2" w:rsidRDefault="00A878F2" w:rsidP="00A878F2">
      <w:pPr>
        <w:pStyle w:val="ListParagraph"/>
        <w:numPr>
          <w:ilvl w:val="0"/>
          <w:numId w:val="2"/>
        </w:numPr>
        <w:spacing w:after="120"/>
        <w:ind w:left="426" w:hanging="426"/>
        <w:jc w:val="both"/>
      </w:pPr>
      <w:r>
        <w:t>8 October saw a Bus Seminar hosted by TfL with speakers from TfL, London Councils (Nick Lester) and London Travel Watch. The slides are attached as Appendix I for your information.</w:t>
      </w:r>
    </w:p>
    <w:p w:rsidR="00165591" w:rsidRDefault="00165591" w:rsidP="00A878F2">
      <w:pPr>
        <w:pStyle w:val="ListParagraph"/>
        <w:numPr>
          <w:ilvl w:val="0"/>
          <w:numId w:val="2"/>
        </w:numPr>
        <w:spacing w:after="120"/>
        <w:ind w:left="426" w:hanging="426"/>
        <w:jc w:val="both"/>
      </w:pPr>
      <w:r>
        <w:t>TfL is keen to work with boroughs to</w:t>
      </w:r>
    </w:p>
    <w:p w:rsidR="00165591" w:rsidRDefault="00165591" w:rsidP="00165591">
      <w:pPr>
        <w:pStyle w:val="ListParagraph"/>
        <w:numPr>
          <w:ilvl w:val="1"/>
          <w:numId w:val="2"/>
        </w:numPr>
        <w:spacing w:after="120"/>
        <w:ind w:left="1134" w:hanging="567"/>
        <w:jc w:val="both"/>
      </w:pPr>
      <w:r>
        <w:t>target the sources of bus delay in central London;</w:t>
      </w:r>
    </w:p>
    <w:p w:rsidR="00165591" w:rsidRDefault="00165591" w:rsidP="00165591">
      <w:pPr>
        <w:pStyle w:val="ListParagraph"/>
        <w:numPr>
          <w:ilvl w:val="1"/>
          <w:numId w:val="2"/>
        </w:numPr>
        <w:spacing w:after="120"/>
        <w:ind w:left="1134" w:hanging="567"/>
        <w:jc w:val="both"/>
      </w:pPr>
      <w:r>
        <w:t>help London grow in new opportunity areas;</w:t>
      </w:r>
    </w:p>
    <w:p w:rsidR="00A878F2" w:rsidRDefault="00165591" w:rsidP="00165591">
      <w:pPr>
        <w:pStyle w:val="ListParagraph"/>
        <w:numPr>
          <w:ilvl w:val="1"/>
          <w:numId w:val="2"/>
        </w:numPr>
        <w:spacing w:after="120"/>
        <w:ind w:left="1134" w:hanging="567"/>
        <w:jc w:val="both"/>
      </w:pPr>
      <w:proofErr w:type="gramStart"/>
      <w:r>
        <w:t>tackle</w:t>
      </w:r>
      <w:proofErr w:type="gramEnd"/>
      <w:r>
        <w:t xml:space="preserve"> congestions across London.</w:t>
      </w:r>
    </w:p>
    <w:p w:rsidR="00165591" w:rsidRDefault="005D2D4E" w:rsidP="00165591">
      <w:pPr>
        <w:pStyle w:val="ListParagraph"/>
        <w:numPr>
          <w:ilvl w:val="0"/>
          <w:numId w:val="2"/>
        </w:numPr>
        <w:spacing w:after="120"/>
        <w:ind w:left="426" w:hanging="426"/>
        <w:jc w:val="both"/>
      </w:pPr>
      <w:r>
        <w:t xml:space="preserve">TfL has put aside £200m </w:t>
      </w:r>
      <w:r w:rsidR="00152351">
        <w:t xml:space="preserve">until 2023/24 </w:t>
      </w:r>
      <w:r>
        <w:t>for bus priority measures and is keen to work with boroughs on schemes. TfL will visit all London boroughs in the near future to discuss any potential locations for schemes.</w:t>
      </w:r>
    </w:p>
    <w:p w:rsidR="005D2D4E" w:rsidRDefault="005D2D4E" w:rsidP="00165591">
      <w:pPr>
        <w:pStyle w:val="ListParagraph"/>
        <w:numPr>
          <w:ilvl w:val="0"/>
          <w:numId w:val="2"/>
        </w:numPr>
        <w:spacing w:after="120"/>
        <w:ind w:left="426" w:hanging="426"/>
        <w:jc w:val="both"/>
      </w:pPr>
      <w:r>
        <w:t>TfL has pledged to;</w:t>
      </w:r>
    </w:p>
    <w:p w:rsidR="005D2D4E" w:rsidRDefault="005D2D4E" w:rsidP="005D2D4E">
      <w:pPr>
        <w:pStyle w:val="ListParagraph"/>
        <w:numPr>
          <w:ilvl w:val="1"/>
          <w:numId w:val="2"/>
        </w:numPr>
        <w:spacing w:after="120"/>
        <w:ind w:left="1134" w:hanging="567"/>
        <w:jc w:val="both"/>
      </w:pPr>
      <w:r>
        <w:t>Consult and engage in all bus service changes</w:t>
      </w:r>
    </w:p>
    <w:p w:rsidR="005D2D4E" w:rsidRDefault="005D2D4E" w:rsidP="005D2D4E">
      <w:pPr>
        <w:pStyle w:val="ListParagraph"/>
        <w:numPr>
          <w:ilvl w:val="1"/>
          <w:numId w:val="2"/>
        </w:numPr>
        <w:spacing w:after="120"/>
        <w:ind w:left="1134" w:hanging="567"/>
        <w:jc w:val="both"/>
      </w:pPr>
      <w:r>
        <w:t>Hold regular Passenger Transport Liaison meetings</w:t>
      </w:r>
    </w:p>
    <w:p w:rsidR="005D2D4E" w:rsidRDefault="005D2D4E" w:rsidP="005D2D4E">
      <w:pPr>
        <w:pStyle w:val="ListParagraph"/>
        <w:numPr>
          <w:ilvl w:val="1"/>
          <w:numId w:val="2"/>
        </w:numPr>
        <w:spacing w:after="120"/>
        <w:ind w:left="1134" w:hanging="567"/>
        <w:jc w:val="both"/>
      </w:pPr>
      <w:r>
        <w:t>Communicate through the London borough’s sub-regional forums</w:t>
      </w:r>
    </w:p>
    <w:p w:rsidR="005D2D4E" w:rsidRDefault="005D2D4E" w:rsidP="005D2D4E">
      <w:pPr>
        <w:pStyle w:val="ListParagraph"/>
        <w:numPr>
          <w:ilvl w:val="1"/>
          <w:numId w:val="2"/>
        </w:numPr>
        <w:spacing w:after="120"/>
        <w:ind w:left="1134" w:hanging="567"/>
        <w:jc w:val="both"/>
      </w:pPr>
      <w:r>
        <w:t>Engage regularly with borough officers and Councillors over specific issues</w:t>
      </w:r>
    </w:p>
    <w:p w:rsidR="005D2D4E" w:rsidRDefault="005D2D4E" w:rsidP="005D2D4E">
      <w:pPr>
        <w:pStyle w:val="ListParagraph"/>
        <w:numPr>
          <w:ilvl w:val="1"/>
          <w:numId w:val="2"/>
        </w:numPr>
        <w:spacing w:after="120"/>
        <w:ind w:left="1134" w:hanging="567"/>
        <w:jc w:val="both"/>
      </w:pPr>
      <w:r>
        <w:t>Send regular letters to Local Authorities and other stakeholders detailing the tendering programme and inviting comments on any bus service/issue.</w:t>
      </w:r>
    </w:p>
    <w:p w:rsidR="005D2D4E" w:rsidRPr="00A878F2" w:rsidRDefault="005D2D4E" w:rsidP="005D2D4E">
      <w:pPr>
        <w:pStyle w:val="ListParagraph"/>
        <w:numPr>
          <w:ilvl w:val="1"/>
          <w:numId w:val="2"/>
        </w:numPr>
        <w:spacing w:after="120"/>
        <w:ind w:left="1134" w:hanging="567"/>
        <w:jc w:val="both"/>
      </w:pPr>
      <w:r>
        <w:t>Provide an annual overview for each London borough</w:t>
      </w:r>
    </w:p>
    <w:p w:rsidR="006F5208" w:rsidRDefault="006F5208" w:rsidP="00A20865">
      <w:pPr>
        <w:spacing w:after="120"/>
        <w:jc w:val="both"/>
        <w:rPr>
          <w:b/>
        </w:rPr>
      </w:pPr>
    </w:p>
    <w:p w:rsidR="005D2D4E" w:rsidRDefault="005D2D4E" w:rsidP="00A20865">
      <w:pPr>
        <w:spacing w:after="120"/>
        <w:jc w:val="both"/>
        <w:rPr>
          <w:b/>
        </w:rPr>
      </w:pPr>
      <w:r>
        <w:rPr>
          <w:b/>
        </w:rPr>
        <w:t xml:space="preserve">Meeting between Chair and </w:t>
      </w:r>
      <w:r w:rsidR="00F17B46">
        <w:rPr>
          <w:b/>
        </w:rPr>
        <w:t>Chief Executive Leads for Transport and Environment</w:t>
      </w:r>
    </w:p>
    <w:p w:rsidR="00F17B46" w:rsidRDefault="00F17B46" w:rsidP="00F17B46">
      <w:pPr>
        <w:pStyle w:val="ListParagraph"/>
        <w:numPr>
          <w:ilvl w:val="0"/>
          <w:numId w:val="2"/>
        </w:numPr>
        <w:spacing w:after="120"/>
        <w:ind w:left="426" w:hanging="426"/>
        <w:jc w:val="both"/>
      </w:pPr>
      <w:r>
        <w:t>On 27 October 2014, I met with the two Chief Executive leads for Transport and Environment to discuss current issues and priorities.</w:t>
      </w:r>
    </w:p>
    <w:p w:rsidR="00F17B46" w:rsidRDefault="00F17B46" w:rsidP="00F17B46">
      <w:pPr>
        <w:pStyle w:val="ListParagraph"/>
        <w:numPr>
          <w:ilvl w:val="0"/>
          <w:numId w:val="2"/>
        </w:numPr>
        <w:spacing w:after="120"/>
        <w:ind w:left="426" w:hanging="426"/>
        <w:jc w:val="both"/>
      </w:pPr>
      <w:r>
        <w:t>We covered issues on road safety, walking &amp; cycling initiatives, buses, rail, waste, flooding, air quality, energy and Local Environment Quality.</w:t>
      </w:r>
    </w:p>
    <w:p w:rsidR="00F17B46" w:rsidRPr="00F17B46" w:rsidRDefault="00F17B46" w:rsidP="00F17B46">
      <w:pPr>
        <w:pStyle w:val="ListParagraph"/>
        <w:numPr>
          <w:ilvl w:val="0"/>
          <w:numId w:val="2"/>
        </w:numPr>
        <w:spacing w:after="120"/>
        <w:ind w:left="426" w:hanging="426"/>
        <w:jc w:val="both"/>
      </w:pPr>
      <w:r>
        <w:t>I have found this a useful exchange and will continue to meet with these officers on a regular basis.</w:t>
      </w:r>
    </w:p>
    <w:p w:rsidR="006F5208" w:rsidRDefault="006F5208" w:rsidP="00A20865">
      <w:pPr>
        <w:spacing w:after="120"/>
        <w:jc w:val="both"/>
        <w:rPr>
          <w:b/>
        </w:rPr>
      </w:pPr>
    </w:p>
    <w:p w:rsidR="00CF253E" w:rsidRDefault="00CF253E" w:rsidP="00A20865">
      <w:pPr>
        <w:spacing w:after="120"/>
        <w:jc w:val="both"/>
        <w:rPr>
          <w:b/>
        </w:rPr>
      </w:pPr>
      <w:r>
        <w:rPr>
          <w:b/>
        </w:rPr>
        <w:t xml:space="preserve">Crossrail 2 </w:t>
      </w:r>
    </w:p>
    <w:p w:rsidR="00CF253E" w:rsidRDefault="00CF253E" w:rsidP="00CF253E">
      <w:pPr>
        <w:pStyle w:val="ListParagraph"/>
        <w:numPr>
          <w:ilvl w:val="0"/>
          <w:numId w:val="2"/>
        </w:numPr>
        <w:spacing w:after="120"/>
        <w:ind w:left="426" w:hanging="426"/>
        <w:jc w:val="both"/>
      </w:pPr>
      <w:proofErr w:type="spellStart"/>
      <w:r>
        <w:t>DfT</w:t>
      </w:r>
      <w:proofErr w:type="spellEnd"/>
      <w:r>
        <w:t xml:space="preserve"> </w:t>
      </w:r>
      <w:r w:rsidR="00FA5FC2">
        <w:t xml:space="preserve">have started the </w:t>
      </w:r>
      <w:hyperlink r:id="rId10" w:history="1">
        <w:r w:rsidR="00FA5FC2" w:rsidRPr="009D14DB">
          <w:rPr>
            <w:rStyle w:val="Hyperlink"/>
          </w:rPr>
          <w:t>consultation</w:t>
        </w:r>
      </w:hyperlink>
      <w:r w:rsidR="00FA5FC2">
        <w:t xml:space="preserve"> on updating the safeguarding direction of 2008 on 20 November 2014. The consultation runs until 29 January 2015</w:t>
      </w:r>
      <w:r w:rsidR="009D14DB">
        <w:t>.</w:t>
      </w:r>
    </w:p>
    <w:p w:rsidR="009D14DB" w:rsidRDefault="009D14DB" w:rsidP="009D14DB">
      <w:pPr>
        <w:pStyle w:val="ListParagraph"/>
        <w:numPr>
          <w:ilvl w:val="0"/>
          <w:numId w:val="2"/>
        </w:numPr>
        <w:spacing w:after="120"/>
        <w:ind w:left="426" w:hanging="426"/>
        <w:jc w:val="both"/>
      </w:pPr>
      <w:r>
        <w:t>Parts of the proposed Crossrail 2 route have been subject to safeguarding since 1991, known as the ‘Chelsea – Hackney Line’</w:t>
      </w:r>
      <w:r w:rsidR="00FD2819">
        <w:t xml:space="preserve"> (CHL)</w:t>
      </w:r>
      <w:r>
        <w:t xml:space="preserve">. TfL has carried out a number of planning and design studies and run two consultations, which have led to a proposed new Direction to safeguard the route alignment. </w:t>
      </w:r>
    </w:p>
    <w:p w:rsidR="009D14DB" w:rsidRDefault="005520BB" w:rsidP="009D14DB">
      <w:pPr>
        <w:pStyle w:val="ListParagraph"/>
        <w:numPr>
          <w:ilvl w:val="0"/>
          <w:numId w:val="2"/>
        </w:numPr>
        <w:spacing w:after="120"/>
        <w:ind w:left="426" w:hanging="426"/>
        <w:jc w:val="both"/>
      </w:pPr>
      <w:r w:rsidRPr="009D14DB">
        <w:t>Safeguarding is a formal process, undertaken by the Department for Transport (</w:t>
      </w:r>
      <w:proofErr w:type="spellStart"/>
      <w:r w:rsidRPr="009D14DB">
        <w:t>DfT</w:t>
      </w:r>
      <w:proofErr w:type="spellEnd"/>
      <w:r w:rsidRPr="009D14DB">
        <w:t xml:space="preserve">), to protect land required for major new infrastructure projects from future development.  </w:t>
      </w:r>
    </w:p>
    <w:p w:rsidR="00021306" w:rsidRDefault="009D14DB" w:rsidP="00021306">
      <w:pPr>
        <w:pStyle w:val="ListParagraph"/>
        <w:numPr>
          <w:ilvl w:val="0"/>
          <w:numId w:val="2"/>
        </w:numPr>
        <w:spacing w:after="120"/>
        <w:ind w:left="426" w:hanging="426"/>
        <w:jc w:val="both"/>
      </w:pPr>
      <w:r>
        <w:lastRenderedPageBreak/>
        <w:t>Depending on the outcome of the consultation, the Secretary of State for Transport will give a ‘Safeguarding Direction’</w:t>
      </w:r>
      <w:r w:rsidR="005520BB" w:rsidRPr="009D14DB">
        <w:t xml:space="preserve">, </w:t>
      </w:r>
      <w:r>
        <w:t xml:space="preserve">that will </w:t>
      </w:r>
      <w:r w:rsidR="005520BB" w:rsidRPr="009D14DB">
        <w:t>instruct local planning authorities to consult TfL on planning applications for land within the safeguarded area.</w:t>
      </w:r>
      <w:r w:rsidR="00021306">
        <w:t xml:space="preserve"> The Direction also requires the local planning authority to follow </w:t>
      </w:r>
      <w:proofErr w:type="spellStart"/>
      <w:r w:rsidR="00021306">
        <w:t>TfL’s</w:t>
      </w:r>
      <w:proofErr w:type="spellEnd"/>
      <w:r w:rsidR="00021306">
        <w:t xml:space="preserve"> recommendation when determining an application for planning consent. If it does not follow </w:t>
      </w:r>
      <w:proofErr w:type="spellStart"/>
      <w:r w:rsidR="00021306">
        <w:t>TfL’s</w:t>
      </w:r>
      <w:proofErr w:type="spellEnd"/>
      <w:r w:rsidR="00021306">
        <w:t xml:space="preserve"> recommendation it must give the Secretary of State 21 days’ notice of its intentions and forward the information listed in the Direction to the Secretary of State.</w:t>
      </w:r>
    </w:p>
    <w:p w:rsidR="005520BB" w:rsidRPr="009D14DB" w:rsidRDefault="005520BB" w:rsidP="00021306">
      <w:pPr>
        <w:pStyle w:val="ListParagraph"/>
        <w:numPr>
          <w:ilvl w:val="0"/>
          <w:numId w:val="2"/>
        </w:numPr>
        <w:spacing w:after="120"/>
        <w:ind w:left="426" w:hanging="426"/>
        <w:jc w:val="both"/>
      </w:pPr>
      <w:r w:rsidRPr="009D14DB">
        <w:t>The revised safeguarded area includes the possible route of the tunnels as well as land at ground level that may be used for the construction of the tunnels, stations and ventilation and emergency access shafts.</w:t>
      </w:r>
    </w:p>
    <w:p w:rsidR="00FA5FC2" w:rsidRDefault="00FA5FC2" w:rsidP="00021306">
      <w:pPr>
        <w:pStyle w:val="ListParagraph"/>
        <w:numPr>
          <w:ilvl w:val="0"/>
          <w:numId w:val="2"/>
        </w:numPr>
        <w:spacing w:after="120"/>
        <w:ind w:left="426" w:hanging="426"/>
        <w:jc w:val="both"/>
      </w:pPr>
      <w:r>
        <w:t>Safeguarding does not necessarily</w:t>
      </w:r>
      <w:r w:rsidR="009D14DB">
        <w:t xml:space="preserve"> </w:t>
      </w:r>
      <w:r>
        <w:t>prevent developments taking place: it ensures that when they take</w:t>
      </w:r>
      <w:r w:rsidR="009D14DB">
        <w:t xml:space="preserve"> </w:t>
      </w:r>
      <w:r>
        <w:t>place the design can acc</w:t>
      </w:r>
      <w:r w:rsidR="009D14DB">
        <w:t xml:space="preserve">ommodate the addition of railway </w:t>
      </w:r>
      <w:r>
        <w:t>infrastructure.</w:t>
      </w:r>
    </w:p>
    <w:p w:rsidR="005520BB" w:rsidRDefault="00FA5FC2" w:rsidP="00021306">
      <w:pPr>
        <w:pStyle w:val="ListParagraph"/>
        <w:numPr>
          <w:ilvl w:val="0"/>
          <w:numId w:val="2"/>
        </w:numPr>
        <w:spacing w:after="120"/>
        <w:ind w:left="426" w:hanging="426"/>
        <w:jc w:val="both"/>
      </w:pPr>
      <w:r>
        <w:t>The Secretary of State for Transport is</w:t>
      </w:r>
      <w:r w:rsidR="009D14DB">
        <w:t xml:space="preserve"> </w:t>
      </w:r>
      <w:r>
        <w:t>committed to review this safeguarding Direction by 2021.</w:t>
      </w:r>
    </w:p>
    <w:p w:rsidR="00E1709E" w:rsidRDefault="00E1709E" w:rsidP="00021306">
      <w:pPr>
        <w:pStyle w:val="ListParagraph"/>
        <w:numPr>
          <w:ilvl w:val="0"/>
          <w:numId w:val="2"/>
        </w:numPr>
        <w:spacing w:after="120"/>
        <w:ind w:left="426" w:hanging="426"/>
        <w:jc w:val="both"/>
      </w:pPr>
      <w:r>
        <w:t>The major changes are:</w:t>
      </w:r>
    </w:p>
    <w:p w:rsidR="00E1709E" w:rsidRPr="00021306" w:rsidRDefault="00E1709E" w:rsidP="00021306">
      <w:pPr>
        <w:pStyle w:val="ListParagraph"/>
        <w:spacing w:after="120"/>
        <w:ind w:left="426"/>
        <w:jc w:val="both"/>
        <w:rPr>
          <w:u w:val="single"/>
        </w:rPr>
      </w:pPr>
      <w:r w:rsidRPr="00021306">
        <w:rPr>
          <w:u w:val="single"/>
        </w:rPr>
        <w:t>Wimbledon – Victoria</w:t>
      </w:r>
    </w:p>
    <w:p w:rsidR="00E1709E" w:rsidRDefault="00E1709E" w:rsidP="00021306">
      <w:pPr>
        <w:pStyle w:val="ListParagraph"/>
        <w:spacing w:after="120"/>
        <w:ind w:left="426"/>
        <w:jc w:val="both"/>
      </w:pPr>
      <w:r>
        <w:t>The CHL route from Wimbledon to Victoria using the District</w:t>
      </w:r>
      <w:r w:rsidR="00021306">
        <w:t xml:space="preserve"> </w:t>
      </w:r>
      <w:r>
        <w:t>line between Wimbledon and Fulham Broadway is abandoned</w:t>
      </w:r>
      <w:r w:rsidR="00021306">
        <w:t xml:space="preserve"> </w:t>
      </w:r>
      <w:r>
        <w:t>in favour of one via Tooting Broadway to relieve the Northern</w:t>
      </w:r>
      <w:r w:rsidR="00021306">
        <w:t xml:space="preserve"> </w:t>
      </w:r>
      <w:r>
        <w:t>line and Clapham Junction. The route continues to Victoria via</w:t>
      </w:r>
      <w:r w:rsidR="00021306">
        <w:t xml:space="preserve"> </w:t>
      </w:r>
      <w:r>
        <w:t>either World’s End, Chelsea, or Kings Road, Chelsea. The</w:t>
      </w:r>
      <w:r w:rsidR="00021306">
        <w:t xml:space="preserve"> </w:t>
      </w:r>
      <w:r>
        <w:t>CHL alignment is joined on the west side of Victoria station.</w:t>
      </w:r>
    </w:p>
    <w:p w:rsidR="00E1709E" w:rsidRPr="00021306" w:rsidRDefault="00E1709E" w:rsidP="00021306">
      <w:pPr>
        <w:pStyle w:val="ListParagraph"/>
        <w:spacing w:after="120"/>
        <w:ind w:left="426"/>
        <w:jc w:val="both"/>
        <w:rPr>
          <w:u w:val="single"/>
        </w:rPr>
      </w:pPr>
      <w:r w:rsidRPr="00021306">
        <w:rPr>
          <w:u w:val="single"/>
        </w:rPr>
        <w:t>Victoria –Angel</w:t>
      </w:r>
    </w:p>
    <w:p w:rsidR="00E1709E" w:rsidRDefault="00E1709E" w:rsidP="00021306">
      <w:pPr>
        <w:pStyle w:val="ListParagraph"/>
        <w:spacing w:after="120"/>
        <w:ind w:left="426"/>
        <w:jc w:val="both"/>
      </w:pPr>
      <w:r>
        <w:t>The only significant change in central London is a deviation</w:t>
      </w:r>
      <w:r w:rsidR="00021306">
        <w:t xml:space="preserve"> </w:t>
      </w:r>
      <w:r>
        <w:t>between Tottenham Court Road and Angel to an alignment</w:t>
      </w:r>
      <w:r w:rsidR="00021306">
        <w:t xml:space="preserve"> </w:t>
      </w:r>
      <w:r>
        <w:t>north of the Euston Road which would serve the</w:t>
      </w:r>
      <w:r w:rsidR="00021306">
        <w:t xml:space="preserve"> </w:t>
      </w:r>
      <w:r>
        <w:t>redevelopment of Euston station to accommodate HS2 and</w:t>
      </w:r>
      <w:r w:rsidR="00021306">
        <w:t xml:space="preserve"> </w:t>
      </w:r>
      <w:r>
        <w:t>the new St Pancras station entrance. North of Angel the line</w:t>
      </w:r>
      <w:r w:rsidR="00021306">
        <w:t xml:space="preserve"> </w:t>
      </w:r>
      <w:r>
        <w:t xml:space="preserve">approaches </w:t>
      </w:r>
      <w:proofErr w:type="spellStart"/>
      <w:r>
        <w:t>Dalston</w:t>
      </w:r>
      <w:proofErr w:type="spellEnd"/>
      <w:r>
        <w:t xml:space="preserve"> on a north – south axis rather than the</w:t>
      </w:r>
      <w:r w:rsidR="00021306">
        <w:t xml:space="preserve"> </w:t>
      </w:r>
      <w:r>
        <w:t>previous east – west one.</w:t>
      </w:r>
    </w:p>
    <w:p w:rsidR="00E1709E" w:rsidRPr="00021306" w:rsidRDefault="00E1709E" w:rsidP="00021306">
      <w:pPr>
        <w:pStyle w:val="ListParagraph"/>
        <w:spacing w:after="120"/>
        <w:ind w:left="426"/>
        <w:jc w:val="both"/>
        <w:rPr>
          <w:u w:val="single"/>
        </w:rPr>
      </w:pPr>
      <w:r w:rsidRPr="00021306">
        <w:rPr>
          <w:u w:val="single"/>
        </w:rPr>
        <w:t>Angel – New Southgate and Tottenham Hale</w:t>
      </w:r>
    </w:p>
    <w:p w:rsidR="00E1709E" w:rsidRDefault="00E1709E" w:rsidP="00021306">
      <w:pPr>
        <w:pStyle w:val="ListParagraph"/>
        <w:spacing w:after="120"/>
        <w:ind w:left="426"/>
        <w:jc w:val="both"/>
      </w:pPr>
      <w:r>
        <w:t xml:space="preserve">The CHL route from </w:t>
      </w:r>
      <w:proofErr w:type="spellStart"/>
      <w:r>
        <w:t>Dalston</w:t>
      </w:r>
      <w:proofErr w:type="spellEnd"/>
      <w:r>
        <w:t xml:space="preserve"> Junction to Leytonstone and</w:t>
      </w:r>
      <w:r w:rsidR="00021306">
        <w:t xml:space="preserve"> </w:t>
      </w:r>
      <w:r>
        <w:t>connection with the Central line has been abandoned in favour</w:t>
      </w:r>
      <w:r w:rsidR="00021306">
        <w:t xml:space="preserve"> </w:t>
      </w:r>
      <w:r>
        <w:t>of a route to Alexandra Palace and New Southgate which</w:t>
      </w:r>
      <w:r w:rsidR="00021306">
        <w:t xml:space="preserve"> </w:t>
      </w:r>
      <w:r>
        <w:t>relieves the Piccadilly and Victoria lines. Between Angel and</w:t>
      </w:r>
      <w:r w:rsidRPr="00E1709E">
        <w:t xml:space="preserve"> </w:t>
      </w:r>
      <w:proofErr w:type="spellStart"/>
      <w:r>
        <w:t>Dalston</w:t>
      </w:r>
      <w:proofErr w:type="spellEnd"/>
      <w:r>
        <w:t xml:space="preserve"> Junction the safeguarding provides for a possible</w:t>
      </w:r>
      <w:r w:rsidR="00021306">
        <w:t xml:space="preserve"> </w:t>
      </w:r>
      <w:r>
        <w:t>branch to Hackney Central. The routes to New Southgate and</w:t>
      </w:r>
      <w:r w:rsidR="00021306">
        <w:t xml:space="preserve"> </w:t>
      </w:r>
      <w:r>
        <w:t>Tottenham Hale diverge at a second junction at South</w:t>
      </w:r>
      <w:r w:rsidR="00021306">
        <w:t xml:space="preserve"> </w:t>
      </w:r>
      <w:r>
        <w:t>Tottenham.</w:t>
      </w:r>
    </w:p>
    <w:p w:rsidR="00E1709E" w:rsidRPr="00021306" w:rsidRDefault="00E1709E" w:rsidP="00021306">
      <w:pPr>
        <w:pStyle w:val="ListParagraph"/>
        <w:spacing w:after="120"/>
        <w:ind w:left="426"/>
        <w:jc w:val="both"/>
        <w:rPr>
          <w:u w:val="single"/>
        </w:rPr>
      </w:pPr>
      <w:r w:rsidRPr="00021306">
        <w:rPr>
          <w:u w:val="single"/>
        </w:rPr>
        <w:t>Network Rail works South of Wimbledon</w:t>
      </w:r>
    </w:p>
    <w:p w:rsidR="00E1709E" w:rsidRDefault="00E1709E" w:rsidP="00021306">
      <w:pPr>
        <w:pStyle w:val="ListParagraph"/>
        <w:spacing w:after="120"/>
        <w:ind w:left="426"/>
        <w:jc w:val="both"/>
      </w:pPr>
      <w:r>
        <w:t>Strategic planning studies by NR suggest that additional</w:t>
      </w:r>
      <w:r w:rsidR="00021306">
        <w:t xml:space="preserve"> </w:t>
      </w:r>
      <w:r>
        <w:t>capacity will be required on routes from Waterloo through</w:t>
      </w:r>
      <w:r w:rsidR="00021306">
        <w:t xml:space="preserve"> </w:t>
      </w:r>
      <w:r>
        <w:t>Wimbledon towards New Malden. The proposed safeguarding</w:t>
      </w:r>
      <w:r w:rsidR="00021306">
        <w:t xml:space="preserve"> </w:t>
      </w:r>
      <w:r>
        <w:t>direction allows for this development by providing surface</w:t>
      </w:r>
      <w:r w:rsidR="00021306">
        <w:t xml:space="preserve"> </w:t>
      </w:r>
      <w:r>
        <w:t>connections at Wimbledon.</w:t>
      </w:r>
    </w:p>
    <w:p w:rsidR="00E1709E" w:rsidRPr="00021306" w:rsidRDefault="00021306" w:rsidP="00021306">
      <w:pPr>
        <w:pStyle w:val="ListParagraph"/>
        <w:spacing w:after="120"/>
        <w:ind w:left="426"/>
        <w:jc w:val="both"/>
        <w:rPr>
          <w:u w:val="single"/>
        </w:rPr>
      </w:pPr>
      <w:r w:rsidRPr="00021306">
        <w:rPr>
          <w:u w:val="single"/>
        </w:rPr>
        <w:t xml:space="preserve">Network Rail works </w:t>
      </w:r>
      <w:r w:rsidR="00E1709E" w:rsidRPr="00021306">
        <w:rPr>
          <w:u w:val="single"/>
        </w:rPr>
        <w:t>North of Tottenham Hale</w:t>
      </w:r>
    </w:p>
    <w:p w:rsidR="00E1709E" w:rsidRDefault="00E1709E" w:rsidP="00021306">
      <w:pPr>
        <w:pStyle w:val="ListParagraph"/>
        <w:spacing w:after="120"/>
        <w:ind w:left="426"/>
        <w:jc w:val="both"/>
      </w:pPr>
      <w:r>
        <w:t>Strategic planning studies by NR suggest that provision should</w:t>
      </w:r>
      <w:r w:rsidR="00021306">
        <w:t xml:space="preserve"> </w:t>
      </w:r>
      <w:r>
        <w:t>be made for the widening of all or part of the line between</w:t>
      </w:r>
      <w:r w:rsidR="00021306">
        <w:t xml:space="preserve"> </w:t>
      </w:r>
      <w:r>
        <w:t xml:space="preserve">Tottenham Hale and </w:t>
      </w:r>
      <w:proofErr w:type="spellStart"/>
      <w:r>
        <w:t>Cheshunt</w:t>
      </w:r>
      <w:proofErr w:type="spellEnd"/>
      <w:r>
        <w:t xml:space="preserve"> to accommodate increasing</w:t>
      </w:r>
      <w:r w:rsidR="00021306">
        <w:t xml:space="preserve"> </w:t>
      </w:r>
      <w:r>
        <w:t>demand for local services on this route. The proposed</w:t>
      </w:r>
      <w:r w:rsidR="00021306">
        <w:t xml:space="preserve"> </w:t>
      </w:r>
      <w:r>
        <w:t>safeguarding direction includes provision to connect into the</w:t>
      </w:r>
      <w:r w:rsidR="00021306">
        <w:t xml:space="preserve"> </w:t>
      </w:r>
      <w:r>
        <w:t>NR lines at Tottenham Hale.</w:t>
      </w:r>
    </w:p>
    <w:p w:rsidR="00E1709E" w:rsidRDefault="006F5208" w:rsidP="006F5208">
      <w:pPr>
        <w:pStyle w:val="ListParagraph"/>
        <w:numPr>
          <w:ilvl w:val="0"/>
          <w:numId w:val="2"/>
        </w:numPr>
        <w:spacing w:after="120"/>
        <w:ind w:left="426" w:hanging="426"/>
        <w:jc w:val="both"/>
      </w:pPr>
      <w:r>
        <w:t>There are 11 b</w:t>
      </w:r>
      <w:r w:rsidR="00021306">
        <w:t xml:space="preserve">oroughs </w:t>
      </w:r>
      <w:r>
        <w:t xml:space="preserve">directly </w:t>
      </w:r>
      <w:r w:rsidR="00021306">
        <w:t>affected by this consultation</w:t>
      </w:r>
      <w:r>
        <w:t xml:space="preserve">; </w:t>
      </w:r>
      <w:r w:rsidR="00E1709E">
        <w:t>Westminster</w:t>
      </w:r>
      <w:r>
        <w:t>, H</w:t>
      </w:r>
      <w:r w:rsidR="00E1709E">
        <w:t>aringey</w:t>
      </w:r>
      <w:r>
        <w:t xml:space="preserve">, </w:t>
      </w:r>
      <w:r w:rsidR="00E1709E">
        <w:t>Islington</w:t>
      </w:r>
      <w:r>
        <w:t xml:space="preserve">, </w:t>
      </w:r>
      <w:r w:rsidR="00E1709E">
        <w:t>Barnet</w:t>
      </w:r>
      <w:r>
        <w:t xml:space="preserve">, </w:t>
      </w:r>
      <w:r w:rsidR="00E1709E">
        <w:t>Merton</w:t>
      </w:r>
      <w:r>
        <w:t xml:space="preserve">, </w:t>
      </w:r>
      <w:r w:rsidR="00E1709E">
        <w:t>Camden</w:t>
      </w:r>
      <w:r>
        <w:t xml:space="preserve">, </w:t>
      </w:r>
      <w:r w:rsidR="00E1709E">
        <w:t>Waltham</w:t>
      </w:r>
      <w:r w:rsidR="00021306">
        <w:t xml:space="preserve"> </w:t>
      </w:r>
      <w:r w:rsidR="00E1709E">
        <w:t>Forest</w:t>
      </w:r>
      <w:r>
        <w:t xml:space="preserve">, </w:t>
      </w:r>
      <w:r w:rsidR="00E1709E">
        <w:t>Hackney</w:t>
      </w:r>
      <w:r>
        <w:t xml:space="preserve">, </w:t>
      </w:r>
      <w:proofErr w:type="spellStart"/>
      <w:r w:rsidR="00E1709E">
        <w:t>Wandsworth</w:t>
      </w:r>
      <w:proofErr w:type="spellEnd"/>
      <w:r>
        <w:t xml:space="preserve">, </w:t>
      </w:r>
      <w:r w:rsidR="00E1709E">
        <w:t>Hammersmith &amp; Fulham</w:t>
      </w:r>
      <w:r>
        <w:t xml:space="preserve"> and </w:t>
      </w:r>
      <w:r w:rsidR="00E1709E">
        <w:t>Kensington</w:t>
      </w:r>
      <w:r w:rsidR="00021306">
        <w:t xml:space="preserve"> </w:t>
      </w:r>
      <w:r>
        <w:t>&amp;</w:t>
      </w:r>
      <w:r w:rsidR="00E1709E">
        <w:t xml:space="preserve"> Chelsea</w:t>
      </w:r>
      <w:r>
        <w:t xml:space="preserve">. </w:t>
      </w:r>
    </w:p>
    <w:p w:rsidR="00021306" w:rsidRPr="00CF253E" w:rsidRDefault="00021306" w:rsidP="0071497B">
      <w:pPr>
        <w:pStyle w:val="ListParagraph"/>
        <w:numPr>
          <w:ilvl w:val="0"/>
          <w:numId w:val="2"/>
        </w:numPr>
        <w:spacing w:after="120"/>
        <w:ind w:left="426" w:hanging="426"/>
        <w:jc w:val="both"/>
      </w:pPr>
      <w:r>
        <w:t xml:space="preserve">More information can be found at </w:t>
      </w:r>
      <w:hyperlink r:id="rId11" w:history="1">
        <w:r w:rsidRPr="0071497B">
          <w:t>https://www.gov.uk/government/consultations/crossrail-2-safeguarding-directions</w:t>
        </w:r>
      </w:hyperlink>
      <w:r>
        <w:t xml:space="preserve"> and a map is included as Appendix II</w:t>
      </w:r>
    </w:p>
    <w:p w:rsidR="006F5208" w:rsidRDefault="006F5208" w:rsidP="0071497B">
      <w:pPr>
        <w:spacing w:after="120"/>
        <w:jc w:val="both"/>
        <w:rPr>
          <w:b/>
        </w:rPr>
      </w:pPr>
    </w:p>
    <w:p w:rsidR="00C94AD1" w:rsidRPr="0071497B" w:rsidRDefault="0071497B" w:rsidP="0071497B">
      <w:pPr>
        <w:spacing w:after="120"/>
        <w:jc w:val="both"/>
        <w:rPr>
          <w:b/>
        </w:rPr>
      </w:pPr>
      <w:r w:rsidRPr="0071497B">
        <w:rPr>
          <w:b/>
        </w:rPr>
        <w:t>ULEZ</w:t>
      </w:r>
    </w:p>
    <w:p w:rsidR="0071497B" w:rsidRDefault="0071497B" w:rsidP="0071497B">
      <w:pPr>
        <w:pStyle w:val="ListParagraph"/>
        <w:numPr>
          <w:ilvl w:val="0"/>
          <w:numId w:val="2"/>
        </w:numPr>
        <w:spacing w:after="60"/>
        <w:ind w:left="426" w:hanging="426"/>
        <w:jc w:val="both"/>
      </w:pPr>
      <w:r>
        <w:t xml:space="preserve">TfL has started </w:t>
      </w:r>
      <w:hyperlink r:id="rId12" w:history="1">
        <w:r w:rsidRPr="0071497B">
          <w:rPr>
            <w:rStyle w:val="Hyperlink"/>
          </w:rPr>
          <w:t>consultation</w:t>
        </w:r>
      </w:hyperlink>
      <w:r>
        <w:t xml:space="preserve"> on ULEZ on 27 October and it closes on 9 January 2015. </w:t>
      </w:r>
    </w:p>
    <w:p w:rsidR="0071497B" w:rsidRDefault="00FD2819" w:rsidP="0071497B">
      <w:pPr>
        <w:pStyle w:val="ListParagraph"/>
        <w:numPr>
          <w:ilvl w:val="0"/>
          <w:numId w:val="2"/>
        </w:numPr>
        <w:spacing w:after="60"/>
        <w:ind w:left="426" w:hanging="426"/>
        <w:jc w:val="both"/>
      </w:pPr>
      <w:r>
        <w:t>Given that the next TEC Executive is on 12 February and the next full TEC on 12 March 2015, w</w:t>
      </w:r>
      <w:r w:rsidR="0071497B">
        <w:t>e will not be able to take our draft response to this consultation to the TEC Committee</w:t>
      </w:r>
      <w:r>
        <w:t>. However, there was an extensive discussion at the meeting on 16 October and the points raised then will be included in our response. We will</w:t>
      </w:r>
      <w:r w:rsidR="0071497B">
        <w:t xml:space="preserve"> ask the chair and vice chairs for </w:t>
      </w:r>
      <w:r w:rsidR="00B81526">
        <w:t xml:space="preserve">any additional comments and </w:t>
      </w:r>
      <w:r w:rsidR="0071497B">
        <w:t xml:space="preserve">sign off </w:t>
      </w:r>
      <w:r w:rsidR="00B81526">
        <w:t xml:space="preserve">in </w:t>
      </w:r>
      <w:r w:rsidR="0071497B">
        <w:t>late December 2014 / early January 2015.</w:t>
      </w:r>
    </w:p>
    <w:p w:rsidR="00B81526" w:rsidRDefault="00B81526" w:rsidP="0071497B">
      <w:pPr>
        <w:pStyle w:val="ListParagraph"/>
        <w:numPr>
          <w:ilvl w:val="0"/>
          <w:numId w:val="2"/>
        </w:numPr>
        <w:spacing w:after="60"/>
        <w:ind w:left="426" w:hanging="426"/>
        <w:jc w:val="both"/>
      </w:pPr>
      <w:r>
        <w:t>The response will be shared with TEC within my Chair’s report in March 2015.</w:t>
      </w:r>
    </w:p>
    <w:p w:rsidR="0071497B" w:rsidRPr="00963F32" w:rsidRDefault="0071497B" w:rsidP="0071497B">
      <w:pPr>
        <w:spacing w:after="120"/>
        <w:jc w:val="both"/>
      </w:pPr>
    </w:p>
    <w:p w:rsidR="00E03633" w:rsidRPr="00726F9A" w:rsidRDefault="00E03633" w:rsidP="00726F9A">
      <w:pPr>
        <w:widowControl w:val="0"/>
        <w:tabs>
          <w:tab w:val="left" w:pos="851"/>
        </w:tabs>
        <w:autoSpaceDE w:val="0"/>
        <w:autoSpaceDN w:val="0"/>
        <w:adjustRightInd w:val="0"/>
        <w:jc w:val="both"/>
        <w:rPr>
          <w:b/>
          <w:u w:val="single"/>
        </w:rPr>
      </w:pPr>
      <w:r w:rsidRPr="00726F9A">
        <w:rPr>
          <w:b/>
          <w:u w:val="single"/>
        </w:rPr>
        <w:t>Environment</w:t>
      </w:r>
    </w:p>
    <w:p w:rsidR="006F5208" w:rsidRDefault="006F5208" w:rsidP="00726F9A">
      <w:pPr>
        <w:pStyle w:val="ColorfulList-Accent11"/>
        <w:ind w:left="0"/>
        <w:jc w:val="both"/>
        <w:rPr>
          <w:b/>
        </w:rPr>
      </w:pPr>
    </w:p>
    <w:p w:rsidR="008C0393" w:rsidRDefault="008C0393" w:rsidP="00A20865">
      <w:pPr>
        <w:pStyle w:val="ColorfulList-Accent11"/>
        <w:spacing w:after="120"/>
        <w:ind w:left="0"/>
        <w:jc w:val="both"/>
        <w:rPr>
          <w:b/>
        </w:rPr>
      </w:pPr>
      <w:r w:rsidRPr="00FE53AB">
        <w:rPr>
          <w:b/>
        </w:rPr>
        <w:t>Air Quality</w:t>
      </w:r>
    </w:p>
    <w:p w:rsidR="004A1BEC" w:rsidRDefault="00DE3AF3" w:rsidP="00DE3AF3">
      <w:pPr>
        <w:pStyle w:val="ListParagraph"/>
        <w:numPr>
          <w:ilvl w:val="0"/>
          <w:numId w:val="2"/>
        </w:numPr>
        <w:spacing w:after="60"/>
        <w:ind w:left="426" w:hanging="426"/>
        <w:jc w:val="both"/>
      </w:pPr>
      <w:r>
        <w:t>London Councils and the</w:t>
      </w:r>
      <w:r w:rsidR="004A1BEC">
        <w:t xml:space="preserve"> City of London </w:t>
      </w:r>
      <w:r w:rsidR="00C97BC4">
        <w:t>hosted</w:t>
      </w:r>
      <w:r w:rsidR="004A1BEC">
        <w:t xml:space="preserve"> a</w:t>
      </w:r>
      <w:r w:rsidR="00C97BC4">
        <w:t>n air quality</w:t>
      </w:r>
      <w:r w:rsidR="004A1BEC">
        <w:t xml:space="preserve"> </w:t>
      </w:r>
      <w:r>
        <w:t xml:space="preserve">breakfast event </w:t>
      </w:r>
      <w:r w:rsidR="004A1BEC">
        <w:t xml:space="preserve">on </w:t>
      </w:r>
      <w:r>
        <w:t>4 November 2014</w:t>
      </w:r>
      <w:r w:rsidR="004A1BEC">
        <w:t>, to discuss the activities being undertaken to improve air quality in London</w:t>
      </w:r>
      <w:r w:rsidR="004A1BEC" w:rsidRPr="00636B97">
        <w:t>.</w:t>
      </w:r>
      <w:r w:rsidR="00C97BC4">
        <w:t xml:space="preserve"> </w:t>
      </w:r>
    </w:p>
    <w:p w:rsidR="00E72DA6" w:rsidRDefault="00C97BC4" w:rsidP="00DE3AF3">
      <w:pPr>
        <w:pStyle w:val="ListParagraph"/>
        <w:numPr>
          <w:ilvl w:val="0"/>
          <w:numId w:val="2"/>
        </w:numPr>
        <w:spacing w:after="60"/>
        <w:ind w:left="426" w:hanging="426"/>
        <w:jc w:val="both"/>
      </w:pPr>
      <w:r>
        <w:t xml:space="preserve">I </w:t>
      </w:r>
      <w:r w:rsidR="00D21E25">
        <w:t>spoke at the event, and raised, amongst others, the following points:</w:t>
      </w:r>
    </w:p>
    <w:p w:rsidR="00E72DA6" w:rsidRPr="00DE3AF3" w:rsidRDefault="00D21E25" w:rsidP="00DE3AF3">
      <w:pPr>
        <w:pStyle w:val="ListParagraph"/>
        <w:numPr>
          <w:ilvl w:val="0"/>
          <w:numId w:val="27"/>
        </w:numPr>
        <w:spacing w:after="60"/>
        <w:jc w:val="both"/>
      </w:pPr>
      <w:r w:rsidRPr="00DE3AF3">
        <w:t>Government should p</w:t>
      </w:r>
      <w:r w:rsidR="00E72DA6" w:rsidRPr="00DE3AF3">
        <w:t>rioritise improving air quality in London and other big cities</w:t>
      </w:r>
    </w:p>
    <w:p w:rsidR="00D21E25" w:rsidRPr="00DE3AF3" w:rsidRDefault="00E72DA6" w:rsidP="00DE3AF3">
      <w:pPr>
        <w:pStyle w:val="ListParagraph"/>
        <w:numPr>
          <w:ilvl w:val="0"/>
          <w:numId w:val="27"/>
        </w:numPr>
        <w:spacing w:after="60"/>
        <w:jc w:val="both"/>
      </w:pPr>
      <w:r w:rsidRPr="00DE3AF3">
        <w:t>W</w:t>
      </w:r>
      <w:r w:rsidR="00D21E25" w:rsidRPr="00DE3AF3">
        <w:t xml:space="preserve">e need </w:t>
      </w:r>
      <w:r w:rsidR="00DE3AF3">
        <w:t xml:space="preserve">to </w:t>
      </w:r>
      <w:r w:rsidR="00D21E25" w:rsidRPr="00DE3AF3">
        <w:t>clarify the role of all stakeholders, including government, in improving air quality</w:t>
      </w:r>
    </w:p>
    <w:p w:rsidR="00E72DA6" w:rsidRPr="00DE3AF3" w:rsidRDefault="00D21E25" w:rsidP="00DE3AF3">
      <w:pPr>
        <w:pStyle w:val="ListParagraph"/>
        <w:numPr>
          <w:ilvl w:val="0"/>
          <w:numId w:val="27"/>
        </w:numPr>
        <w:spacing w:after="60"/>
        <w:jc w:val="both"/>
      </w:pPr>
      <w:r>
        <w:t>Passing on EU fines to local councils or other organisations would be unfair, unreasonable, disproportionate and counter-productive</w:t>
      </w:r>
      <w:r w:rsidR="00E72DA6">
        <w:t xml:space="preserve"> </w:t>
      </w:r>
    </w:p>
    <w:p w:rsidR="00D21E25" w:rsidRPr="00DE3AF3" w:rsidRDefault="00D21E25" w:rsidP="00DE3AF3">
      <w:pPr>
        <w:pStyle w:val="ListParagraph"/>
        <w:numPr>
          <w:ilvl w:val="0"/>
          <w:numId w:val="27"/>
        </w:numPr>
        <w:spacing w:after="60"/>
        <w:jc w:val="both"/>
      </w:pPr>
      <w:r>
        <w:t>Highlighted borough successes through specific examples</w:t>
      </w:r>
    </w:p>
    <w:p w:rsidR="00B25501" w:rsidRPr="00DE3AF3" w:rsidRDefault="00D21E25" w:rsidP="00DE3AF3">
      <w:pPr>
        <w:pStyle w:val="ListParagraph"/>
        <w:numPr>
          <w:ilvl w:val="0"/>
          <w:numId w:val="27"/>
        </w:numPr>
        <w:spacing w:after="60"/>
        <w:jc w:val="both"/>
      </w:pPr>
      <w:r>
        <w:t>Showed cross borough co-operation through examples</w:t>
      </w:r>
    </w:p>
    <w:p w:rsidR="00C97BC4" w:rsidRDefault="00DE3AF3" w:rsidP="00DE3AF3">
      <w:pPr>
        <w:pStyle w:val="ListParagraph"/>
        <w:numPr>
          <w:ilvl w:val="0"/>
          <w:numId w:val="2"/>
        </w:numPr>
        <w:spacing w:after="60"/>
        <w:ind w:left="426" w:hanging="426"/>
        <w:jc w:val="both"/>
      </w:pPr>
      <w:r>
        <w:t xml:space="preserve">There were other interesting presentations, resulting in good discussions. The panel also included </w:t>
      </w:r>
      <w:r w:rsidRPr="00DE3AF3">
        <w:t xml:space="preserve">Dr Gary Fuller, Environment Research Group, King’s College London, Elliot </w:t>
      </w:r>
      <w:proofErr w:type="spellStart"/>
      <w:r w:rsidRPr="00DE3AF3">
        <w:t>Treharne</w:t>
      </w:r>
      <w:proofErr w:type="spellEnd"/>
      <w:r w:rsidRPr="00DE3AF3">
        <w:t xml:space="preserve">, GLA, Dr </w:t>
      </w:r>
      <w:proofErr w:type="spellStart"/>
      <w:r w:rsidRPr="00DE3AF3">
        <w:t>Iarla</w:t>
      </w:r>
      <w:proofErr w:type="spellEnd"/>
      <w:r w:rsidRPr="00DE3AF3">
        <w:t xml:space="preserve"> </w:t>
      </w:r>
      <w:proofErr w:type="spellStart"/>
      <w:r w:rsidRPr="00DE3AF3">
        <w:t>Kilbane-Dawe</w:t>
      </w:r>
      <w:proofErr w:type="spellEnd"/>
      <w:r w:rsidRPr="00DE3AF3">
        <w:t xml:space="preserve">, Par Hill Research, </w:t>
      </w:r>
      <w:r>
        <w:t>and was chaired</w:t>
      </w:r>
      <w:r w:rsidRPr="00DE3AF3">
        <w:t xml:space="preserve"> by John </w:t>
      </w:r>
      <w:proofErr w:type="spellStart"/>
      <w:r w:rsidRPr="00DE3AF3">
        <w:t>Pienaar</w:t>
      </w:r>
      <w:proofErr w:type="spellEnd"/>
      <w:r>
        <w:t>.</w:t>
      </w:r>
    </w:p>
    <w:p w:rsidR="00DE3AF3" w:rsidRDefault="00DE3AF3" w:rsidP="00DE3AF3">
      <w:pPr>
        <w:pStyle w:val="ListParagraph"/>
        <w:numPr>
          <w:ilvl w:val="0"/>
          <w:numId w:val="2"/>
        </w:numPr>
        <w:spacing w:after="60"/>
        <w:ind w:left="426" w:hanging="426"/>
        <w:jc w:val="both"/>
      </w:pPr>
      <w:r>
        <w:t xml:space="preserve">The Guardian‘s Dave Hill has written a </w:t>
      </w:r>
      <w:hyperlink r:id="rId13" w:history="1">
        <w:r w:rsidRPr="00DE3AF3">
          <w:rPr>
            <w:rStyle w:val="Hyperlink"/>
          </w:rPr>
          <w:t>piece</w:t>
        </w:r>
      </w:hyperlink>
      <w:r>
        <w:t xml:space="preserve"> on the event. </w:t>
      </w:r>
    </w:p>
    <w:p w:rsidR="00152351" w:rsidRPr="00D21E25" w:rsidRDefault="00152351" w:rsidP="00152351">
      <w:pPr>
        <w:pStyle w:val="ListParagraph"/>
        <w:numPr>
          <w:ilvl w:val="0"/>
          <w:numId w:val="2"/>
        </w:numPr>
        <w:spacing w:after="60"/>
        <w:ind w:left="426" w:hanging="426"/>
        <w:jc w:val="both"/>
      </w:pPr>
      <w:r>
        <w:t xml:space="preserve">I presented at the national air quality conference organised by air quality news along similar lines on 26 November 2014. </w:t>
      </w:r>
    </w:p>
    <w:p w:rsidR="00D21E25" w:rsidRDefault="00D21E25" w:rsidP="00A20865">
      <w:pPr>
        <w:widowControl w:val="0"/>
        <w:autoSpaceDE w:val="0"/>
        <w:autoSpaceDN w:val="0"/>
        <w:adjustRightInd w:val="0"/>
        <w:spacing w:after="120"/>
        <w:jc w:val="both"/>
        <w:rPr>
          <w:b/>
        </w:rPr>
      </w:pPr>
    </w:p>
    <w:p w:rsidR="00D21E25" w:rsidRDefault="00111D46" w:rsidP="00A20865">
      <w:pPr>
        <w:widowControl w:val="0"/>
        <w:autoSpaceDE w:val="0"/>
        <w:autoSpaceDN w:val="0"/>
        <w:adjustRightInd w:val="0"/>
        <w:spacing w:after="120"/>
        <w:jc w:val="both"/>
        <w:rPr>
          <w:b/>
        </w:rPr>
      </w:pPr>
      <w:r>
        <w:rPr>
          <w:b/>
        </w:rPr>
        <w:t>Flood Management and Thames Regional Flood and Coastal Committee (RFCC)</w:t>
      </w:r>
    </w:p>
    <w:p w:rsidR="006F5208" w:rsidRDefault="00B81526" w:rsidP="00DE3AF3">
      <w:pPr>
        <w:pStyle w:val="ListParagraph"/>
        <w:numPr>
          <w:ilvl w:val="0"/>
          <w:numId w:val="2"/>
        </w:numPr>
        <w:spacing w:after="60"/>
        <w:ind w:left="426" w:hanging="426"/>
        <w:jc w:val="both"/>
      </w:pPr>
      <w:r>
        <w:t>The TEC agenda includes a separate item</w:t>
      </w:r>
      <w:r w:rsidR="006F5208">
        <w:t xml:space="preserve"> on Flood management and the Thames RFCC.</w:t>
      </w:r>
      <w:r>
        <w:t xml:space="preserve"> Here, I wanted to highlight that </w:t>
      </w:r>
      <w:r w:rsidR="006F5208">
        <w:t xml:space="preserve">I met with Amanda </w:t>
      </w:r>
      <w:proofErr w:type="spellStart"/>
      <w:r w:rsidR="006F5208">
        <w:t>Nobbs</w:t>
      </w:r>
      <w:proofErr w:type="spellEnd"/>
      <w:r w:rsidR="006F5208">
        <w:t xml:space="preserve">, Chair of Thames RFCC on </w:t>
      </w:r>
      <w:r w:rsidR="00664801">
        <w:t>13 November 2014. We talked about the current working relationship and how it could be improved in the future. This has resulted in the document included in Appendix III. This will mean that TEC will get an update on flooding issues at its AGM in June each year in addition to the usual levy paper in October or December.</w:t>
      </w:r>
    </w:p>
    <w:p w:rsidR="00664801" w:rsidRDefault="00664801" w:rsidP="00664801">
      <w:pPr>
        <w:spacing w:after="60"/>
        <w:jc w:val="both"/>
      </w:pPr>
    </w:p>
    <w:p w:rsidR="00664801" w:rsidRPr="00664801" w:rsidRDefault="00664801" w:rsidP="00664801">
      <w:pPr>
        <w:spacing w:after="60"/>
        <w:jc w:val="both"/>
        <w:rPr>
          <w:b/>
        </w:rPr>
      </w:pPr>
      <w:r w:rsidRPr="00664801">
        <w:rPr>
          <w:b/>
        </w:rPr>
        <w:t>Energy</w:t>
      </w:r>
    </w:p>
    <w:p w:rsidR="0052583F" w:rsidRDefault="00351E57" w:rsidP="00DE3AF3">
      <w:pPr>
        <w:pStyle w:val="ListParagraph"/>
        <w:numPr>
          <w:ilvl w:val="0"/>
          <w:numId w:val="2"/>
        </w:numPr>
        <w:spacing w:after="60"/>
        <w:ind w:left="426" w:hanging="426"/>
        <w:jc w:val="both"/>
      </w:pPr>
      <w:r>
        <w:t xml:space="preserve">TEC Executive </w:t>
      </w:r>
      <w:r w:rsidR="0052583F">
        <w:t xml:space="preserve">on 13 November </w:t>
      </w:r>
      <w:r>
        <w:t xml:space="preserve">received a </w:t>
      </w:r>
      <w:hyperlink r:id="rId14" w:history="1">
        <w:r w:rsidRPr="00351E57">
          <w:rPr>
            <w:rStyle w:val="Hyperlink"/>
          </w:rPr>
          <w:t>paper</w:t>
        </w:r>
      </w:hyperlink>
      <w:r>
        <w:t xml:space="preserve"> on the new phase of RE</w:t>
      </w:r>
      <w:proofErr w:type="gramStart"/>
      <w:r>
        <w:t>:NEW</w:t>
      </w:r>
      <w:proofErr w:type="gramEnd"/>
      <w:r w:rsidR="0052583F">
        <w:t xml:space="preserve">. </w:t>
      </w:r>
    </w:p>
    <w:p w:rsidR="0052583F" w:rsidRDefault="0052583F" w:rsidP="0052583F">
      <w:pPr>
        <w:pStyle w:val="ListParagraph"/>
        <w:numPr>
          <w:ilvl w:val="0"/>
          <w:numId w:val="2"/>
        </w:numPr>
        <w:spacing w:after="60"/>
        <w:ind w:left="426" w:hanging="426"/>
        <w:jc w:val="both"/>
      </w:pPr>
      <w:r>
        <w:t>On 15 July 2014, RE</w:t>
      </w:r>
      <w:proofErr w:type="gramStart"/>
      <w:r>
        <w:t>:NEW</w:t>
      </w:r>
      <w:proofErr w:type="gramEnd"/>
      <w:r>
        <w:t xml:space="preserve"> was awarded just over £2.5m from the European Investment Bank (EIB) and has appointed Capita Symonds as the new RE:NEW support team until 14 July 2017.    </w:t>
      </w:r>
    </w:p>
    <w:p w:rsidR="0052583F" w:rsidRDefault="0052583F" w:rsidP="0052583F">
      <w:pPr>
        <w:pStyle w:val="ListParagraph"/>
        <w:numPr>
          <w:ilvl w:val="0"/>
          <w:numId w:val="2"/>
        </w:numPr>
        <w:spacing w:after="60"/>
        <w:ind w:left="426" w:hanging="426"/>
        <w:jc w:val="both"/>
      </w:pPr>
      <w:r w:rsidRPr="00FC4089">
        <w:t>The Support Team provide</w:t>
      </w:r>
      <w:r>
        <w:t>s</w:t>
      </w:r>
      <w:r w:rsidRPr="00FC4089">
        <w:t xml:space="preserve"> </w:t>
      </w:r>
      <w:r>
        <w:t xml:space="preserve">free, </w:t>
      </w:r>
      <w:r w:rsidRPr="00FC4089">
        <w:t xml:space="preserve">end-to-end project development support for carbon reducing retrofit projects. The initial focus will be on supporting the social housing sector, however supporting delivery to the private rented sector and owner occupied sector are also within the remit.  </w:t>
      </w:r>
    </w:p>
    <w:p w:rsidR="00152351" w:rsidRDefault="00152351" w:rsidP="0052583F">
      <w:pPr>
        <w:pStyle w:val="ListParagraph"/>
        <w:numPr>
          <w:ilvl w:val="0"/>
          <w:numId w:val="2"/>
        </w:numPr>
        <w:spacing w:after="60"/>
        <w:ind w:left="426" w:hanging="426"/>
        <w:jc w:val="both"/>
      </w:pPr>
      <w:r>
        <w:t>I spoke at the breakfast event on 14 November 2014 organised by the GLA to highlight the issue of fuel poverty, rising energy prices and poorly insulated homes. I also talked about some of the important projects that boroughs are currently undertaking to address retrofitting and fuel poverty more general.</w:t>
      </w:r>
    </w:p>
    <w:p w:rsidR="00152351" w:rsidRDefault="00152351" w:rsidP="00152351">
      <w:pPr>
        <w:spacing w:after="60"/>
        <w:jc w:val="both"/>
      </w:pPr>
    </w:p>
    <w:p w:rsidR="00152351" w:rsidRPr="00152351" w:rsidRDefault="00152351" w:rsidP="00152351">
      <w:pPr>
        <w:spacing w:after="60"/>
        <w:jc w:val="both"/>
        <w:rPr>
          <w:b/>
        </w:rPr>
      </w:pPr>
      <w:r>
        <w:rPr>
          <w:b/>
        </w:rPr>
        <w:t>Green Infrastructure</w:t>
      </w:r>
    </w:p>
    <w:p w:rsidR="00152351" w:rsidRDefault="00152351" w:rsidP="0052583F">
      <w:pPr>
        <w:pStyle w:val="ListParagraph"/>
        <w:numPr>
          <w:ilvl w:val="0"/>
          <w:numId w:val="2"/>
        </w:numPr>
        <w:spacing w:after="60"/>
        <w:ind w:left="426" w:hanging="426"/>
        <w:jc w:val="both"/>
      </w:pPr>
      <w:r>
        <w:t xml:space="preserve"> </w:t>
      </w:r>
      <w:r w:rsidR="0008794C">
        <w:t xml:space="preserve">As part of the London Infrastructure Plan 2050, a Green Infrastructure Task Force </w:t>
      </w:r>
      <w:r w:rsidR="004A74D5">
        <w:t>ha</w:t>
      </w:r>
      <w:r w:rsidR="0008794C">
        <w:t xml:space="preserve">s </w:t>
      </w:r>
      <w:r w:rsidR="004A74D5">
        <w:t>been</w:t>
      </w:r>
      <w:r w:rsidR="0008794C">
        <w:t xml:space="preserve"> set up. </w:t>
      </w:r>
      <w:r w:rsidR="004A74D5">
        <w:t>I will be the London Councils representative.</w:t>
      </w:r>
    </w:p>
    <w:p w:rsidR="004A74D5" w:rsidRDefault="004A74D5" w:rsidP="0052583F">
      <w:pPr>
        <w:pStyle w:val="ListParagraph"/>
        <w:numPr>
          <w:ilvl w:val="0"/>
          <w:numId w:val="2"/>
        </w:numPr>
        <w:spacing w:after="60"/>
        <w:ind w:left="426" w:hanging="426"/>
        <w:jc w:val="both"/>
      </w:pPr>
      <w:r>
        <w:t xml:space="preserve">The purpose of the Green Infrastructure Task Force is to </w:t>
      </w:r>
      <w:r w:rsidR="00D225A6">
        <w:t>bring together a wide range of interests and expertise to identify how the sector can take a more strategic and long-term approach to investment.</w:t>
      </w:r>
    </w:p>
    <w:p w:rsidR="00D225A6" w:rsidRDefault="00D225A6" w:rsidP="0052583F">
      <w:pPr>
        <w:pStyle w:val="ListParagraph"/>
        <w:numPr>
          <w:ilvl w:val="0"/>
          <w:numId w:val="2"/>
        </w:numPr>
        <w:spacing w:after="60"/>
        <w:ind w:left="426" w:hanging="426"/>
        <w:jc w:val="both"/>
      </w:pPr>
      <w:r>
        <w:t>This is to the background of ever decreasing local government finances, which are about to hit parks and open spaces in the not too distant future, if they haven’t done so already.</w:t>
      </w:r>
    </w:p>
    <w:p w:rsidR="00D225A6" w:rsidRDefault="00D225A6" w:rsidP="0052583F">
      <w:pPr>
        <w:pStyle w:val="ListParagraph"/>
        <w:numPr>
          <w:ilvl w:val="0"/>
          <w:numId w:val="2"/>
        </w:numPr>
        <w:spacing w:after="60"/>
        <w:ind w:left="426" w:hanging="426"/>
        <w:jc w:val="both"/>
      </w:pPr>
      <w:r>
        <w:t>It is planned that the Task Force will look at the following broad themes;</w:t>
      </w:r>
    </w:p>
    <w:p w:rsidR="00D225A6" w:rsidRDefault="00D225A6" w:rsidP="00D225A6">
      <w:pPr>
        <w:pStyle w:val="ListParagraph"/>
        <w:numPr>
          <w:ilvl w:val="1"/>
          <w:numId w:val="2"/>
        </w:numPr>
        <w:spacing w:after="60"/>
        <w:ind w:left="1134" w:hanging="425"/>
        <w:jc w:val="both"/>
      </w:pPr>
      <w:r>
        <w:t>Functions of Green Infrastructure (including for example sustainable drainage, leisure and sports)</w:t>
      </w:r>
    </w:p>
    <w:p w:rsidR="00D225A6" w:rsidRDefault="00D225A6" w:rsidP="00D225A6">
      <w:pPr>
        <w:pStyle w:val="ListParagraph"/>
        <w:numPr>
          <w:ilvl w:val="1"/>
          <w:numId w:val="2"/>
        </w:numPr>
        <w:spacing w:after="60"/>
        <w:ind w:left="1134" w:hanging="425"/>
        <w:jc w:val="both"/>
      </w:pPr>
      <w:r>
        <w:t>Accounting for Green Infrastructure</w:t>
      </w:r>
      <w:r w:rsidR="00726F9A">
        <w:t xml:space="preserve"> </w:t>
      </w:r>
    </w:p>
    <w:p w:rsidR="00D225A6" w:rsidRDefault="00D225A6" w:rsidP="00D225A6">
      <w:pPr>
        <w:pStyle w:val="ListParagraph"/>
        <w:numPr>
          <w:ilvl w:val="1"/>
          <w:numId w:val="2"/>
        </w:numPr>
        <w:spacing w:after="60"/>
        <w:ind w:left="1134" w:hanging="425"/>
        <w:jc w:val="both"/>
      </w:pPr>
      <w:r>
        <w:t>Governance for Green Infrastructure</w:t>
      </w:r>
      <w:r w:rsidR="00726F9A">
        <w:t xml:space="preserve"> (looking at UK and international experience)</w:t>
      </w:r>
    </w:p>
    <w:p w:rsidR="00726F9A" w:rsidRDefault="00726F9A" w:rsidP="00D225A6">
      <w:pPr>
        <w:pStyle w:val="ListParagraph"/>
        <w:numPr>
          <w:ilvl w:val="1"/>
          <w:numId w:val="2"/>
        </w:numPr>
        <w:spacing w:after="60"/>
        <w:ind w:left="1134" w:hanging="425"/>
        <w:jc w:val="both"/>
      </w:pPr>
      <w:r>
        <w:t>Rethinking parks (innovation) and funding models</w:t>
      </w:r>
    </w:p>
    <w:p w:rsidR="00351E57" w:rsidRDefault="00351E57" w:rsidP="00A20865">
      <w:pPr>
        <w:spacing w:after="120"/>
        <w:jc w:val="both"/>
        <w:rPr>
          <w:rFonts w:cs="Arial"/>
          <w:b/>
          <w:sz w:val="28"/>
          <w:szCs w:val="28"/>
          <w:u w:val="single"/>
        </w:rPr>
      </w:pPr>
    </w:p>
    <w:p w:rsidR="00726F9A" w:rsidRPr="00726F9A" w:rsidRDefault="00726F9A" w:rsidP="00A20865">
      <w:pPr>
        <w:spacing w:after="120"/>
        <w:jc w:val="both"/>
        <w:rPr>
          <w:rFonts w:cs="Arial"/>
          <w:b/>
        </w:rPr>
      </w:pPr>
      <w:r w:rsidRPr="00726F9A">
        <w:rPr>
          <w:rFonts w:cs="Arial"/>
          <w:b/>
        </w:rPr>
        <w:t>LWARB</w:t>
      </w:r>
    </w:p>
    <w:p w:rsidR="00726F9A" w:rsidRPr="00726F9A" w:rsidRDefault="00726F9A" w:rsidP="00726F9A">
      <w:pPr>
        <w:pStyle w:val="ListParagraph"/>
        <w:numPr>
          <w:ilvl w:val="0"/>
          <w:numId w:val="2"/>
        </w:numPr>
        <w:spacing w:after="60"/>
        <w:ind w:left="426" w:hanging="426"/>
        <w:jc w:val="both"/>
        <w:rPr>
          <w:rFonts w:cs="Arial"/>
        </w:rPr>
      </w:pPr>
      <w:r>
        <w:rPr>
          <w:rFonts w:cs="Arial"/>
        </w:rPr>
        <w:t xml:space="preserve">LWARB and WRAP are looking to form a partnership in London to help London local authorities to deliver the Mayor’s 50 per cent household waste recycling target. </w:t>
      </w:r>
      <w:r w:rsidRPr="00D96876">
        <w:rPr>
          <w:rFonts w:cs="Arial"/>
        </w:rPr>
        <w:t>The work of the partnership will be focussed on:</w:t>
      </w:r>
    </w:p>
    <w:p w:rsidR="00726F9A" w:rsidRPr="00D96876" w:rsidRDefault="00726F9A" w:rsidP="00D96876">
      <w:pPr>
        <w:pStyle w:val="ListParagraph"/>
        <w:numPr>
          <w:ilvl w:val="0"/>
          <w:numId w:val="27"/>
        </w:numPr>
        <w:spacing w:after="60"/>
        <w:jc w:val="both"/>
      </w:pPr>
      <w:r w:rsidRPr="00D96876">
        <w:t>delivering  consistent and efficient waste</w:t>
      </w:r>
      <w:r w:rsidR="00D96876" w:rsidRPr="00D96876">
        <w:t xml:space="preserve"> management services throughout </w:t>
      </w:r>
      <w:r w:rsidRPr="00D96876">
        <w:t>London;</w:t>
      </w:r>
    </w:p>
    <w:p w:rsidR="00726F9A" w:rsidRPr="00D96876" w:rsidRDefault="00726F9A" w:rsidP="00D96876">
      <w:pPr>
        <w:pStyle w:val="ListParagraph"/>
        <w:numPr>
          <w:ilvl w:val="0"/>
          <w:numId w:val="27"/>
        </w:numPr>
        <w:spacing w:after="60"/>
        <w:jc w:val="both"/>
      </w:pPr>
      <w:r w:rsidRPr="00D96876">
        <w:t>increasing the recycling performance of London boroughs;</w:t>
      </w:r>
    </w:p>
    <w:p w:rsidR="00726F9A" w:rsidRPr="00D96876" w:rsidRDefault="00726F9A" w:rsidP="00D96876">
      <w:pPr>
        <w:pStyle w:val="ListParagraph"/>
        <w:numPr>
          <w:ilvl w:val="0"/>
          <w:numId w:val="27"/>
        </w:numPr>
        <w:spacing w:after="60"/>
        <w:jc w:val="both"/>
      </w:pPr>
      <w:r w:rsidRPr="00D96876">
        <w:t>ensuring boroughs can recover high quality recycling and maximise the income generated from that material;</w:t>
      </w:r>
    </w:p>
    <w:p w:rsidR="00726F9A" w:rsidRPr="00D96876" w:rsidRDefault="00726F9A" w:rsidP="00D96876">
      <w:pPr>
        <w:pStyle w:val="ListParagraph"/>
        <w:numPr>
          <w:ilvl w:val="0"/>
          <w:numId w:val="27"/>
        </w:numPr>
        <w:spacing w:after="60"/>
        <w:jc w:val="both"/>
      </w:pPr>
      <w:r w:rsidRPr="00D96876">
        <w:t>helping boroughs realise and generate more value from their waste management services; and,</w:t>
      </w:r>
    </w:p>
    <w:p w:rsidR="00726F9A" w:rsidRPr="00D96876" w:rsidRDefault="00726F9A" w:rsidP="00D96876">
      <w:pPr>
        <w:pStyle w:val="ListParagraph"/>
        <w:numPr>
          <w:ilvl w:val="0"/>
          <w:numId w:val="27"/>
        </w:numPr>
        <w:spacing w:after="60"/>
        <w:jc w:val="both"/>
      </w:pPr>
      <w:proofErr w:type="gramStart"/>
      <w:r w:rsidRPr="00D96876">
        <w:t>the</w:t>
      </w:r>
      <w:proofErr w:type="gramEnd"/>
      <w:r w:rsidRPr="00D96876">
        <w:t xml:space="preserve"> promotion and encouragement of waste prevention and re-use.</w:t>
      </w:r>
    </w:p>
    <w:p w:rsidR="00D96876" w:rsidRPr="00D96876" w:rsidRDefault="00D96876" w:rsidP="00D96876">
      <w:pPr>
        <w:pStyle w:val="ListParagraph"/>
        <w:numPr>
          <w:ilvl w:val="0"/>
          <w:numId w:val="2"/>
        </w:numPr>
        <w:spacing w:after="60"/>
        <w:ind w:left="426" w:hanging="426"/>
        <w:jc w:val="both"/>
        <w:rPr>
          <w:rFonts w:cs="Arial"/>
        </w:rPr>
      </w:pPr>
      <w:r w:rsidRPr="00D96876">
        <w:rPr>
          <w:rFonts w:cs="Arial"/>
        </w:rPr>
        <w:t>LWARB has also recently announced its new investment framework for 2015-2020. Compared to previous calls, the new infrastructure fund offers a wider variety of investment opportunities suitable for projects at different development stages. Options include:</w:t>
      </w:r>
    </w:p>
    <w:p w:rsidR="00D96876" w:rsidRPr="00D96876" w:rsidRDefault="00D96876" w:rsidP="00D96876">
      <w:pPr>
        <w:pStyle w:val="ListParagraph"/>
        <w:numPr>
          <w:ilvl w:val="0"/>
          <w:numId w:val="27"/>
        </w:numPr>
        <w:spacing w:after="60"/>
        <w:jc w:val="both"/>
      </w:pPr>
      <w:r w:rsidRPr="00D96876">
        <w:t>A £6 million capital fund for new infrastructure projects in or around London;</w:t>
      </w:r>
    </w:p>
    <w:p w:rsidR="00D96876" w:rsidRPr="00D96876" w:rsidRDefault="00D96876" w:rsidP="00D96876">
      <w:pPr>
        <w:pStyle w:val="ListParagraph"/>
        <w:numPr>
          <w:ilvl w:val="0"/>
          <w:numId w:val="27"/>
        </w:numPr>
        <w:spacing w:after="60"/>
        <w:jc w:val="both"/>
      </w:pPr>
      <w:r w:rsidRPr="00D96876">
        <w:t>A £5 million corporate loan fund for existing waste companies in London seeking to expand or upgrade their equipment;</w:t>
      </w:r>
    </w:p>
    <w:p w:rsidR="00D96876" w:rsidRPr="00D96876" w:rsidRDefault="00D96876" w:rsidP="00D96876">
      <w:pPr>
        <w:pStyle w:val="ListParagraph"/>
        <w:numPr>
          <w:ilvl w:val="0"/>
          <w:numId w:val="27"/>
        </w:numPr>
        <w:spacing w:after="60"/>
        <w:jc w:val="both"/>
      </w:pPr>
      <w:r w:rsidRPr="00D96876">
        <w:t>A £1 million development loan fund to support prospective projects in their earlier stages;</w:t>
      </w:r>
    </w:p>
    <w:p w:rsidR="00D96876" w:rsidRPr="00D96876" w:rsidRDefault="00D96876" w:rsidP="00D96876">
      <w:pPr>
        <w:pStyle w:val="ListParagraph"/>
        <w:numPr>
          <w:ilvl w:val="0"/>
          <w:numId w:val="27"/>
        </w:numPr>
        <w:spacing w:after="60"/>
        <w:jc w:val="both"/>
      </w:pPr>
      <w:r w:rsidRPr="00D96876">
        <w:t>A new £1 million venture capital fund will be launched next year; and LWARB will also explore opportunities for a further £7 million investment in a new equity fund.</w:t>
      </w:r>
    </w:p>
    <w:p w:rsidR="00726F9A" w:rsidRDefault="00726F9A" w:rsidP="00A20865">
      <w:pPr>
        <w:spacing w:after="120"/>
        <w:jc w:val="both"/>
        <w:rPr>
          <w:rFonts w:cs="Arial"/>
        </w:rPr>
      </w:pPr>
    </w:p>
    <w:p w:rsidR="00D96876" w:rsidRDefault="00D96876" w:rsidP="00A20865">
      <w:pPr>
        <w:spacing w:after="120"/>
        <w:jc w:val="both"/>
        <w:rPr>
          <w:rFonts w:cs="Arial"/>
        </w:rPr>
      </w:pPr>
    </w:p>
    <w:p w:rsidR="00726F9A" w:rsidRPr="00726F9A" w:rsidRDefault="00726F9A" w:rsidP="00A20865">
      <w:pPr>
        <w:spacing w:after="120"/>
        <w:jc w:val="both"/>
        <w:rPr>
          <w:rFonts w:cs="Arial"/>
        </w:rPr>
      </w:pPr>
    </w:p>
    <w:p w:rsidR="00CE2B7C" w:rsidRPr="00726F9A" w:rsidRDefault="00D167D5" w:rsidP="00A20865">
      <w:pPr>
        <w:spacing w:after="120"/>
        <w:jc w:val="both"/>
        <w:rPr>
          <w:rFonts w:cs="Arial"/>
          <w:b/>
          <w:u w:val="single"/>
        </w:rPr>
      </w:pPr>
      <w:r w:rsidRPr="00726F9A">
        <w:rPr>
          <w:rFonts w:cs="Arial"/>
          <w:b/>
          <w:u w:val="single"/>
        </w:rPr>
        <w:t>Forward Look</w:t>
      </w:r>
    </w:p>
    <w:p w:rsidR="00726F9A" w:rsidRDefault="00726F9A" w:rsidP="00A20865">
      <w:pPr>
        <w:spacing w:after="60"/>
        <w:jc w:val="both"/>
        <w:rPr>
          <w:b/>
        </w:rPr>
      </w:pPr>
    </w:p>
    <w:p w:rsidR="007569F7" w:rsidRDefault="00DC239F" w:rsidP="00A20865">
      <w:pPr>
        <w:spacing w:after="60"/>
        <w:jc w:val="both"/>
        <w:rPr>
          <w:b/>
        </w:rPr>
      </w:pPr>
      <w:r>
        <w:rPr>
          <w:b/>
        </w:rPr>
        <w:t>December</w:t>
      </w:r>
      <w:r w:rsidR="007569F7">
        <w:rPr>
          <w:b/>
        </w:rPr>
        <w:t xml:space="preserve"> 2014</w:t>
      </w:r>
    </w:p>
    <w:p w:rsidR="00813130" w:rsidRDefault="00813130" w:rsidP="008257D9">
      <w:pPr>
        <w:spacing w:after="60"/>
        <w:jc w:val="both"/>
      </w:pPr>
      <w:r>
        <w:t>04 - TEC / TfL Com</w:t>
      </w:r>
      <w:r w:rsidR="008257D9">
        <w:t xml:space="preserve">missioner meeting. </w:t>
      </w:r>
    </w:p>
    <w:p w:rsidR="00DC239F" w:rsidRPr="00DC239F" w:rsidRDefault="000A6CEB" w:rsidP="008257D9">
      <w:pPr>
        <w:spacing w:after="60"/>
        <w:jc w:val="both"/>
      </w:pPr>
      <w:r>
        <w:t>London Councils offices close from 4pm 24/12/2014 until 02/01/2015.</w:t>
      </w:r>
    </w:p>
    <w:p w:rsidR="008257D9" w:rsidRDefault="008257D9" w:rsidP="00A20865">
      <w:pPr>
        <w:spacing w:after="60"/>
        <w:jc w:val="both"/>
        <w:rPr>
          <w:b/>
        </w:rPr>
      </w:pPr>
    </w:p>
    <w:p w:rsidR="00E778B8" w:rsidRPr="00E778B8" w:rsidRDefault="00DC239F" w:rsidP="00A20865">
      <w:pPr>
        <w:spacing w:after="60"/>
        <w:jc w:val="both"/>
        <w:rPr>
          <w:b/>
        </w:rPr>
      </w:pPr>
      <w:r>
        <w:rPr>
          <w:b/>
        </w:rPr>
        <w:t>January</w:t>
      </w:r>
      <w:r w:rsidR="00E778B8" w:rsidRPr="00E778B8">
        <w:rPr>
          <w:b/>
        </w:rPr>
        <w:t xml:space="preserve"> 201</w:t>
      </w:r>
      <w:r>
        <w:rPr>
          <w:b/>
        </w:rPr>
        <w:t>5</w:t>
      </w:r>
    </w:p>
    <w:p w:rsidR="00DC239F" w:rsidRDefault="00DC239F" w:rsidP="008257D9">
      <w:pPr>
        <w:spacing w:after="60"/>
        <w:jc w:val="both"/>
      </w:pPr>
      <w:r>
        <w:t xml:space="preserve">09 - </w:t>
      </w:r>
      <w:hyperlink r:id="rId15" w:history="1">
        <w:r w:rsidRPr="00DC239F">
          <w:rPr>
            <w:rStyle w:val="Hyperlink"/>
          </w:rPr>
          <w:t>ULEZ Consultation</w:t>
        </w:r>
      </w:hyperlink>
      <w:r>
        <w:t xml:space="preserve"> </w:t>
      </w:r>
      <w:proofErr w:type="gramStart"/>
      <w:r w:rsidR="0071497B">
        <w:t>closes,</w:t>
      </w:r>
      <w:proofErr w:type="gramEnd"/>
      <w:r w:rsidR="0071497B">
        <w:t xml:space="preserve"> London Councils will submit a response.</w:t>
      </w:r>
    </w:p>
    <w:p w:rsidR="00DC239F" w:rsidRDefault="00DC239F" w:rsidP="008257D9">
      <w:pPr>
        <w:spacing w:after="60"/>
        <w:jc w:val="both"/>
      </w:pPr>
      <w:r>
        <w:t>21 – Thames RFCC meeting with levy decision</w:t>
      </w:r>
    </w:p>
    <w:p w:rsidR="008257D9" w:rsidRDefault="008257D9" w:rsidP="00A20865">
      <w:pPr>
        <w:spacing w:after="60"/>
        <w:jc w:val="both"/>
        <w:rPr>
          <w:b/>
        </w:rPr>
      </w:pPr>
    </w:p>
    <w:p w:rsidR="00CB21B9" w:rsidRPr="00E778B8" w:rsidRDefault="00DC239F" w:rsidP="00A20865">
      <w:pPr>
        <w:spacing w:after="60"/>
        <w:jc w:val="both"/>
        <w:rPr>
          <w:b/>
        </w:rPr>
      </w:pPr>
      <w:r>
        <w:rPr>
          <w:b/>
        </w:rPr>
        <w:t>February</w:t>
      </w:r>
      <w:r w:rsidR="00CB21B9" w:rsidRPr="00E778B8">
        <w:rPr>
          <w:b/>
        </w:rPr>
        <w:t xml:space="preserve"> 201</w:t>
      </w:r>
      <w:r>
        <w:rPr>
          <w:b/>
        </w:rPr>
        <w:t>5</w:t>
      </w:r>
    </w:p>
    <w:p w:rsidR="00DC239F" w:rsidRPr="008257D9" w:rsidRDefault="00DC239F" w:rsidP="008257D9">
      <w:pPr>
        <w:spacing w:after="60"/>
        <w:jc w:val="both"/>
        <w:rPr>
          <w:rFonts w:cs="Arial"/>
        </w:rPr>
      </w:pPr>
      <w:r w:rsidRPr="008257D9">
        <w:rPr>
          <w:rFonts w:cs="Arial"/>
        </w:rPr>
        <w:t>12 – TEC Exec</w:t>
      </w:r>
    </w:p>
    <w:p w:rsidR="00E778B8" w:rsidRPr="008257D9" w:rsidRDefault="00DC239F" w:rsidP="008257D9">
      <w:pPr>
        <w:spacing w:after="60"/>
        <w:jc w:val="both"/>
        <w:rPr>
          <w:rFonts w:cs="Arial"/>
        </w:rPr>
      </w:pPr>
      <w:r w:rsidRPr="008257D9">
        <w:rPr>
          <w:rFonts w:cs="Arial"/>
        </w:rPr>
        <w:t>19</w:t>
      </w:r>
      <w:r w:rsidR="00CB21B9" w:rsidRPr="008257D9">
        <w:rPr>
          <w:rFonts w:cs="Arial"/>
        </w:rPr>
        <w:t xml:space="preserve"> </w:t>
      </w:r>
      <w:r w:rsidR="00C94AD1" w:rsidRPr="008257D9">
        <w:rPr>
          <w:rFonts w:cs="Arial"/>
        </w:rPr>
        <w:t>–</w:t>
      </w:r>
      <w:r w:rsidR="005F42DC" w:rsidRPr="008257D9">
        <w:rPr>
          <w:rFonts w:cs="Arial"/>
        </w:rPr>
        <w:t xml:space="preserve"> </w:t>
      </w:r>
      <w:r w:rsidR="00C94AD1" w:rsidRPr="008257D9">
        <w:rPr>
          <w:rFonts w:cs="Arial"/>
        </w:rPr>
        <w:t>TEC / TfL Commissioner Meeting</w:t>
      </w:r>
    </w:p>
    <w:p w:rsidR="008257D9" w:rsidRDefault="008257D9" w:rsidP="00DC239F">
      <w:pPr>
        <w:spacing w:after="60"/>
        <w:jc w:val="both"/>
        <w:rPr>
          <w:rFonts w:cs="Arial"/>
          <w:b/>
        </w:rPr>
      </w:pPr>
    </w:p>
    <w:p w:rsidR="00DC239F" w:rsidRPr="00DC239F" w:rsidRDefault="00DC239F" w:rsidP="00DC239F">
      <w:pPr>
        <w:spacing w:after="60"/>
        <w:jc w:val="both"/>
        <w:rPr>
          <w:rFonts w:cs="Arial"/>
          <w:b/>
        </w:rPr>
      </w:pPr>
      <w:r w:rsidRPr="00DC239F">
        <w:rPr>
          <w:rFonts w:cs="Arial"/>
          <w:b/>
        </w:rPr>
        <w:t>March 2015</w:t>
      </w:r>
    </w:p>
    <w:p w:rsidR="00DC239F" w:rsidRPr="008257D9" w:rsidRDefault="00DC239F" w:rsidP="008257D9">
      <w:pPr>
        <w:spacing w:after="60"/>
        <w:jc w:val="both"/>
        <w:rPr>
          <w:rFonts w:cs="Arial"/>
        </w:rPr>
      </w:pPr>
      <w:r w:rsidRPr="008257D9">
        <w:rPr>
          <w:rFonts w:cs="Arial"/>
        </w:rPr>
        <w:t xml:space="preserve">12 – TEC Main to include presentations from Matthew </w:t>
      </w:r>
      <w:proofErr w:type="spellStart"/>
      <w:r w:rsidRPr="008257D9">
        <w:rPr>
          <w:rFonts w:cs="Arial"/>
        </w:rPr>
        <w:t>Pencharz</w:t>
      </w:r>
      <w:proofErr w:type="spellEnd"/>
      <w:r w:rsidRPr="008257D9">
        <w:rPr>
          <w:rFonts w:cs="Arial"/>
        </w:rPr>
        <w:t>, Mayoral advisor for the Environment and LWARB representative</w:t>
      </w:r>
    </w:p>
    <w:p w:rsidR="000A6CEB" w:rsidRDefault="000A6CEB" w:rsidP="000A6CEB">
      <w:pPr>
        <w:spacing w:after="60"/>
        <w:jc w:val="both"/>
        <w:rPr>
          <w:rFonts w:cs="Arial"/>
        </w:rPr>
      </w:pPr>
    </w:p>
    <w:p w:rsidR="000A6CEB" w:rsidRDefault="000A6CEB" w:rsidP="000A6CEB">
      <w:pPr>
        <w:spacing w:after="60"/>
        <w:jc w:val="both"/>
        <w:rPr>
          <w:rFonts w:cs="Arial"/>
        </w:rPr>
      </w:pPr>
    </w:p>
    <w:p w:rsidR="000A6CEB" w:rsidRDefault="000A6CEB" w:rsidP="000A6CEB">
      <w:pPr>
        <w:spacing w:after="60"/>
        <w:jc w:val="both"/>
        <w:rPr>
          <w:rFonts w:cs="Arial"/>
        </w:rPr>
      </w:pPr>
    </w:p>
    <w:p w:rsidR="00612841" w:rsidRDefault="00612841" w:rsidP="000A6CEB">
      <w:pPr>
        <w:spacing w:after="60"/>
        <w:jc w:val="both"/>
        <w:rPr>
          <w:rFonts w:cs="Arial"/>
        </w:rPr>
      </w:pPr>
    </w:p>
    <w:p w:rsidR="00453750" w:rsidRDefault="00453750">
      <w:pPr>
        <w:rPr>
          <w:rFonts w:cs="Arial"/>
        </w:rPr>
      </w:pPr>
      <w:r>
        <w:rPr>
          <w:rFonts w:cs="Arial"/>
        </w:rPr>
        <w:br w:type="page"/>
      </w:r>
    </w:p>
    <w:p w:rsidR="0008794C" w:rsidRDefault="0008794C">
      <w:pPr>
        <w:rPr>
          <w:rFonts w:cs="Arial"/>
        </w:rPr>
      </w:pPr>
      <w:r>
        <w:rPr>
          <w:rFonts w:cs="Arial"/>
        </w:rPr>
        <w:br w:type="page"/>
      </w:r>
    </w:p>
    <w:p w:rsidR="0008794C" w:rsidRDefault="0008794C">
      <w:pPr>
        <w:rPr>
          <w:rFonts w:cs="Arial"/>
        </w:rPr>
      </w:pPr>
      <w:r>
        <w:rPr>
          <w:rFonts w:cs="Arial"/>
        </w:rPr>
        <w:br w:type="page"/>
      </w:r>
    </w:p>
    <w:sectPr w:rsidR="0008794C" w:rsidSect="001E4156">
      <w:footerReference w:type="default" r:id="rId16"/>
      <w:pgSz w:w="11907" w:h="16840" w:code="9"/>
      <w:pgMar w:top="1560" w:right="1440" w:bottom="720" w:left="1440"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CD" w:rsidRDefault="00A628CD">
      <w:r>
        <w:separator/>
      </w:r>
    </w:p>
  </w:endnote>
  <w:endnote w:type="continuationSeparator" w:id="0">
    <w:p w:rsidR="00A628CD" w:rsidRDefault="00A6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D" w:rsidRDefault="00A628CD" w:rsidP="001E4156">
    <w:pPr>
      <w:pStyle w:val="Footer"/>
      <w:ind w:left="-993" w:right="-710"/>
      <w:rPr>
        <w:b/>
        <w:sz w:val="16"/>
        <w:szCs w:val="16"/>
      </w:rPr>
    </w:pPr>
    <w:r>
      <w:rPr>
        <w:b/>
        <w:sz w:val="16"/>
        <w:szCs w:val="16"/>
      </w:rPr>
      <w:t>Chair’s Report</w:t>
    </w:r>
    <w:r>
      <w:rPr>
        <w:b/>
        <w:sz w:val="16"/>
        <w:szCs w:val="16"/>
      </w:rPr>
      <w:tab/>
      <w:t xml:space="preserve">                                                                                                                                             </w:t>
    </w:r>
    <w:r w:rsidRPr="0015192F">
      <w:rPr>
        <w:b/>
        <w:sz w:val="16"/>
        <w:szCs w:val="16"/>
      </w:rPr>
      <w:t>London Councils</w:t>
    </w:r>
    <w:r w:rsidR="00124CD4">
      <w:rPr>
        <w:b/>
        <w:sz w:val="16"/>
        <w:szCs w:val="16"/>
      </w:rPr>
      <w:t xml:space="preserve">’ TEC – </w:t>
    </w:r>
    <w:r w:rsidR="00A878F2">
      <w:rPr>
        <w:b/>
        <w:sz w:val="16"/>
        <w:szCs w:val="16"/>
      </w:rPr>
      <w:t>11 December</w:t>
    </w:r>
    <w:r w:rsidR="00124CD4">
      <w:rPr>
        <w:b/>
        <w:sz w:val="16"/>
        <w:szCs w:val="16"/>
      </w:rPr>
      <w:t xml:space="preserve"> </w:t>
    </w:r>
    <w:r>
      <w:rPr>
        <w:b/>
        <w:sz w:val="16"/>
        <w:szCs w:val="16"/>
      </w:rPr>
      <w:t>2014</w:t>
    </w:r>
  </w:p>
  <w:p w:rsidR="00A628CD" w:rsidRPr="0015192F" w:rsidRDefault="00963F32" w:rsidP="001E4156">
    <w:pPr>
      <w:pStyle w:val="Footer"/>
      <w:ind w:left="-993" w:right="-710"/>
      <w:jc w:val="center"/>
      <w:rPr>
        <w:b/>
        <w:sz w:val="16"/>
        <w:szCs w:val="16"/>
      </w:rPr>
    </w:pPr>
    <w:r>
      <w:rPr>
        <w:b/>
        <w:sz w:val="16"/>
        <w:szCs w:val="16"/>
      </w:rPr>
      <w:t xml:space="preserve">Agenda Item </w:t>
    </w:r>
    <w:r w:rsidR="0078486A">
      <w:rPr>
        <w:b/>
        <w:sz w:val="16"/>
        <w:szCs w:val="16"/>
      </w:rPr>
      <w:t>5</w:t>
    </w:r>
    <w:r w:rsidR="00A628CD">
      <w:rPr>
        <w:b/>
        <w:sz w:val="16"/>
        <w:szCs w:val="16"/>
      </w:rPr>
      <w:t xml:space="preserve">, Page </w:t>
    </w:r>
    <w:r w:rsidR="00A628CD" w:rsidRPr="0015192F">
      <w:rPr>
        <w:rStyle w:val="PageNumber"/>
        <w:b/>
        <w:sz w:val="16"/>
        <w:szCs w:val="16"/>
      </w:rPr>
      <w:fldChar w:fldCharType="begin"/>
    </w:r>
    <w:r w:rsidR="00A628CD" w:rsidRPr="0015192F">
      <w:rPr>
        <w:rStyle w:val="PageNumber"/>
        <w:b/>
        <w:sz w:val="16"/>
        <w:szCs w:val="16"/>
      </w:rPr>
      <w:instrText xml:space="preserve"> PAGE </w:instrText>
    </w:r>
    <w:r w:rsidR="00A628CD" w:rsidRPr="0015192F">
      <w:rPr>
        <w:rStyle w:val="PageNumber"/>
        <w:b/>
        <w:sz w:val="16"/>
        <w:szCs w:val="16"/>
      </w:rPr>
      <w:fldChar w:fldCharType="separate"/>
    </w:r>
    <w:r w:rsidR="0078486A">
      <w:rPr>
        <w:rStyle w:val="PageNumber"/>
        <w:b/>
        <w:noProof/>
        <w:sz w:val="16"/>
        <w:szCs w:val="16"/>
      </w:rPr>
      <w:t>1</w:t>
    </w:r>
    <w:r w:rsidR="00A628CD" w:rsidRPr="0015192F">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CD" w:rsidRDefault="00A628CD">
      <w:r>
        <w:separator/>
      </w:r>
    </w:p>
  </w:footnote>
  <w:footnote w:type="continuationSeparator" w:id="0">
    <w:p w:rsidR="00A628CD" w:rsidRDefault="00A6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C7D3C3B"/>
    <w:multiLevelType w:val="hybridMultilevel"/>
    <w:tmpl w:val="6F882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485B65"/>
    <w:multiLevelType w:val="hybridMultilevel"/>
    <w:tmpl w:val="D812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63F52"/>
    <w:multiLevelType w:val="hybridMultilevel"/>
    <w:tmpl w:val="B7F84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E19E1"/>
    <w:multiLevelType w:val="hybridMultilevel"/>
    <w:tmpl w:val="254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75DDD"/>
    <w:multiLevelType w:val="hybridMultilevel"/>
    <w:tmpl w:val="78A84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A2F3C"/>
    <w:multiLevelType w:val="hybridMultilevel"/>
    <w:tmpl w:val="B364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E48B9"/>
    <w:multiLevelType w:val="hybridMultilevel"/>
    <w:tmpl w:val="509CC4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9962CBD"/>
    <w:multiLevelType w:val="hybridMultilevel"/>
    <w:tmpl w:val="2FE6F9A0"/>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31B5245"/>
    <w:multiLevelType w:val="hybridMultilevel"/>
    <w:tmpl w:val="B2340E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522E0"/>
    <w:multiLevelType w:val="hybridMultilevel"/>
    <w:tmpl w:val="32F8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D241E"/>
    <w:multiLevelType w:val="hybridMultilevel"/>
    <w:tmpl w:val="9DC89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249B7"/>
    <w:multiLevelType w:val="hybridMultilevel"/>
    <w:tmpl w:val="7F26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61A3B"/>
    <w:multiLevelType w:val="hybridMultilevel"/>
    <w:tmpl w:val="FE3E4A5A"/>
    <w:lvl w:ilvl="0" w:tplc="0809001B">
      <w:start w:val="1"/>
      <w:numFmt w:val="lowerRoman"/>
      <w:lvlText w:val="%1."/>
      <w:lvlJc w:val="right"/>
      <w:pPr>
        <w:ind w:left="786" w:hanging="360"/>
      </w:p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428D6DA7"/>
    <w:multiLevelType w:val="multilevel"/>
    <w:tmpl w:val="F8A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A06585"/>
    <w:multiLevelType w:val="hybridMultilevel"/>
    <w:tmpl w:val="C3ECB84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B610B07"/>
    <w:multiLevelType w:val="hybridMultilevel"/>
    <w:tmpl w:val="7BF83654"/>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C634011"/>
    <w:multiLevelType w:val="hybridMultilevel"/>
    <w:tmpl w:val="EA208C1E"/>
    <w:lvl w:ilvl="0" w:tplc="405698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F1771A"/>
    <w:multiLevelType w:val="hybridMultilevel"/>
    <w:tmpl w:val="61C2B6DE"/>
    <w:lvl w:ilvl="0" w:tplc="9B44FBDE">
      <w:start w:val="1"/>
      <w:numFmt w:val="decimal"/>
      <w:lvlText w:val="%1."/>
      <w:lvlJc w:val="left"/>
      <w:pPr>
        <w:tabs>
          <w:tab w:val="num" w:pos="539"/>
        </w:tabs>
        <w:ind w:left="539" w:hanging="539"/>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2F8317B"/>
    <w:multiLevelType w:val="hybridMultilevel"/>
    <w:tmpl w:val="DBF00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AC61F9"/>
    <w:multiLevelType w:val="hybridMultilevel"/>
    <w:tmpl w:val="74267820"/>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01">
      <w:start w:val="1"/>
      <w:numFmt w:val="bullet"/>
      <w:lvlText w:val=""/>
      <w:lvlJc w:val="left"/>
      <w:pPr>
        <w:ind w:left="2727" w:hanging="180"/>
      </w:pPr>
      <w:rPr>
        <w:rFonts w:ascii="Symbol" w:hAnsi="Symbol" w:hint="default"/>
      </w:rPr>
    </w:lvl>
    <w:lvl w:ilvl="3" w:tplc="9D8C6CAA">
      <w:numFmt w:val="bullet"/>
      <w:lvlText w:val="•"/>
      <w:lvlJc w:val="left"/>
      <w:pPr>
        <w:ind w:left="3447" w:hanging="360"/>
      </w:pPr>
      <w:rPr>
        <w:rFonts w:ascii="Arial" w:eastAsia="Times New Roman" w:hAnsi="Arial" w:cs="Arial"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EE54753"/>
    <w:multiLevelType w:val="hybridMultilevel"/>
    <w:tmpl w:val="E7AC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14BCC"/>
    <w:multiLevelType w:val="hybridMultilevel"/>
    <w:tmpl w:val="CD62DE44"/>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61BE019C"/>
    <w:multiLevelType w:val="hybridMultilevel"/>
    <w:tmpl w:val="2BB40F72"/>
    <w:lvl w:ilvl="0" w:tplc="69600BC6">
      <w:start w:val="1"/>
      <w:numFmt w:val="decimal"/>
      <w:lvlText w:val="%1."/>
      <w:lvlJc w:val="left"/>
      <w:pPr>
        <w:ind w:left="567" w:hanging="567"/>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6132DCE"/>
    <w:multiLevelType w:val="hybridMultilevel"/>
    <w:tmpl w:val="05F00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73E140B"/>
    <w:multiLevelType w:val="hybridMultilevel"/>
    <w:tmpl w:val="2F043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8637B30"/>
    <w:multiLevelType w:val="hybridMultilevel"/>
    <w:tmpl w:val="570497F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0651DD3"/>
    <w:multiLevelType w:val="hybridMultilevel"/>
    <w:tmpl w:val="AD424E64"/>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03">
      <w:start w:val="1"/>
      <w:numFmt w:val="bullet"/>
      <w:lvlText w:val="o"/>
      <w:lvlJc w:val="left"/>
      <w:pPr>
        <w:ind w:left="2727" w:hanging="180"/>
      </w:pPr>
      <w:rPr>
        <w:rFonts w:ascii="Courier New" w:hAnsi="Courier New" w:cs="Courier New"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33932DA"/>
    <w:multiLevelType w:val="hybridMultilevel"/>
    <w:tmpl w:val="FFC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CF2334"/>
    <w:multiLevelType w:val="hybridMultilevel"/>
    <w:tmpl w:val="81344E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D810404"/>
    <w:multiLevelType w:val="hybridMultilevel"/>
    <w:tmpl w:val="BDE0C33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3C79A6"/>
    <w:multiLevelType w:val="hybridMultilevel"/>
    <w:tmpl w:val="2F54031C"/>
    <w:lvl w:ilvl="0" w:tplc="0809000F">
      <w:start w:val="1"/>
      <w:numFmt w:val="decimal"/>
      <w:lvlText w:val="%1."/>
      <w:lvlJc w:val="left"/>
      <w:pPr>
        <w:ind w:left="786" w:hanging="360"/>
      </w:pPr>
    </w:lvl>
    <w:lvl w:ilvl="1" w:tplc="08090013">
      <w:start w:val="1"/>
      <w:numFmt w:val="upperRoman"/>
      <w:lvlText w:val="%2."/>
      <w:lvlJc w:val="right"/>
      <w:pPr>
        <w:ind w:left="2007" w:hanging="360"/>
      </w:pPr>
      <w:rPr>
        <w:rFonts w:hint="default"/>
      </w:rPr>
    </w:lvl>
    <w:lvl w:ilvl="2" w:tplc="0809001B">
      <w:start w:val="1"/>
      <w:numFmt w:val="lowerRoman"/>
      <w:lvlText w:val="%3."/>
      <w:lvlJc w:val="right"/>
      <w:pPr>
        <w:ind w:left="2727" w:hanging="180"/>
      </w:pPr>
    </w:lvl>
    <w:lvl w:ilvl="3" w:tplc="C6761B0E">
      <w:numFmt w:val="bullet"/>
      <w:lvlText w:val="·"/>
      <w:lvlJc w:val="left"/>
      <w:pPr>
        <w:ind w:left="3717" w:hanging="630"/>
      </w:pPr>
      <w:rPr>
        <w:rFonts w:ascii="Arial" w:eastAsia="Times New Roman" w:hAnsi="Arial" w:cs="Arial"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32"/>
  </w:num>
  <w:num w:numId="3">
    <w:abstractNumId w:val="9"/>
  </w:num>
  <w:num w:numId="4">
    <w:abstractNumId w:val="26"/>
  </w:num>
  <w:num w:numId="5">
    <w:abstractNumId w:val="24"/>
  </w:num>
  <w:num w:numId="6">
    <w:abstractNumId w:val="30"/>
  </w:num>
  <w:num w:numId="7">
    <w:abstractNumId w:val="28"/>
  </w:num>
  <w:num w:numId="8">
    <w:abstractNumId w:val="21"/>
  </w:num>
  <w:num w:numId="9">
    <w:abstractNumId w:val="13"/>
  </w:num>
  <w:num w:numId="10">
    <w:abstractNumId w:val="12"/>
  </w:num>
  <w:num w:numId="11">
    <w:abstractNumId w:val="27"/>
  </w:num>
  <w:num w:numId="12">
    <w:abstractNumId w:val="7"/>
  </w:num>
  <w:num w:numId="13">
    <w:abstractNumId w:val="8"/>
  </w:num>
  <w:num w:numId="14">
    <w:abstractNumId w:val="2"/>
  </w:num>
  <w:num w:numId="15">
    <w:abstractNumId w:val="29"/>
  </w:num>
  <w:num w:numId="16">
    <w:abstractNumId w:val="5"/>
  </w:num>
  <w:num w:numId="17">
    <w:abstractNumId w:val="31"/>
  </w:num>
  <w:num w:numId="18">
    <w:abstractNumId w:val="17"/>
  </w:num>
  <w:num w:numId="19">
    <w:abstractNumId w:val="10"/>
  </w:num>
  <w:num w:numId="20">
    <w:abstractNumId w:val="22"/>
  </w:num>
  <w:num w:numId="21">
    <w:abstractNumId w:val="4"/>
  </w:num>
  <w:num w:numId="22">
    <w:abstractNumId w:val="18"/>
  </w:num>
  <w:num w:numId="23">
    <w:abstractNumId w:val="11"/>
  </w:num>
  <w:num w:numId="24">
    <w:abstractNumId w:val="3"/>
  </w:num>
  <w:num w:numId="25">
    <w:abstractNumId w:val="23"/>
  </w:num>
  <w:num w:numId="26">
    <w:abstractNumId w:val="25"/>
  </w:num>
  <w:num w:numId="27">
    <w:abstractNumId w:val="6"/>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14"/>
  </w:num>
  <w:num w:numId="3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2672"/>
    <w:rsid w:val="00014D97"/>
    <w:rsid w:val="00017B85"/>
    <w:rsid w:val="00020B09"/>
    <w:rsid w:val="00021306"/>
    <w:rsid w:val="000224BC"/>
    <w:rsid w:val="000228A6"/>
    <w:rsid w:val="000237F6"/>
    <w:rsid w:val="00032224"/>
    <w:rsid w:val="00033346"/>
    <w:rsid w:val="00036934"/>
    <w:rsid w:val="00037722"/>
    <w:rsid w:val="00040584"/>
    <w:rsid w:val="000423C0"/>
    <w:rsid w:val="00042FF3"/>
    <w:rsid w:val="0004353D"/>
    <w:rsid w:val="000442CD"/>
    <w:rsid w:val="0004601F"/>
    <w:rsid w:val="00047EF6"/>
    <w:rsid w:val="00050594"/>
    <w:rsid w:val="00050CE1"/>
    <w:rsid w:val="00052AAF"/>
    <w:rsid w:val="00053CD7"/>
    <w:rsid w:val="00055F0A"/>
    <w:rsid w:val="00057F1A"/>
    <w:rsid w:val="0006081A"/>
    <w:rsid w:val="000610DD"/>
    <w:rsid w:val="000627BF"/>
    <w:rsid w:val="000757EE"/>
    <w:rsid w:val="0007702D"/>
    <w:rsid w:val="000771EF"/>
    <w:rsid w:val="000778C2"/>
    <w:rsid w:val="00083582"/>
    <w:rsid w:val="00084D85"/>
    <w:rsid w:val="00085946"/>
    <w:rsid w:val="0008794C"/>
    <w:rsid w:val="0009021E"/>
    <w:rsid w:val="00093256"/>
    <w:rsid w:val="000938FC"/>
    <w:rsid w:val="00096937"/>
    <w:rsid w:val="00097AAF"/>
    <w:rsid w:val="000A033F"/>
    <w:rsid w:val="000A2A01"/>
    <w:rsid w:val="000A2FDF"/>
    <w:rsid w:val="000A3EA6"/>
    <w:rsid w:val="000A4B09"/>
    <w:rsid w:val="000A569C"/>
    <w:rsid w:val="000A6B4E"/>
    <w:rsid w:val="000A6CEB"/>
    <w:rsid w:val="000A756D"/>
    <w:rsid w:val="000A7CC3"/>
    <w:rsid w:val="000A7E09"/>
    <w:rsid w:val="000B0BD6"/>
    <w:rsid w:val="000B21A4"/>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391C"/>
    <w:rsid w:val="000E3A8F"/>
    <w:rsid w:val="000E3FA0"/>
    <w:rsid w:val="000F11AE"/>
    <w:rsid w:val="000F1673"/>
    <w:rsid w:val="000F2CE7"/>
    <w:rsid w:val="00101C1E"/>
    <w:rsid w:val="001026AC"/>
    <w:rsid w:val="0010334F"/>
    <w:rsid w:val="001055EE"/>
    <w:rsid w:val="0010693B"/>
    <w:rsid w:val="0011199F"/>
    <w:rsid w:val="00111D46"/>
    <w:rsid w:val="00112769"/>
    <w:rsid w:val="0011339E"/>
    <w:rsid w:val="00113714"/>
    <w:rsid w:val="00115753"/>
    <w:rsid w:val="0011629C"/>
    <w:rsid w:val="0011695F"/>
    <w:rsid w:val="00117D67"/>
    <w:rsid w:val="00120113"/>
    <w:rsid w:val="001205F7"/>
    <w:rsid w:val="00124CD4"/>
    <w:rsid w:val="00127AAA"/>
    <w:rsid w:val="0013190B"/>
    <w:rsid w:val="0013264C"/>
    <w:rsid w:val="00133056"/>
    <w:rsid w:val="00133B2A"/>
    <w:rsid w:val="00133E08"/>
    <w:rsid w:val="0013426C"/>
    <w:rsid w:val="001363A4"/>
    <w:rsid w:val="00136E86"/>
    <w:rsid w:val="00137F59"/>
    <w:rsid w:val="00143CAE"/>
    <w:rsid w:val="0014549C"/>
    <w:rsid w:val="00146CF4"/>
    <w:rsid w:val="00146E2E"/>
    <w:rsid w:val="001475D2"/>
    <w:rsid w:val="0014776D"/>
    <w:rsid w:val="0015192F"/>
    <w:rsid w:val="00152351"/>
    <w:rsid w:val="00152A85"/>
    <w:rsid w:val="00152FF5"/>
    <w:rsid w:val="001532BF"/>
    <w:rsid w:val="00153671"/>
    <w:rsid w:val="001546AF"/>
    <w:rsid w:val="00154F4C"/>
    <w:rsid w:val="001556FE"/>
    <w:rsid w:val="00157E7F"/>
    <w:rsid w:val="001645FB"/>
    <w:rsid w:val="00165297"/>
    <w:rsid w:val="001654AC"/>
    <w:rsid w:val="00165591"/>
    <w:rsid w:val="001659DC"/>
    <w:rsid w:val="00165E4E"/>
    <w:rsid w:val="00165EB2"/>
    <w:rsid w:val="00166FAA"/>
    <w:rsid w:val="00170670"/>
    <w:rsid w:val="00173566"/>
    <w:rsid w:val="00175D10"/>
    <w:rsid w:val="00176ED7"/>
    <w:rsid w:val="00181E0C"/>
    <w:rsid w:val="00183146"/>
    <w:rsid w:val="0018481C"/>
    <w:rsid w:val="001857E0"/>
    <w:rsid w:val="00186C4D"/>
    <w:rsid w:val="00187064"/>
    <w:rsid w:val="001874A8"/>
    <w:rsid w:val="00191E12"/>
    <w:rsid w:val="00192FE6"/>
    <w:rsid w:val="00192FF2"/>
    <w:rsid w:val="00194897"/>
    <w:rsid w:val="00194DE8"/>
    <w:rsid w:val="00194E78"/>
    <w:rsid w:val="001955E3"/>
    <w:rsid w:val="0019602D"/>
    <w:rsid w:val="001970B2"/>
    <w:rsid w:val="0019730D"/>
    <w:rsid w:val="00197724"/>
    <w:rsid w:val="001A0256"/>
    <w:rsid w:val="001A08EC"/>
    <w:rsid w:val="001A2D00"/>
    <w:rsid w:val="001A3579"/>
    <w:rsid w:val="001B05A2"/>
    <w:rsid w:val="001B0C4B"/>
    <w:rsid w:val="001B1CAB"/>
    <w:rsid w:val="001B2A88"/>
    <w:rsid w:val="001B418A"/>
    <w:rsid w:val="001B5A22"/>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46E"/>
    <w:rsid w:val="001E0B9A"/>
    <w:rsid w:val="001E1867"/>
    <w:rsid w:val="001E27FA"/>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66D2"/>
    <w:rsid w:val="001F704A"/>
    <w:rsid w:val="00200DF1"/>
    <w:rsid w:val="00200E7B"/>
    <w:rsid w:val="0020104A"/>
    <w:rsid w:val="00203370"/>
    <w:rsid w:val="00205A70"/>
    <w:rsid w:val="00205BFF"/>
    <w:rsid w:val="002060E3"/>
    <w:rsid w:val="00206B61"/>
    <w:rsid w:val="00207188"/>
    <w:rsid w:val="00212449"/>
    <w:rsid w:val="00212D81"/>
    <w:rsid w:val="00214EB3"/>
    <w:rsid w:val="00215C8E"/>
    <w:rsid w:val="00221710"/>
    <w:rsid w:val="002218C6"/>
    <w:rsid w:val="00222A55"/>
    <w:rsid w:val="00223473"/>
    <w:rsid w:val="0022373F"/>
    <w:rsid w:val="002238E4"/>
    <w:rsid w:val="002246BC"/>
    <w:rsid w:val="0022646E"/>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DBD"/>
    <w:rsid w:val="00262491"/>
    <w:rsid w:val="0026321A"/>
    <w:rsid w:val="002634BC"/>
    <w:rsid w:val="00264D9C"/>
    <w:rsid w:val="0026685E"/>
    <w:rsid w:val="00267465"/>
    <w:rsid w:val="00270A8A"/>
    <w:rsid w:val="00271CD1"/>
    <w:rsid w:val="00272434"/>
    <w:rsid w:val="00273747"/>
    <w:rsid w:val="002744FA"/>
    <w:rsid w:val="002753C8"/>
    <w:rsid w:val="0027605A"/>
    <w:rsid w:val="0027692E"/>
    <w:rsid w:val="002800AA"/>
    <w:rsid w:val="00284C21"/>
    <w:rsid w:val="0028644C"/>
    <w:rsid w:val="002903E8"/>
    <w:rsid w:val="0029213A"/>
    <w:rsid w:val="00295446"/>
    <w:rsid w:val="002960C6"/>
    <w:rsid w:val="00296DD7"/>
    <w:rsid w:val="0029715A"/>
    <w:rsid w:val="002A1900"/>
    <w:rsid w:val="002A1B2E"/>
    <w:rsid w:val="002A24FE"/>
    <w:rsid w:val="002A2FAA"/>
    <w:rsid w:val="002A3198"/>
    <w:rsid w:val="002A4B23"/>
    <w:rsid w:val="002A5C20"/>
    <w:rsid w:val="002B0CEE"/>
    <w:rsid w:val="002B46A1"/>
    <w:rsid w:val="002B6A60"/>
    <w:rsid w:val="002B6E1D"/>
    <w:rsid w:val="002C07E6"/>
    <w:rsid w:val="002C2F3B"/>
    <w:rsid w:val="002C31AF"/>
    <w:rsid w:val="002C322E"/>
    <w:rsid w:val="002C40B5"/>
    <w:rsid w:val="002C4615"/>
    <w:rsid w:val="002C63B4"/>
    <w:rsid w:val="002C717E"/>
    <w:rsid w:val="002C766D"/>
    <w:rsid w:val="002D02EB"/>
    <w:rsid w:val="002D202C"/>
    <w:rsid w:val="002D370E"/>
    <w:rsid w:val="002D40B3"/>
    <w:rsid w:val="002D494F"/>
    <w:rsid w:val="002D4E5C"/>
    <w:rsid w:val="002D55D3"/>
    <w:rsid w:val="002D5CF9"/>
    <w:rsid w:val="002D614A"/>
    <w:rsid w:val="002D688A"/>
    <w:rsid w:val="002E00FE"/>
    <w:rsid w:val="002E032A"/>
    <w:rsid w:val="002E0A88"/>
    <w:rsid w:val="002E26F6"/>
    <w:rsid w:val="002E2B5A"/>
    <w:rsid w:val="002E3826"/>
    <w:rsid w:val="002E6092"/>
    <w:rsid w:val="002F1FD5"/>
    <w:rsid w:val="002F387E"/>
    <w:rsid w:val="002F3C43"/>
    <w:rsid w:val="002F58E3"/>
    <w:rsid w:val="00300B42"/>
    <w:rsid w:val="00302172"/>
    <w:rsid w:val="00302465"/>
    <w:rsid w:val="0030368E"/>
    <w:rsid w:val="00303B35"/>
    <w:rsid w:val="00304C5A"/>
    <w:rsid w:val="00305286"/>
    <w:rsid w:val="0030619B"/>
    <w:rsid w:val="0030629E"/>
    <w:rsid w:val="003073EE"/>
    <w:rsid w:val="0031030D"/>
    <w:rsid w:val="00310F3E"/>
    <w:rsid w:val="003130C7"/>
    <w:rsid w:val="0031565E"/>
    <w:rsid w:val="0031633C"/>
    <w:rsid w:val="00320901"/>
    <w:rsid w:val="00321D45"/>
    <w:rsid w:val="00324F84"/>
    <w:rsid w:val="00327E61"/>
    <w:rsid w:val="00327EBF"/>
    <w:rsid w:val="00330B4C"/>
    <w:rsid w:val="003317F5"/>
    <w:rsid w:val="00333658"/>
    <w:rsid w:val="00333850"/>
    <w:rsid w:val="00333FDD"/>
    <w:rsid w:val="00336245"/>
    <w:rsid w:val="003379BB"/>
    <w:rsid w:val="0034331F"/>
    <w:rsid w:val="00346CE4"/>
    <w:rsid w:val="00346EB2"/>
    <w:rsid w:val="00347F2E"/>
    <w:rsid w:val="00351019"/>
    <w:rsid w:val="00351E57"/>
    <w:rsid w:val="00352939"/>
    <w:rsid w:val="00353AE8"/>
    <w:rsid w:val="0035432A"/>
    <w:rsid w:val="00355FD5"/>
    <w:rsid w:val="00361B96"/>
    <w:rsid w:val="00362DD8"/>
    <w:rsid w:val="0036502E"/>
    <w:rsid w:val="0036649B"/>
    <w:rsid w:val="00366613"/>
    <w:rsid w:val="003673BF"/>
    <w:rsid w:val="003674AE"/>
    <w:rsid w:val="003709AF"/>
    <w:rsid w:val="00370AC2"/>
    <w:rsid w:val="0037121D"/>
    <w:rsid w:val="00371FED"/>
    <w:rsid w:val="0037280D"/>
    <w:rsid w:val="00372A09"/>
    <w:rsid w:val="00373AE1"/>
    <w:rsid w:val="0037428E"/>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657B"/>
    <w:rsid w:val="003A692F"/>
    <w:rsid w:val="003A69A0"/>
    <w:rsid w:val="003A7DBB"/>
    <w:rsid w:val="003B2214"/>
    <w:rsid w:val="003B5158"/>
    <w:rsid w:val="003B5847"/>
    <w:rsid w:val="003B63B4"/>
    <w:rsid w:val="003B6E7C"/>
    <w:rsid w:val="003C0532"/>
    <w:rsid w:val="003C2441"/>
    <w:rsid w:val="003C2870"/>
    <w:rsid w:val="003C2B35"/>
    <w:rsid w:val="003C40F2"/>
    <w:rsid w:val="003C44EF"/>
    <w:rsid w:val="003C58BF"/>
    <w:rsid w:val="003D248E"/>
    <w:rsid w:val="003D38F1"/>
    <w:rsid w:val="003D581B"/>
    <w:rsid w:val="003D67C7"/>
    <w:rsid w:val="003D7A27"/>
    <w:rsid w:val="003E0A04"/>
    <w:rsid w:val="003E0D44"/>
    <w:rsid w:val="003E0FE5"/>
    <w:rsid w:val="003E2CE2"/>
    <w:rsid w:val="003E2F65"/>
    <w:rsid w:val="003E582D"/>
    <w:rsid w:val="003E584D"/>
    <w:rsid w:val="003E6FF5"/>
    <w:rsid w:val="003F06C3"/>
    <w:rsid w:val="003F0EE3"/>
    <w:rsid w:val="003F1400"/>
    <w:rsid w:val="003F33AF"/>
    <w:rsid w:val="003F61F0"/>
    <w:rsid w:val="003F66B0"/>
    <w:rsid w:val="003F76E5"/>
    <w:rsid w:val="003F7BFE"/>
    <w:rsid w:val="00400065"/>
    <w:rsid w:val="00400F22"/>
    <w:rsid w:val="00401C73"/>
    <w:rsid w:val="00402B1E"/>
    <w:rsid w:val="00403E7E"/>
    <w:rsid w:val="004046EA"/>
    <w:rsid w:val="00407B91"/>
    <w:rsid w:val="00411E74"/>
    <w:rsid w:val="004142B2"/>
    <w:rsid w:val="00416C19"/>
    <w:rsid w:val="00416DBB"/>
    <w:rsid w:val="004178B0"/>
    <w:rsid w:val="00420066"/>
    <w:rsid w:val="00422177"/>
    <w:rsid w:val="00422809"/>
    <w:rsid w:val="00422BB1"/>
    <w:rsid w:val="00423A5C"/>
    <w:rsid w:val="00423ADE"/>
    <w:rsid w:val="004264C2"/>
    <w:rsid w:val="0042690E"/>
    <w:rsid w:val="004270EA"/>
    <w:rsid w:val="0043067B"/>
    <w:rsid w:val="0043069D"/>
    <w:rsid w:val="00434952"/>
    <w:rsid w:val="00435F8E"/>
    <w:rsid w:val="004370D3"/>
    <w:rsid w:val="004423A5"/>
    <w:rsid w:val="004437ED"/>
    <w:rsid w:val="00444552"/>
    <w:rsid w:val="00445D14"/>
    <w:rsid w:val="004461FF"/>
    <w:rsid w:val="00452E4C"/>
    <w:rsid w:val="00453750"/>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80559"/>
    <w:rsid w:val="00482BD5"/>
    <w:rsid w:val="00483FE2"/>
    <w:rsid w:val="00487A93"/>
    <w:rsid w:val="00491AA6"/>
    <w:rsid w:val="00491D6F"/>
    <w:rsid w:val="0049392A"/>
    <w:rsid w:val="00493FC5"/>
    <w:rsid w:val="004A1BEC"/>
    <w:rsid w:val="004A364F"/>
    <w:rsid w:val="004A46E2"/>
    <w:rsid w:val="004A4BE8"/>
    <w:rsid w:val="004A4F4C"/>
    <w:rsid w:val="004A74D5"/>
    <w:rsid w:val="004B01AF"/>
    <w:rsid w:val="004B0AC3"/>
    <w:rsid w:val="004B1905"/>
    <w:rsid w:val="004B33D1"/>
    <w:rsid w:val="004B42D1"/>
    <w:rsid w:val="004C0C3C"/>
    <w:rsid w:val="004C0E65"/>
    <w:rsid w:val="004C3150"/>
    <w:rsid w:val="004C37FB"/>
    <w:rsid w:val="004C4FD8"/>
    <w:rsid w:val="004C6757"/>
    <w:rsid w:val="004C77F8"/>
    <w:rsid w:val="004D0EF2"/>
    <w:rsid w:val="004D274D"/>
    <w:rsid w:val="004D2F8F"/>
    <w:rsid w:val="004D3BF9"/>
    <w:rsid w:val="004D4252"/>
    <w:rsid w:val="004D487A"/>
    <w:rsid w:val="004D5A5B"/>
    <w:rsid w:val="004D68F3"/>
    <w:rsid w:val="004D6CF6"/>
    <w:rsid w:val="004D78DA"/>
    <w:rsid w:val="004E0F53"/>
    <w:rsid w:val="004E2C68"/>
    <w:rsid w:val="004E409D"/>
    <w:rsid w:val="004E466C"/>
    <w:rsid w:val="004E4A5C"/>
    <w:rsid w:val="004F042F"/>
    <w:rsid w:val="004F07A5"/>
    <w:rsid w:val="004F3D26"/>
    <w:rsid w:val="004F4380"/>
    <w:rsid w:val="004F4FC7"/>
    <w:rsid w:val="004F5ACC"/>
    <w:rsid w:val="004F6B0E"/>
    <w:rsid w:val="00504597"/>
    <w:rsid w:val="00504D8B"/>
    <w:rsid w:val="00506CB0"/>
    <w:rsid w:val="00506F90"/>
    <w:rsid w:val="0051042E"/>
    <w:rsid w:val="005118C9"/>
    <w:rsid w:val="005139DE"/>
    <w:rsid w:val="0051545F"/>
    <w:rsid w:val="00515DD2"/>
    <w:rsid w:val="0052063A"/>
    <w:rsid w:val="005244A8"/>
    <w:rsid w:val="00525817"/>
    <w:rsid w:val="0052583F"/>
    <w:rsid w:val="00526821"/>
    <w:rsid w:val="00526DF6"/>
    <w:rsid w:val="005275E2"/>
    <w:rsid w:val="0053299D"/>
    <w:rsid w:val="00533849"/>
    <w:rsid w:val="0053557F"/>
    <w:rsid w:val="00536A96"/>
    <w:rsid w:val="00536A9D"/>
    <w:rsid w:val="00541D4B"/>
    <w:rsid w:val="00543717"/>
    <w:rsid w:val="00543A3B"/>
    <w:rsid w:val="00543F7A"/>
    <w:rsid w:val="00545BD2"/>
    <w:rsid w:val="00545E7C"/>
    <w:rsid w:val="00547B47"/>
    <w:rsid w:val="00547D0E"/>
    <w:rsid w:val="00550AAA"/>
    <w:rsid w:val="005520BB"/>
    <w:rsid w:val="00552C3B"/>
    <w:rsid w:val="005543AE"/>
    <w:rsid w:val="0055532C"/>
    <w:rsid w:val="00555464"/>
    <w:rsid w:val="00555899"/>
    <w:rsid w:val="005558C0"/>
    <w:rsid w:val="00555A99"/>
    <w:rsid w:val="00557252"/>
    <w:rsid w:val="005610BF"/>
    <w:rsid w:val="0056361D"/>
    <w:rsid w:val="00563979"/>
    <w:rsid w:val="0056489C"/>
    <w:rsid w:val="00564AA2"/>
    <w:rsid w:val="00565AC6"/>
    <w:rsid w:val="005713D7"/>
    <w:rsid w:val="00572CE5"/>
    <w:rsid w:val="00574B15"/>
    <w:rsid w:val="00575FC7"/>
    <w:rsid w:val="00581F6C"/>
    <w:rsid w:val="005832D6"/>
    <w:rsid w:val="00584CBE"/>
    <w:rsid w:val="0058572D"/>
    <w:rsid w:val="00587E7C"/>
    <w:rsid w:val="0059234F"/>
    <w:rsid w:val="00593129"/>
    <w:rsid w:val="0059322F"/>
    <w:rsid w:val="005946CD"/>
    <w:rsid w:val="00596B80"/>
    <w:rsid w:val="005970E5"/>
    <w:rsid w:val="005A20D6"/>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3B17"/>
    <w:rsid w:val="005C5488"/>
    <w:rsid w:val="005C555C"/>
    <w:rsid w:val="005D13B3"/>
    <w:rsid w:val="005D1A17"/>
    <w:rsid w:val="005D2D4E"/>
    <w:rsid w:val="005D3260"/>
    <w:rsid w:val="005D418F"/>
    <w:rsid w:val="005D5303"/>
    <w:rsid w:val="005D62E7"/>
    <w:rsid w:val="005D735C"/>
    <w:rsid w:val="005E18A3"/>
    <w:rsid w:val="005E32F0"/>
    <w:rsid w:val="005E594B"/>
    <w:rsid w:val="005E5D02"/>
    <w:rsid w:val="005F06A5"/>
    <w:rsid w:val="005F0AF5"/>
    <w:rsid w:val="005F1C20"/>
    <w:rsid w:val="005F1F6C"/>
    <w:rsid w:val="005F2F03"/>
    <w:rsid w:val="005F42DC"/>
    <w:rsid w:val="005F524C"/>
    <w:rsid w:val="005F6C28"/>
    <w:rsid w:val="005F78E4"/>
    <w:rsid w:val="00601655"/>
    <w:rsid w:val="0060183D"/>
    <w:rsid w:val="0060197A"/>
    <w:rsid w:val="00601F9E"/>
    <w:rsid w:val="00602C48"/>
    <w:rsid w:val="00602CC7"/>
    <w:rsid w:val="00602F7F"/>
    <w:rsid w:val="00612841"/>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FE7"/>
    <w:rsid w:val="00640437"/>
    <w:rsid w:val="006406F6"/>
    <w:rsid w:val="00641B64"/>
    <w:rsid w:val="006431E9"/>
    <w:rsid w:val="006436C0"/>
    <w:rsid w:val="00647630"/>
    <w:rsid w:val="00647D40"/>
    <w:rsid w:val="00653136"/>
    <w:rsid w:val="00654E9C"/>
    <w:rsid w:val="00655369"/>
    <w:rsid w:val="00655400"/>
    <w:rsid w:val="006558CA"/>
    <w:rsid w:val="00655C67"/>
    <w:rsid w:val="00656767"/>
    <w:rsid w:val="00657722"/>
    <w:rsid w:val="006609EA"/>
    <w:rsid w:val="00661A69"/>
    <w:rsid w:val="00662035"/>
    <w:rsid w:val="006638C8"/>
    <w:rsid w:val="00664801"/>
    <w:rsid w:val="0066490E"/>
    <w:rsid w:val="006670D6"/>
    <w:rsid w:val="00671844"/>
    <w:rsid w:val="006726BF"/>
    <w:rsid w:val="00673DF1"/>
    <w:rsid w:val="0067465B"/>
    <w:rsid w:val="00675E39"/>
    <w:rsid w:val="00677E2C"/>
    <w:rsid w:val="00680C2C"/>
    <w:rsid w:val="006813CC"/>
    <w:rsid w:val="006820B8"/>
    <w:rsid w:val="00684E43"/>
    <w:rsid w:val="00686E6C"/>
    <w:rsid w:val="00687A4C"/>
    <w:rsid w:val="006A0529"/>
    <w:rsid w:val="006A1F03"/>
    <w:rsid w:val="006A2569"/>
    <w:rsid w:val="006A2A2E"/>
    <w:rsid w:val="006A3325"/>
    <w:rsid w:val="006A3BF6"/>
    <w:rsid w:val="006A4384"/>
    <w:rsid w:val="006A6A17"/>
    <w:rsid w:val="006B09B4"/>
    <w:rsid w:val="006B16D0"/>
    <w:rsid w:val="006B5E00"/>
    <w:rsid w:val="006B662C"/>
    <w:rsid w:val="006B6E22"/>
    <w:rsid w:val="006B6F12"/>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7542"/>
    <w:rsid w:val="006F2AFF"/>
    <w:rsid w:val="006F391A"/>
    <w:rsid w:val="006F5208"/>
    <w:rsid w:val="006F5CB2"/>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316"/>
    <w:rsid w:val="0071180B"/>
    <w:rsid w:val="0071497B"/>
    <w:rsid w:val="007151D8"/>
    <w:rsid w:val="00715EC1"/>
    <w:rsid w:val="00716A21"/>
    <w:rsid w:val="00717DD4"/>
    <w:rsid w:val="00717E44"/>
    <w:rsid w:val="00720948"/>
    <w:rsid w:val="00723950"/>
    <w:rsid w:val="00723E89"/>
    <w:rsid w:val="007252A2"/>
    <w:rsid w:val="00726CCA"/>
    <w:rsid w:val="00726F9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78B9"/>
    <w:rsid w:val="00771559"/>
    <w:rsid w:val="00775856"/>
    <w:rsid w:val="00775D55"/>
    <w:rsid w:val="00776BAE"/>
    <w:rsid w:val="00776BBC"/>
    <w:rsid w:val="00777127"/>
    <w:rsid w:val="00783E23"/>
    <w:rsid w:val="00783E73"/>
    <w:rsid w:val="0078486A"/>
    <w:rsid w:val="007871DC"/>
    <w:rsid w:val="0079255D"/>
    <w:rsid w:val="00793D24"/>
    <w:rsid w:val="0079475C"/>
    <w:rsid w:val="007950DF"/>
    <w:rsid w:val="00797770"/>
    <w:rsid w:val="00797E3D"/>
    <w:rsid w:val="007A0434"/>
    <w:rsid w:val="007A05EE"/>
    <w:rsid w:val="007A4959"/>
    <w:rsid w:val="007A4CC7"/>
    <w:rsid w:val="007A53B6"/>
    <w:rsid w:val="007A5D18"/>
    <w:rsid w:val="007A623C"/>
    <w:rsid w:val="007A72FD"/>
    <w:rsid w:val="007B0264"/>
    <w:rsid w:val="007B06C5"/>
    <w:rsid w:val="007B0CCE"/>
    <w:rsid w:val="007B3BED"/>
    <w:rsid w:val="007B4647"/>
    <w:rsid w:val="007B5DE9"/>
    <w:rsid w:val="007B6060"/>
    <w:rsid w:val="007B6887"/>
    <w:rsid w:val="007B7093"/>
    <w:rsid w:val="007C0B14"/>
    <w:rsid w:val="007C2044"/>
    <w:rsid w:val="007C2E46"/>
    <w:rsid w:val="007C381E"/>
    <w:rsid w:val="007C646B"/>
    <w:rsid w:val="007C7E4D"/>
    <w:rsid w:val="007D20EE"/>
    <w:rsid w:val="007D28E8"/>
    <w:rsid w:val="007D3210"/>
    <w:rsid w:val="007D4131"/>
    <w:rsid w:val="007D4413"/>
    <w:rsid w:val="007D59E1"/>
    <w:rsid w:val="007E0F33"/>
    <w:rsid w:val="007E3D8D"/>
    <w:rsid w:val="007E53C1"/>
    <w:rsid w:val="007E68D0"/>
    <w:rsid w:val="007E6DE1"/>
    <w:rsid w:val="007F04F3"/>
    <w:rsid w:val="007F0778"/>
    <w:rsid w:val="007F078E"/>
    <w:rsid w:val="007F268A"/>
    <w:rsid w:val="007F30A1"/>
    <w:rsid w:val="007F38E6"/>
    <w:rsid w:val="007F3BEB"/>
    <w:rsid w:val="007F3C36"/>
    <w:rsid w:val="007F51B3"/>
    <w:rsid w:val="007F6E1E"/>
    <w:rsid w:val="007F7077"/>
    <w:rsid w:val="008031D4"/>
    <w:rsid w:val="00803C82"/>
    <w:rsid w:val="00804A92"/>
    <w:rsid w:val="00805DEF"/>
    <w:rsid w:val="0080638D"/>
    <w:rsid w:val="008066CD"/>
    <w:rsid w:val="00812D82"/>
    <w:rsid w:val="00813130"/>
    <w:rsid w:val="00813796"/>
    <w:rsid w:val="008145FC"/>
    <w:rsid w:val="00816941"/>
    <w:rsid w:val="00817892"/>
    <w:rsid w:val="00822369"/>
    <w:rsid w:val="0082340F"/>
    <w:rsid w:val="008236F1"/>
    <w:rsid w:val="00824646"/>
    <w:rsid w:val="008249C3"/>
    <w:rsid w:val="00824F82"/>
    <w:rsid w:val="008257D9"/>
    <w:rsid w:val="00826CD3"/>
    <w:rsid w:val="00826DFF"/>
    <w:rsid w:val="0083005B"/>
    <w:rsid w:val="008306C8"/>
    <w:rsid w:val="00830F3A"/>
    <w:rsid w:val="00830F3F"/>
    <w:rsid w:val="00834CF5"/>
    <w:rsid w:val="00834D58"/>
    <w:rsid w:val="00835106"/>
    <w:rsid w:val="00835FAC"/>
    <w:rsid w:val="00835FB1"/>
    <w:rsid w:val="00837AC9"/>
    <w:rsid w:val="008415AC"/>
    <w:rsid w:val="008418D9"/>
    <w:rsid w:val="00842082"/>
    <w:rsid w:val="00843D58"/>
    <w:rsid w:val="00845430"/>
    <w:rsid w:val="00846C9B"/>
    <w:rsid w:val="00847D78"/>
    <w:rsid w:val="00850A41"/>
    <w:rsid w:val="008510FD"/>
    <w:rsid w:val="00854698"/>
    <w:rsid w:val="00854F40"/>
    <w:rsid w:val="00855F7C"/>
    <w:rsid w:val="00856F70"/>
    <w:rsid w:val="00857960"/>
    <w:rsid w:val="00861A42"/>
    <w:rsid w:val="00862FE7"/>
    <w:rsid w:val="0086316D"/>
    <w:rsid w:val="00864754"/>
    <w:rsid w:val="008669FC"/>
    <w:rsid w:val="008706A3"/>
    <w:rsid w:val="00871C4A"/>
    <w:rsid w:val="00873826"/>
    <w:rsid w:val="0088044E"/>
    <w:rsid w:val="0088207C"/>
    <w:rsid w:val="008821BE"/>
    <w:rsid w:val="00883103"/>
    <w:rsid w:val="008832FB"/>
    <w:rsid w:val="00883498"/>
    <w:rsid w:val="008848C2"/>
    <w:rsid w:val="00885B58"/>
    <w:rsid w:val="00886F48"/>
    <w:rsid w:val="008875F8"/>
    <w:rsid w:val="0088761F"/>
    <w:rsid w:val="00887AE6"/>
    <w:rsid w:val="00887EC5"/>
    <w:rsid w:val="008918AF"/>
    <w:rsid w:val="00891E4D"/>
    <w:rsid w:val="00891F6B"/>
    <w:rsid w:val="00891FC6"/>
    <w:rsid w:val="00892618"/>
    <w:rsid w:val="00892F2E"/>
    <w:rsid w:val="00894C92"/>
    <w:rsid w:val="008A11A7"/>
    <w:rsid w:val="008A4707"/>
    <w:rsid w:val="008B1E4A"/>
    <w:rsid w:val="008B2102"/>
    <w:rsid w:val="008B4CDB"/>
    <w:rsid w:val="008B58EA"/>
    <w:rsid w:val="008C0393"/>
    <w:rsid w:val="008C07AD"/>
    <w:rsid w:val="008C2D42"/>
    <w:rsid w:val="008C341B"/>
    <w:rsid w:val="008C6147"/>
    <w:rsid w:val="008C6A16"/>
    <w:rsid w:val="008D192B"/>
    <w:rsid w:val="008D3375"/>
    <w:rsid w:val="008D5550"/>
    <w:rsid w:val="008D63C6"/>
    <w:rsid w:val="008D7043"/>
    <w:rsid w:val="008E4C1A"/>
    <w:rsid w:val="008E50D6"/>
    <w:rsid w:val="008E5B66"/>
    <w:rsid w:val="008E5C4E"/>
    <w:rsid w:val="008F29DF"/>
    <w:rsid w:val="008F45E9"/>
    <w:rsid w:val="008F5572"/>
    <w:rsid w:val="008F7F9A"/>
    <w:rsid w:val="00902D9A"/>
    <w:rsid w:val="00903CD3"/>
    <w:rsid w:val="009052E3"/>
    <w:rsid w:val="0090682D"/>
    <w:rsid w:val="0090716D"/>
    <w:rsid w:val="00907B53"/>
    <w:rsid w:val="00907EC4"/>
    <w:rsid w:val="0091024E"/>
    <w:rsid w:val="009103BD"/>
    <w:rsid w:val="00912BDD"/>
    <w:rsid w:val="0091327D"/>
    <w:rsid w:val="00915877"/>
    <w:rsid w:val="00920D3D"/>
    <w:rsid w:val="00921121"/>
    <w:rsid w:val="009212E3"/>
    <w:rsid w:val="00924F00"/>
    <w:rsid w:val="00925C7E"/>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35BF"/>
    <w:rsid w:val="00953847"/>
    <w:rsid w:val="00954AA1"/>
    <w:rsid w:val="009562AE"/>
    <w:rsid w:val="00957708"/>
    <w:rsid w:val="00957E3F"/>
    <w:rsid w:val="00961B30"/>
    <w:rsid w:val="00963AE4"/>
    <w:rsid w:val="00963F32"/>
    <w:rsid w:val="00964AC2"/>
    <w:rsid w:val="00971C26"/>
    <w:rsid w:val="009731AA"/>
    <w:rsid w:val="009732B9"/>
    <w:rsid w:val="009733AE"/>
    <w:rsid w:val="0097460B"/>
    <w:rsid w:val="009748FD"/>
    <w:rsid w:val="009766FF"/>
    <w:rsid w:val="009771C3"/>
    <w:rsid w:val="00977396"/>
    <w:rsid w:val="009807D3"/>
    <w:rsid w:val="00982B4A"/>
    <w:rsid w:val="00986DAA"/>
    <w:rsid w:val="00987F38"/>
    <w:rsid w:val="009905D0"/>
    <w:rsid w:val="0099316A"/>
    <w:rsid w:val="00994356"/>
    <w:rsid w:val="00994A57"/>
    <w:rsid w:val="00996838"/>
    <w:rsid w:val="009A1877"/>
    <w:rsid w:val="009A3364"/>
    <w:rsid w:val="009A3E19"/>
    <w:rsid w:val="009A69D2"/>
    <w:rsid w:val="009A6D32"/>
    <w:rsid w:val="009A7065"/>
    <w:rsid w:val="009B1184"/>
    <w:rsid w:val="009B6A80"/>
    <w:rsid w:val="009B6F70"/>
    <w:rsid w:val="009B6F7C"/>
    <w:rsid w:val="009B7070"/>
    <w:rsid w:val="009C07E2"/>
    <w:rsid w:val="009C10C3"/>
    <w:rsid w:val="009C26C2"/>
    <w:rsid w:val="009C352B"/>
    <w:rsid w:val="009C412C"/>
    <w:rsid w:val="009C534A"/>
    <w:rsid w:val="009C5F8A"/>
    <w:rsid w:val="009C7A85"/>
    <w:rsid w:val="009D0A15"/>
    <w:rsid w:val="009D14DB"/>
    <w:rsid w:val="009D1BF7"/>
    <w:rsid w:val="009D30FD"/>
    <w:rsid w:val="009D33FC"/>
    <w:rsid w:val="009D3EE1"/>
    <w:rsid w:val="009D4625"/>
    <w:rsid w:val="009D4C9E"/>
    <w:rsid w:val="009D5CB8"/>
    <w:rsid w:val="009D5EB3"/>
    <w:rsid w:val="009D71A2"/>
    <w:rsid w:val="009D7345"/>
    <w:rsid w:val="009D7F60"/>
    <w:rsid w:val="009E02EE"/>
    <w:rsid w:val="009E0555"/>
    <w:rsid w:val="009E0822"/>
    <w:rsid w:val="009E4475"/>
    <w:rsid w:val="009E5628"/>
    <w:rsid w:val="009E6AA9"/>
    <w:rsid w:val="009E6EFC"/>
    <w:rsid w:val="009F19A2"/>
    <w:rsid w:val="009F541F"/>
    <w:rsid w:val="009F56E9"/>
    <w:rsid w:val="009F64D8"/>
    <w:rsid w:val="009F669A"/>
    <w:rsid w:val="00A02238"/>
    <w:rsid w:val="00A147D4"/>
    <w:rsid w:val="00A1785F"/>
    <w:rsid w:val="00A2023D"/>
    <w:rsid w:val="00A20865"/>
    <w:rsid w:val="00A20E89"/>
    <w:rsid w:val="00A22C13"/>
    <w:rsid w:val="00A23CDD"/>
    <w:rsid w:val="00A25A1E"/>
    <w:rsid w:val="00A260A3"/>
    <w:rsid w:val="00A324FA"/>
    <w:rsid w:val="00A3326D"/>
    <w:rsid w:val="00A35034"/>
    <w:rsid w:val="00A35C0A"/>
    <w:rsid w:val="00A40973"/>
    <w:rsid w:val="00A42BBE"/>
    <w:rsid w:val="00A4355E"/>
    <w:rsid w:val="00A450E3"/>
    <w:rsid w:val="00A45272"/>
    <w:rsid w:val="00A461AF"/>
    <w:rsid w:val="00A47CEF"/>
    <w:rsid w:val="00A54DE8"/>
    <w:rsid w:val="00A55713"/>
    <w:rsid w:val="00A559BD"/>
    <w:rsid w:val="00A55B61"/>
    <w:rsid w:val="00A562FD"/>
    <w:rsid w:val="00A57E3B"/>
    <w:rsid w:val="00A6145A"/>
    <w:rsid w:val="00A6145C"/>
    <w:rsid w:val="00A619CD"/>
    <w:rsid w:val="00A61CDC"/>
    <w:rsid w:val="00A628CD"/>
    <w:rsid w:val="00A63D1D"/>
    <w:rsid w:val="00A6475A"/>
    <w:rsid w:val="00A673E7"/>
    <w:rsid w:val="00A676CD"/>
    <w:rsid w:val="00A67B03"/>
    <w:rsid w:val="00A705AC"/>
    <w:rsid w:val="00A708BF"/>
    <w:rsid w:val="00A7278E"/>
    <w:rsid w:val="00A73C48"/>
    <w:rsid w:val="00A73C5C"/>
    <w:rsid w:val="00A7464C"/>
    <w:rsid w:val="00A756E0"/>
    <w:rsid w:val="00A80FDB"/>
    <w:rsid w:val="00A8111F"/>
    <w:rsid w:val="00A81360"/>
    <w:rsid w:val="00A8180E"/>
    <w:rsid w:val="00A84068"/>
    <w:rsid w:val="00A85663"/>
    <w:rsid w:val="00A86697"/>
    <w:rsid w:val="00A86C37"/>
    <w:rsid w:val="00A878F2"/>
    <w:rsid w:val="00A918B6"/>
    <w:rsid w:val="00A9238A"/>
    <w:rsid w:val="00A92F2B"/>
    <w:rsid w:val="00A94AD1"/>
    <w:rsid w:val="00A9510B"/>
    <w:rsid w:val="00A954A0"/>
    <w:rsid w:val="00A95811"/>
    <w:rsid w:val="00A97581"/>
    <w:rsid w:val="00AA045E"/>
    <w:rsid w:val="00AA0D36"/>
    <w:rsid w:val="00AA1195"/>
    <w:rsid w:val="00AA1455"/>
    <w:rsid w:val="00AA192D"/>
    <w:rsid w:val="00AA2804"/>
    <w:rsid w:val="00AA3557"/>
    <w:rsid w:val="00AA6B60"/>
    <w:rsid w:val="00AA70A1"/>
    <w:rsid w:val="00AA7532"/>
    <w:rsid w:val="00AB15EB"/>
    <w:rsid w:val="00AB332D"/>
    <w:rsid w:val="00AB402E"/>
    <w:rsid w:val="00AB4CBC"/>
    <w:rsid w:val="00AB64ED"/>
    <w:rsid w:val="00AB755D"/>
    <w:rsid w:val="00AC15AB"/>
    <w:rsid w:val="00AC5629"/>
    <w:rsid w:val="00AC6E77"/>
    <w:rsid w:val="00AD0595"/>
    <w:rsid w:val="00AD2349"/>
    <w:rsid w:val="00AD48DD"/>
    <w:rsid w:val="00AD54C1"/>
    <w:rsid w:val="00AD6EAF"/>
    <w:rsid w:val="00AE052B"/>
    <w:rsid w:val="00AE16DF"/>
    <w:rsid w:val="00AE19A7"/>
    <w:rsid w:val="00AE2AB2"/>
    <w:rsid w:val="00AE3480"/>
    <w:rsid w:val="00AE3F08"/>
    <w:rsid w:val="00AE49D2"/>
    <w:rsid w:val="00AF0E5D"/>
    <w:rsid w:val="00AF11FB"/>
    <w:rsid w:val="00AF28EE"/>
    <w:rsid w:val="00AF4248"/>
    <w:rsid w:val="00AF4934"/>
    <w:rsid w:val="00AF537D"/>
    <w:rsid w:val="00AF5AF8"/>
    <w:rsid w:val="00AF6211"/>
    <w:rsid w:val="00AF64C9"/>
    <w:rsid w:val="00AF7A45"/>
    <w:rsid w:val="00B00026"/>
    <w:rsid w:val="00B00660"/>
    <w:rsid w:val="00B0092E"/>
    <w:rsid w:val="00B01AEF"/>
    <w:rsid w:val="00B03B23"/>
    <w:rsid w:val="00B047C6"/>
    <w:rsid w:val="00B05BD4"/>
    <w:rsid w:val="00B061E8"/>
    <w:rsid w:val="00B06E67"/>
    <w:rsid w:val="00B0784C"/>
    <w:rsid w:val="00B10189"/>
    <w:rsid w:val="00B11563"/>
    <w:rsid w:val="00B13E6C"/>
    <w:rsid w:val="00B16929"/>
    <w:rsid w:val="00B16AA7"/>
    <w:rsid w:val="00B16AC9"/>
    <w:rsid w:val="00B17287"/>
    <w:rsid w:val="00B172A3"/>
    <w:rsid w:val="00B2091F"/>
    <w:rsid w:val="00B22696"/>
    <w:rsid w:val="00B2272A"/>
    <w:rsid w:val="00B234C7"/>
    <w:rsid w:val="00B23BF7"/>
    <w:rsid w:val="00B2439D"/>
    <w:rsid w:val="00B252D6"/>
    <w:rsid w:val="00B25501"/>
    <w:rsid w:val="00B25653"/>
    <w:rsid w:val="00B2599B"/>
    <w:rsid w:val="00B321B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1AAD"/>
    <w:rsid w:val="00B62070"/>
    <w:rsid w:val="00B6226E"/>
    <w:rsid w:val="00B62AA9"/>
    <w:rsid w:val="00B63C24"/>
    <w:rsid w:val="00B63CE6"/>
    <w:rsid w:val="00B642B7"/>
    <w:rsid w:val="00B6797B"/>
    <w:rsid w:val="00B67C6C"/>
    <w:rsid w:val="00B7387F"/>
    <w:rsid w:val="00B751AD"/>
    <w:rsid w:val="00B81526"/>
    <w:rsid w:val="00B81B16"/>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6C8D"/>
    <w:rsid w:val="00BA747A"/>
    <w:rsid w:val="00BA7487"/>
    <w:rsid w:val="00BB1335"/>
    <w:rsid w:val="00BB1676"/>
    <w:rsid w:val="00BB1D12"/>
    <w:rsid w:val="00BB3F84"/>
    <w:rsid w:val="00BB6BF4"/>
    <w:rsid w:val="00BB7BD7"/>
    <w:rsid w:val="00BC206F"/>
    <w:rsid w:val="00BC3861"/>
    <w:rsid w:val="00BC3925"/>
    <w:rsid w:val="00BC4A5E"/>
    <w:rsid w:val="00BC5152"/>
    <w:rsid w:val="00BC5671"/>
    <w:rsid w:val="00BD02FD"/>
    <w:rsid w:val="00BD1185"/>
    <w:rsid w:val="00BD3E52"/>
    <w:rsid w:val="00BD4509"/>
    <w:rsid w:val="00BD4B69"/>
    <w:rsid w:val="00BD4E16"/>
    <w:rsid w:val="00BD50B9"/>
    <w:rsid w:val="00BD5AF7"/>
    <w:rsid w:val="00BD6817"/>
    <w:rsid w:val="00BD76D0"/>
    <w:rsid w:val="00BE22C9"/>
    <w:rsid w:val="00BE24E5"/>
    <w:rsid w:val="00BE5CAB"/>
    <w:rsid w:val="00BE6883"/>
    <w:rsid w:val="00BE7805"/>
    <w:rsid w:val="00BE7D91"/>
    <w:rsid w:val="00BF1359"/>
    <w:rsid w:val="00BF4567"/>
    <w:rsid w:val="00BF49C3"/>
    <w:rsid w:val="00BF4F45"/>
    <w:rsid w:val="00BF5408"/>
    <w:rsid w:val="00BF694A"/>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5AC0"/>
    <w:rsid w:val="00C268C5"/>
    <w:rsid w:val="00C26AD7"/>
    <w:rsid w:val="00C3020A"/>
    <w:rsid w:val="00C31598"/>
    <w:rsid w:val="00C32429"/>
    <w:rsid w:val="00C33E7D"/>
    <w:rsid w:val="00C34087"/>
    <w:rsid w:val="00C34D9B"/>
    <w:rsid w:val="00C37144"/>
    <w:rsid w:val="00C41E61"/>
    <w:rsid w:val="00C42EB6"/>
    <w:rsid w:val="00C43788"/>
    <w:rsid w:val="00C44AF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590D"/>
    <w:rsid w:val="00C76A3A"/>
    <w:rsid w:val="00C82F39"/>
    <w:rsid w:val="00C841CF"/>
    <w:rsid w:val="00C84475"/>
    <w:rsid w:val="00C872FD"/>
    <w:rsid w:val="00C87381"/>
    <w:rsid w:val="00C90AB3"/>
    <w:rsid w:val="00C928B3"/>
    <w:rsid w:val="00C94AD1"/>
    <w:rsid w:val="00C95667"/>
    <w:rsid w:val="00C97BC4"/>
    <w:rsid w:val="00CA0EEB"/>
    <w:rsid w:val="00CA17C8"/>
    <w:rsid w:val="00CA27D5"/>
    <w:rsid w:val="00CA2D0F"/>
    <w:rsid w:val="00CA4E57"/>
    <w:rsid w:val="00CA5D9B"/>
    <w:rsid w:val="00CA5E0E"/>
    <w:rsid w:val="00CA60EF"/>
    <w:rsid w:val="00CB15E2"/>
    <w:rsid w:val="00CB21B9"/>
    <w:rsid w:val="00CB22FD"/>
    <w:rsid w:val="00CB24A5"/>
    <w:rsid w:val="00CB2816"/>
    <w:rsid w:val="00CB2B3F"/>
    <w:rsid w:val="00CB2DE0"/>
    <w:rsid w:val="00CB3345"/>
    <w:rsid w:val="00CB4614"/>
    <w:rsid w:val="00CB52A2"/>
    <w:rsid w:val="00CB534A"/>
    <w:rsid w:val="00CB5F43"/>
    <w:rsid w:val="00CB60ED"/>
    <w:rsid w:val="00CB688D"/>
    <w:rsid w:val="00CB6E58"/>
    <w:rsid w:val="00CC2285"/>
    <w:rsid w:val="00CC41D3"/>
    <w:rsid w:val="00CD07DB"/>
    <w:rsid w:val="00CD0D80"/>
    <w:rsid w:val="00CD5ED7"/>
    <w:rsid w:val="00CE069D"/>
    <w:rsid w:val="00CE2B7C"/>
    <w:rsid w:val="00CE2FA8"/>
    <w:rsid w:val="00CE5630"/>
    <w:rsid w:val="00CE5CAC"/>
    <w:rsid w:val="00CE612E"/>
    <w:rsid w:val="00CE62D6"/>
    <w:rsid w:val="00CF1271"/>
    <w:rsid w:val="00CF12E4"/>
    <w:rsid w:val="00CF253E"/>
    <w:rsid w:val="00CF3F8D"/>
    <w:rsid w:val="00CF425D"/>
    <w:rsid w:val="00CF6512"/>
    <w:rsid w:val="00CF7378"/>
    <w:rsid w:val="00CF7618"/>
    <w:rsid w:val="00D00AC8"/>
    <w:rsid w:val="00D01D20"/>
    <w:rsid w:val="00D05575"/>
    <w:rsid w:val="00D06FAD"/>
    <w:rsid w:val="00D07BEC"/>
    <w:rsid w:val="00D07ED6"/>
    <w:rsid w:val="00D11534"/>
    <w:rsid w:val="00D11D95"/>
    <w:rsid w:val="00D12596"/>
    <w:rsid w:val="00D167D5"/>
    <w:rsid w:val="00D207A6"/>
    <w:rsid w:val="00D21E25"/>
    <w:rsid w:val="00D225A6"/>
    <w:rsid w:val="00D22FBE"/>
    <w:rsid w:val="00D235E0"/>
    <w:rsid w:val="00D2742A"/>
    <w:rsid w:val="00D30A4C"/>
    <w:rsid w:val="00D328A3"/>
    <w:rsid w:val="00D33C42"/>
    <w:rsid w:val="00D343F6"/>
    <w:rsid w:val="00D35D8D"/>
    <w:rsid w:val="00D42857"/>
    <w:rsid w:val="00D4683A"/>
    <w:rsid w:val="00D50A00"/>
    <w:rsid w:val="00D51E1C"/>
    <w:rsid w:val="00D52B74"/>
    <w:rsid w:val="00D53E7A"/>
    <w:rsid w:val="00D549D4"/>
    <w:rsid w:val="00D5708A"/>
    <w:rsid w:val="00D6342E"/>
    <w:rsid w:val="00D67DE1"/>
    <w:rsid w:val="00D70452"/>
    <w:rsid w:val="00D749FA"/>
    <w:rsid w:val="00D7608E"/>
    <w:rsid w:val="00D773F5"/>
    <w:rsid w:val="00D80B1F"/>
    <w:rsid w:val="00D82F91"/>
    <w:rsid w:val="00D83DD4"/>
    <w:rsid w:val="00D83EFA"/>
    <w:rsid w:val="00D84DE1"/>
    <w:rsid w:val="00D85270"/>
    <w:rsid w:val="00D9071B"/>
    <w:rsid w:val="00D92E47"/>
    <w:rsid w:val="00D94DB5"/>
    <w:rsid w:val="00D94FB1"/>
    <w:rsid w:val="00D96876"/>
    <w:rsid w:val="00D9781D"/>
    <w:rsid w:val="00D9784C"/>
    <w:rsid w:val="00D97BC6"/>
    <w:rsid w:val="00DA1CFB"/>
    <w:rsid w:val="00DA1CFF"/>
    <w:rsid w:val="00DA2123"/>
    <w:rsid w:val="00DA53DC"/>
    <w:rsid w:val="00DA6CA3"/>
    <w:rsid w:val="00DA77F9"/>
    <w:rsid w:val="00DB08CB"/>
    <w:rsid w:val="00DB0D9A"/>
    <w:rsid w:val="00DB154D"/>
    <w:rsid w:val="00DB227C"/>
    <w:rsid w:val="00DB2457"/>
    <w:rsid w:val="00DB5CB6"/>
    <w:rsid w:val="00DB60AC"/>
    <w:rsid w:val="00DB7714"/>
    <w:rsid w:val="00DC239F"/>
    <w:rsid w:val="00DC2D1C"/>
    <w:rsid w:val="00DC3D0B"/>
    <w:rsid w:val="00DC44B1"/>
    <w:rsid w:val="00DC4E02"/>
    <w:rsid w:val="00DC5EE8"/>
    <w:rsid w:val="00DC679E"/>
    <w:rsid w:val="00DD2D9E"/>
    <w:rsid w:val="00DD58B2"/>
    <w:rsid w:val="00DD60CE"/>
    <w:rsid w:val="00DD61C9"/>
    <w:rsid w:val="00DE0CB9"/>
    <w:rsid w:val="00DE15C7"/>
    <w:rsid w:val="00DE28C6"/>
    <w:rsid w:val="00DE3A1E"/>
    <w:rsid w:val="00DE3AF3"/>
    <w:rsid w:val="00DE6486"/>
    <w:rsid w:val="00DE7706"/>
    <w:rsid w:val="00DF2857"/>
    <w:rsid w:val="00DF2B40"/>
    <w:rsid w:val="00DF320C"/>
    <w:rsid w:val="00DF6576"/>
    <w:rsid w:val="00DF692A"/>
    <w:rsid w:val="00DF6A5E"/>
    <w:rsid w:val="00DF6AEB"/>
    <w:rsid w:val="00E00266"/>
    <w:rsid w:val="00E00F8F"/>
    <w:rsid w:val="00E011B0"/>
    <w:rsid w:val="00E03633"/>
    <w:rsid w:val="00E03C9C"/>
    <w:rsid w:val="00E069D6"/>
    <w:rsid w:val="00E06E30"/>
    <w:rsid w:val="00E102F2"/>
    <w:rsid w:val="00E104CA"/>
    <w:rsid w:val="00E10861"/>
    <w:rsid w:val="00E1146C"/>
    <w:rsid w:val="00E11C5C"/>
    <w:rsid w:val="00E12571"/>
    <w:rsid w:val="00E13DFF"/>
    <w:rsid w:val="00E15778"/>
    <w:rsid w:val="00E15809"/>
    <w:rsid w:val="00E1709E"/>
    <w:rsid w:val="00E25694"/>
    <w:rsid w:val="00E25B37"/>
    <w:rsid w:val="00E27EEE"/>
    <w:rsid w:val="00E30AA6"/>
    <w:rsid w:val="00E31497"/>
    <w:rsid w:val="00E32052"/>
    <w:rsid w:val="00E34ED6"/>
    <w:rsid w:val="00E36FCD"/>
    <w:rsid w:val="00E3736F"/>
    <w:rsid w:val="00E378E9"/>
    <w:rsid w:val="00E400D7"/>
    <w:rsid w:val="00E41E8E"/>
    <w:rsid w:val="00E455F4"/>
    <w:rsid w:val="00E45D78"/>
    <w:rsid w:val="00E45DC2"/>
    <w:rsid w:val="00E46709"/>
    <w:rsid w:val="00E47FCD"/>
    <w:rsid w:val="00E51174"/>
    <w:rsid w:val="00E51766"/>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660"/>
    <w:rsid w:val="00E816CC"/>
    <w:rsid w:val="00E82B9C"/>
    <w:rsid w:val="00E840E6"/>
    <w:rsid w:val="00E8431B"/>
    <w:rsid w:val="00E8611B"/>
    <w:rsid w:val="00E86ACD"/>
    <w:rsid w:val="00E91DE2"/>
    <w:rsid w:val="00E93C33"/>
    <w:rsid w:val="00E946DA"/>
    <w:rsid w:val="00E94DE4"/>
    <w:rsid w:val="00E95C1A"/>
    <w:rsid w:val="00E96248"/>
    <w:rsid w:val="00E97BFB"/>
    <w:rsid w:val="00EA01F5"/>
    <w:rsid w:val="00EA0AC8"/>
    <w:rsid w:val="00EA190A"/>
    <w:rsid w:val="00EA2558"/>
    <w:rsid w:val="00EA3680"/>
    <w:rsid w:val="00EA3D91"/>
    <w:rsid w:val="00EA5086"/>
    <w:rsid w:val="00EA52CA"/>
    <w:rsid w:val="00EA60AA"/>
    <w:rsid w:val="00EB00A7"/>
    <w:rsid w:val="00EB018F"/>
    <w:rsid w:val="00EB05D5"/>
    <w:rsid w:val="00EB212D"/>
    <w:rsid w:val="00EB2EE6"/>
    <w:rsid w:val="00EB4D3B"/>
    <w:rsid w:val="00EB55CE"/>
    <w:rsid w:val="00EC4208"/>
    <w:rsid w:val="00EC5C1D"/>
    <w:rsid w:val="00EC64BF"/>
    <w:rsid w:val="00EC6D4C"/>
    <w:rsid w:val="00EC7BD3"/>
    <w:rsid w:val="00ED43B5"/>
    <w:rsid w:val="00ED45B9"/>
    <w:rsid w:val="00ED6DD6"/>
    <w:rsid w:val="00EE01E7"/>
    <w:rsid w:val="00EE11D3"/>
    <w:rsid w:val="00EE29FA"/>
    <w:rsid w:val="00EE30D8"/>
    <w:rsid w:val="00EE6088"/>
    <w:rsid w:val="00EE695E"/>
    <w:rsid w:val="00EE6D3A"/>
    <w:rsid w:val="00EF1439"/>
    <w:rsid w:val="00EF2307"/>
    <w:rsid w:val="00EF3A6F"/>
    <w:rsid w:val="00EF3E10"/>
    <w:rsid w:val="00EF547B"/>
    <w:rsid w:val="00F027FE"/>
    <w:rsid w:val="00F0284C"/>
    <w:rsid w:val="00F037E8"/>
    <w:rsid w:val="00F04416"/>
    <w:rsid w:val="00F055E7"/>
    <w:rsid w:val="00F05A8C"/>
    <w:rsid w:val="00F10CE0"/>
    <w:rsid w:val="00F117F8"/>
    <w:rsid w:val="00F119FC"/>
    <w:rsid w:val="00F12328"/>
    <w:rsid w:val="00F14EC7"/>
    <w:rsid w:val="00F17B46"/>
    <w:rsid w:val="00F2049E"/>
    <w:rsid w:val="00F207B5"/>
    <w:rsid w:val="00F219D8"/>
    <w:rsid w:val="00F22479"/>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67D"/>
    <w:rsid w:val="00F56770"/>
    <w:rsid w:val="00F56ABB"/>
    <w:rsid w:val="00F57875"/>
    <w:rsid w:val="00F61FAC"/>
    <w:rsid w:val="00F620EC"/>
    <w:rsid w:val="00F668F1"/>
    <w:rsid w:val="00F76DC6"/>
    <w:rsid w:val="00F878FF"/>
    <w:rsid w:val="00F900BB"/>
    <w:rsid w:val="00F91BD0"/>
    <w:rsid w:val="00F947A3"/>
    <w:rsid w:val="00F95005"/>
    <w:rsid w:val="00F953AD"/>
    <w:rsid w:val="00FA061A"/>
    <w:rsid w:val="00FA0FE9"/>
    <w:rsid w:val="00FA5FC2"/>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D09B9"/>
    <w:rsid w:val="00FD2819"/>
    <w:rsid w:val="00FD35AE"/>
    <w:rsid w:val="00FD5AB4"/>
    <w:rsid w:val="00FD7948"/>
    <w:rsid w:val="00FE18E4"/>
    <w:rsid w:val="00FE2FF3"/>
    <w:rsid w:val="00FE423D"/>
    <w:rsid w:val="00FE5347"/>
    <w:rsid w:val="00FE53AB"/>
    <w:rsid w:val="00FF284D"/>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5C555C"/>
    <w:pPr>
      <w:tabs>
        <w:tab w:val="left" w:pos="-108"/>
        <w:tab w:val="left" w:pos="709"/>
      </w:tabs>
      <w:spacing w:after="120"/>
    </w:pPr>
    <w:rPr>
      <w:rFonts w:cs="Arial"/>
      <w:noProof/>
      <w:u w:val="single"/>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5C555C"/>
    <w:pPr>
      <w:tabs>
        <w:tab w:val="left" w:pos="-108"/>
        <w:tab w:val="left" w:pos="709"/>
      </w:tabs>
      <w:spacing w:after="120"/>
    </w:pPr>
    <w:rPr>
      <w:rFonts w:cs="Arial"/>
      <w:noProof/>
      <w:u w:val="single"/>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94002480">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56050704">
      <w:bodyDiv w:val="1"/>
      <w:marLeft w:val="0"/>
      <w:marRight w:val="0"/>
      <w:marTop w:val="0"/>
      <w:marBottom w:val="0"/>
      <w:divBdr>
        <w:top w:val="none" w:sz="0" w:space="0" w:color="auto"/>
        <w:left w:val="none" w:sz="0" w:space="0" w:color="auto"/>
        <w:bottom w:val="none" w:sz="0" w:space="0" w:color="auto"/>
        <w:right w:val="none" w:sz="0" w:space="0" w:color="auto"/>
      </w:divBdr>
      <w:divsChild>
        <w:div w:id="548760092">
          <w:marLeft w:val="0"/>
          <w:marRight w:val="0"/>
          <w:marTop w:val="0"/>
          <w:marBottom w:val="0"/>
          <w:divBdr>
            <w:top w:val="none" w:sz="0" w:space="0" w:color="auto"/>
            <w:left w:val="none" w:sz="0" w:space="0" w:color="auto"/>
            <w:bottom w:val="none" w:sz="0" w:space="0" w:color="auto"/>
            <w:right w:val="none" w:sz="0" w:space="0" w:color="auto"/>
          </w:divBdr>
        </w:div>
        <w:div w:id="1665206697">
          <w:marLeft w:val="0"/>
          <w:marRight w:val="0"/>
          <w:marTop w:val="0"/>
          <w:marBottom w:val="0"/>
          <w:divBdr>
            <w:top w:val="none" w:sz="0" w:space="0" w:color="auto"/>
            <w:left w:val="none" w:sz="0" w:space="0" w:color="auto"/>
            <w:bottom w:val="none" w:sz="0" w:space="0" w:color="auto"/>
            <w:right w:val="none" w:sz="0" w:space="0" w:color="auto"/>
          </w:divBdr>
        </w:div>
        <w:div w:id="846749567">
          <w:marLeft w:val="0"/>
          <w:marRight w:val="0"/>
          <w:marTop w:val="0"/>
          <w:marBottom w:val="0"/>
          <w:divBdr>
            <w:top w:val="none" w:sz="0" w:space="0" w:color="auto"/>
            <w:left w:val="none" w:sz="0" w:space="0" w:color="auto"/>
            <w:bottom w:val="none" w:sz="0" w:space="0" w:color="auto"/>
            <w:right w:val="none" w:sz="0" w:space="0" w:color="auto"/>
          </w:divBdr>
        </w:div>
        <w:div w:id="865022110">
          <w:marLeft w:val="0"/>
          <w:marRight w:val="0"/>
          <w:marTop w:val="0"/>
          <w:marBottom w:val="0"/>
          <w:divBdr>
            <w:top w:val="none" w:sz="0" w:space="0" w:color="auto"/>
            <w:left w:val="none" w:sz="0" w:space="0" w:color="auto"/>
            <w:bottom w:val="none" w:sz="0" w:space="0" w:color="auto"/>
            <w:right w:val="none" w:sz="0" w:space="0" w:color="auto"/>
          </w:divBdr>
        </w:div>
        <w:div w:id="585654401">
          <w:marLeft w:val="0"/>
          <w:marRight w:val="0"/>
          <w:marTop w:val="0"/>
          <w:marBottom w:val="0"/>
          <w:divBdr>
            <w:top w:val="none" w:sz="0" w:space="0" w:color="auto"/>
            <w:left w:val="none" w:sz="0" w:space="0" w:color="auto"/>
            <w:bottom w:val="none" w:sz="0" w:space="0" w:color="auto"/>
            <w:right w:val="none" w:sz="0" w:space="0" w:color="auto"/>
          </w:divBdr>
        </w:div>
        <w:div w:id="1237547475">
          <w:marLeft w:val="0"/>
          <w:marRight w:val="0"/>
          <w:marTop w:val="0"/>
          <w:marBottom w:val="0"/>
          <w:divBdr>
            <w:top w:val="none" w:sz="0" w:space="0" w:color="auto"/>
            <w:left w:val="none" w:sz="0" w:space="0" w:color="auto"/>
            <w:bottom w:val="none" w:sz="0" w:space="0" w:color="auto"/>
            <w:right w:val="none" w:sz="0" w:space="0" w:color="auto"/>
          </w:divBdr>
        </w:div>
        <w:div w:id="1072313432">
          <w:marLeft w:val="0"/>
          <w:marRight w:val="0"/>
          <w:marTop w:val="0"/>
          <w:marBottom w:val="0"/>
          <w:divBdr>
            <w:top w:val="none" w:sz="0" w:space="0" w:color="auto"/>
            <w:left w:val="none" w:sz="0" w:space="0" w:color="auto"/>
            <w:bottom w:val="none" w:sz="0" w:space="0" w:color="auto"/>
            <w:right w:val="none" w:sz="0" w:space="0" w:color="auto"/>
          </w:divBdr>
        </w:div>
        <w:div w:id="676616145">
          <w:marLeft w:val="0"/>
          <w:marRight w:val="0"/>
          <w:marTop w:val="0"/>
          <w:marBottom w:val="0"/>
          <w:divBdr>
            <w:top w:val="none" w:sz="0" w:space="0" w:color="auto"/>
            <w:left w:val="none" w:sz="0" w:space="0" w:color="auto"/>
            <w:bottom w:val="none" w:sz="0" w:space="0" w:color="auto"/>
            <w:right w:val="none" w:sz="0" w:space="0" w:color="auto"/>
          </w:divBdr>
        </w:div>
        <w:div w:id="138232762">
          <w:marLeft w:val="0"/>
          <w:marRight w:val="0"/>
          <w:marTop w:val="0"/>
          <w:marBottom w:val="0"/>
          <w:divBdr>
            <w:top w:val="none" w:sz="0" w:space="0" w:color="auto"/>
            <w:left w:val="none" w:sz="0" w:space="0" w:color="auto"/>
            <w:bottom w:val="none" w:sz="0" w:space="0" w:color="auto"/>
            <w:right w:val="none" w:sz="0" w:space="0" w:color="auto"/>
          </w:divBdr>
        </w:div>
        <w:div w:id="1088304831">
          <w:marLeft w:val="0"/>
          <w:marRight w:val="0"/>
          <w:marTop w:val="0"/>
          <w:marBottom w:val="0"/>
          <w:divBdr>
            <w:top w:val="none" w:sz="0" w:space="0" w:color="auto"/>
            <w:left w:val="none" w:sz="0" w:space="0" w:color="auto"/>
            <w:bottom w:val="none" w:sz="0" w:space="0" w:color="auto"/>
            <w:right w:val="none" w:sz="0" w:space="0" w:color="auto"/>
          </w:divBdr>
        </w:div>
        <w:div w:id="1480416652">
          <w:marLeft w:val="0"/>
          <w:marRight w:val="0"/>
          <w:marTop w:val="0"/>
          <w:marBottom w:val="0"/>
          <w:divBdr>
            <w:top w:val="none" w:sz="0" w:space="0" w:color="auto"/>
            <w:left w:val="none" w:sz="0" w:space="0" w:color="auto"/>
            <w:bottom w:val="none" w:sz="0" w:space="0" w:color="auto"/>
            <w:right w:val="none" w:sz="0" w:space="0" w:color="auto"/>
          </w:divBdr>
        </w:div>
        <w:div w:id="1778140333">
          <w:marLeft w:val="0"/>
          <w:marRight w:val="0"/>
          <w:marTop w:val="0"/>
          <w:marBottom w:val="0"/>
          <w:divBdr>
            <w:top w:val="none" w:sz="0" w:space="0" w:color="auto"/>
            <w:left w:val="none" w:sz="0" w:space="0" w:color="auto"/>
            <w:bottom w:val="none" w:sz="0" w:space="0" w:color="auto"/>
            <w:right w:val="none" w:sz="0" w:space="0" w:color="auto"/>
          </w:divBdr>
        </w:div>
      </w:divsChild>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2127383899">
                          <w:marLeft w:val="0"/>
                          <w:marRight w:val="0"/>
                          <w:marTop w:val="0"/>
                          <w:marBottom w:val="0"/>
                          <w:divBdr>
                            <w:top w:val="none" w:sz="0" w:space="0" w:color="auto"/>
                            <w:left w:val="none" w:sz="0" w:space="0" w:color="auto"/>
                            <w:bottom w:val="none" w:sz="0" w:space="0" w:color="auto"/>
                            <w:right w:val="none" w:sz="0" w:space="0" w:color="auto"/>
                          </w:divBdr>
                        </w:div>
                        <w:div w:id="10742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30835089">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93303220">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uk-news/davehillblog/2014/nov/22/london-must-move-faster-on-air-pollu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ultations.tfl.gov.uk/environment/ultra-low-emission-z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nsultations/crossrail-2-safeguarding-directions" TargetMode="External"/><Relationship Id="rId5" Type="http://schemas.openxmlformats.org/officeDocument/2006/relationships/settings" Target="settings.xml"/><Relationship Id="rId15" Type="http://schemas.openxmlformats.org/officeDocument/2006/relationships/hyperlink" Target="https://consultations.tfl.gov.uk/environment/ultra-low-emission-zone" TargetMode="External"/><Relationship Id="rId10" Type="http://schemas.openxmlformats.org/officeDocument/2006/relationships/hyperlink" Target="https://www.gov.uk/government/uploads/system/uploads/attachment_data/file/375199/safeguarding-consultatio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ndoncouncils.gov.uk/committees/agenda.htm?pk_agenda_items=5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6976-AB3C-4F95-AA1E-C18BDC62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1945</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12809</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5</cp:revision>
  <cp:lastPrinted>2014-12-02T11:39:00Z</cp:lastPrinted>
  <dcterms:created xsi:type="dcterms:W3CDTF">2014-12-01T11:30:00Z</dcterms:created>
  <dcterms:modified xsi:type="dcterms:W3CDTF">2014-12-02T11:40:00Z</dcterms:modified>
</cp:coreProperties>
</file>