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18"/>
        <w:tblW w:w="9640" w:type="dxa"/>
        <w:tblBorders>
          <w:insideH w:val="single" w:sz="4" w:space="0" w:color="auto"/>
        </w:tblBorders>
        <w:tblLayout w:type="fixed"/>
        <w:tblLook w:val="0000" w:firstRow="0" w:lastRow="0" w:firstColumn="0" w:lastColumn="0" w:noHBand="0" w:noVBand="0"/>
      </w:tblPr>
      <w:tblGrid>
        <w:gridCol w:w="1843"/>
        <w:gridCol w:w="2045"/>
        <w:gridCol w:w="180"/>
        <w:gridCol w:w="1080"/>
        <w:gridCol w:w="360"/>
        <w:gridCol w:w="934"/>
        <w:gridCol w:w="2347"/>
        <w:gridCol w:w="851"/>
      </w:tblGrid>
      <w:tr w:rsidR="000F11AE" w:rsidTr="007871DC">
        <w:trPr>
          <w:cantSplit/>
        </w:trPr>
        <w:tc>
          <w:tcPr>
            <w:tcW w:w="9640" w:type="dxa"/>
            <w:gridSpan w:val="8"/>
            <w:tcBorders>
              <w:top w:val="nil"/>
              <w:bottom w:val="nil"/>
            </w:tcBorders>
          </w:tcPr>
          <w:p w:rsidR="000F11AE" w:rsidRDefault="007871DC" w:rsidP="007871DC">
            <w:pPr>
              <w:pStyle w:val="algHeading1"/>
            </w:pPr>
            <w:r w:rsidRPr="00E562D7">
              <w:rPr>
                <w:rFonts w:cs="Arial"/>
              </w:rPr>
              <w:t>London Councils</w:t>
            </w:r>
            <w:r>
              <w:rPr>
                <w:rFonts w:cs="Arial"/>
              </w:rPr>
              <w:t>’ Transport &amp; Environment Committee</w:t>
            </w:r>
          </w:p>
        </w:tc>
      </w:tr>
      <w:tr w:rsidR="000F11AE" w:rsidTr="007871DC">
        <w:trPr>
          <w:cantSplit/>
          <w:trHeight w:val="275"/>
        </w:trPr>
        <w:tc>
          <w:tcPr>
            <w:tcW w:w="9640" w:type="dxa"/>
            <w:gridSpan w:val="8"/>
            <w:tcBorders>
              <w:top w:val="nil"/>
              <w:bottom w:val="nil"/>
            </w:tcBorders>
          </w:tcPr>
          <w:p w:rsidR="000F11AE" w:rsidRPr="007871DC" w:rsidRDefault="000F11AE" w:rsidP="007871DC">
            <w:pPr>
              <w:pStyle w:val="Spacer"/>
              <w:rPr>
                <w:sz w:val="22"/>
              </w:rPr>
            </w:pPr>
          </w:p>
        </w:tc>
      </w:tr>
      <w:tr w:rsidR="000F11AE" w:rsidRPr="00CB2B3F" w:rsidTr="007871DC">
        <w:trPr>
          <w:cantSplit/>
        </w:trPr>
        <w:tc>
          <w:tcPr>
            <w:tcW w:w="6442" w:type="dxa"/>
            <w:gridSpan w:val="6"/>
            <w:tcBorders>
              <w:top w:val="nil"/>
              <w:bottom w:val="nil"/>
            </w:tcBorders>
          </w:tcPr>
          <w:p w:rsidR="000F11AE" w:rsidRPr="002C54CE" w:rsidRDefault="002C54CE" w:rsidP="002C54CE">
            <w:pPr>
              <w:pStyle w:val="algHeading2"/>
              <w:framePr w:hSpace="0" w:wrap="auto" w:hAnchor="text" w:yAlign="inline"/>
            </w:pPr>
            <w:r w:rsidRPr="002C54CE">
              <w:t>Flood Management and Thames Regional Flood and Coastal Committee (TRFCC)</w:t>
            </w:r>
          </w:p>
        </w:tc>
        <w:tc>
          <w:tcPr>
            <w:tcW w:w="2347" w:type="dxa"/>
            <w:tcBorders>
              <w:top w:val="nil"/>
              <w:bottom w:val="nil"/>
            </w:tcBorders>
          </w:tcPr>
          <w:p w:rsidR="000F11AE" w:rsidRPr="007B0CCE" w:rsidRDefault="000F11AE" w:rsidP="002C54CE">
            <w:pPr>
              <w:pStyle w:val="algHeading2"/>
              <w:framePr w:hSpace="0" w:wrap="auto" w:hAnchor="text" w:yAlign="inline"/>
            </w:pPr>
            <w:r w:rsidRPr="007B0CCE">
              <w:t>Item no:</w:t>
            </w:r>
          </w:p>
        </w:tc>
        <w:tc>
          <w:tcPr>
            <w:tcW w:w="851" w:type="dxa"/>
            <w:tcBorders>
              <w:top w:val="nil"/>
              <w:bottom w:val="nil"/>
            </w:tcBorders>
          </w:tcPr>
          <w:p w:rsidR="00CB2B3F" w:rsidRPr="007B0CCE" w:rsidRDefault="002C54CE" w:rsidP="002C54CE">
            <w:pPr>
              <w:pStyle w:val="algHeading2"/>
              <w:framePr w:hSpace="0" w:wrap="auto" w:hAnchor="text" w:yAlign="inline"/>
            </w:pPr>
            <w:r>
              <w:t>03</w:t>
            </w:r>
          </w:p>
        </w:tc>
      </w:tr>
      <w:tr w:rsidR="000F11AE" w:rsidRPr="00CB2B3F" w:rsidTr="007871DC">
        <w:trPr>
          <w:cantSplit/>
        </w:trPr>
        <w:tc>
          <w:tcPr>
            <w:tcW w:w="9640" w:type="dxa"/>
            <w:gridSpan w:val="8"/>
            <w:tcBorders>
              <w:top w:val="nil"/>
              <w:bottom w:val="nil"/>
            </w:tcBorders>
          </w:tcPr>
          <w:p w:rsidR="000F11AE" w:rsidRPr="007252A2" w:rsidRDefault="000F11AE" w:rsidP="007871DC">
            <w:pPr>
              <w:pStyle w:val="Spacer"/>
              <w:rPr>
                <w:sz w:val="22"/>
              </w:rPr>
            </w:pPr>
          </w:p>
        </w:tc>
      </w:tr>
      <w:tr w:rsidR="000F11AE" w:rsidRPr="002C54CE" w:rsidTr="007252A2">
        <w:trPr>
          <w:cantSplit/>
        </w:trPr>
        <w:tc>
          <w:tcPr>
            <w:tcW w:w="1843" w:type="dxa"/>
            <w:tcBorders>
              <w:top w:val="nil"/>
              <w:bottom w:val="nil"/>
              <w:right w:val="nil"/>
            </w:tcBorders>
          </w:tcPr>
          <w:p w:rsidR="000F11AE" w:rsidRPr="002C54CE" w:rsidRDefault="000F11AE" w:rsidP="002C54CE">
            <w:pPr>
              <w:rPr>
                <w:b/>
              </w:rPr>
            </w:pPr>
            <w:r w:rsidRPr="002C54CE">
              <w:rPr>
                <w:b/>
              </w:rPr>
              <w:t>Report by:</w:t>
            </w:r>
          </w:p>
        </w:tc>
        <w:tc>
          <w:tcPr>
            <w:tcW w:w="2225" w:type="dxa"/>
            <w:gridSpan w:val="2"/>
            <w:tcBorders>
              <w:top w:val="nil"/>
              <w:left w:val="nil"/>
              <w:bottom w:val="nil"/>
              <w:right w:val="nil"/>
            </w:tcBorders>
          </w:tcPr>
          <w:p w:rsidR="000F11AE" w:rsidRPr="002C54CE" w:rsidRDefault="00124CD4" w:rsidP="002C54CE">
            <w:r w:rsidRPr="002C54CE">
              <w:t>Katharina Winbeck</w:t>
            </w:r>
          </w:p>
        </w:tc>
        <w:tc>
          <w:tcPr>
            <w:tcW w:w="1440" w:type="dxa"/>
            <w:gridSpan w:val="2"/>
            <w:tcBorders>
              <w:top w:val="nil"/>
              <w:left w:val="nil"/>
              <w:bottom w:val="nil"/>
              <w:right w:val="nil"/>
            </w:tcBorders>
          </w:tcPr>
          <w:p w:rsidR="000F11AE" w:rsidRPr="002C54CE" w:rsidRDefault="000F11AE" w:rsidP="002C54CE">
            <w:pPr>
              <w:rPr>
                <w:b/>
              </w:rPr>
            </w:pPr>
            <w:r w:rsidRPr="002C54CE">
              <w:rPr>
                <w:b/>
              </w:rPr>
              <w:t>Job title:</w:t>
            </w:r>
          </w:p>
        </w:tc>
        <w:tc>
          <w:tcPr>
            <w:tcW w:w="4132" w:type="dxa"/>
            <w:gridSpan w:val="3"/>
            <w:tcBorders>
              <w:top w:val="nil"/>
              <w:left w:val="nil"/>
              <w:bottom w:val="nil"/>
            </w:tcBorders>
          </w:tcPr>
          <w:p w:rsidR="000F11AE" w:rsidRDefault="000F11AE" w:rsidP="002C54CE">
            <w:r w:rsidRPr="002C54CE">
              <w:t xml:space="preserve">Head of </w:t>
            </w:r>
            <w:r w:rsidR="007871DC" w:rsidRPr="002C54CE">
              <w:t xml:space="preserve">Transport </w:t>
            </w:r>
            <w:r w:rsidR="00F037E8" w:rsidRPr="002C54CE">
              <w:t>and</w:t>
            </w:r>
            <w:r w:rsidR="007871DC" w:rsidRPr="002C54CE">
              <w:t xml:space="preserve"> Environment</w:t>
            </w:r>
          </w:p>
          <w:p w:rsidR="002C54CE" w:rsidRPr="002C54CE" w:rsidRDefault="002C54CE" w:rsidP="002C54CE"/>
        </w:tc>
      </w:tr>
      <w:tr w:rsidR="000F11AE" w:rsidRPr="002C54CE" w:rsidTr="007871DC">
        <w:trPr>
          <w:cantSplit/>
        </w:trPr>
        <w:tc>
          <w:tcPr>
            <w:tcW w:w="1843" w:type="dxa"/>
            <w:tcBorders>
              <w:top w:val="nil"/>
              <w:bottom w:val="nil"/>
              <w:right w:val="nil"/>
            </w:tcBorders>
          </w:tcPr>
          <w:p w:rsidR="000F11AE" w:rsidRPr="002C54CE" w:rsidRDefault="000F11AE" w:rsidP="002C54CE">
            <w:pPr>
              <w:rPr>
                <w:b/>
              </w:rPr>
            </w:pPr>
            <w:r w:rsidRPr="002C54CE">
              <w:rPr>
                <w:b/>
              </w:rPr>
              <w:t>Date:</w:t>
            </w:r>
          </w:p>
        </w:tc>
        <w:tc>
          <w:tcPr>
            <w:tcW w:w="7797" w:type="dxa"/>
            <w:gridSpan w:val="7"/>
            <w:tcBorders>
              <w:top w:val="nil"/>
              <w:left w:val="nil"/>
              <w:bottom w:val="nil"/>
            </w:tcBorders>
          </w:tcPr>
          <w:p w:rsidR="000F11AE" w:rsidRDefault="00154F4C" w:rsidP="002C54CE">
            <w:r w:rsidRPr="002C54CE">
              <w:t>16 October 2014</w:t>
            </w:r>
          </w:p>
          <w:p w:rsidR="002C54CE" w:rsidRPr="002C54CE" w:rsidRDefault="002C54CE" w:rsidP="002C54CE"/>
        </w:tc>
      </w:tr>
      <w:tr w:rsidR="000F11AE" w:rsidRPr="002C54CE" w:rsidTr="007871DC">
        <w:trPr>
          <w:cantSplit/>
        </w:trPr>
        <w:tc>
          <w:tcPr>
            <w:tcW w:w="1843" w:type="dxa"/>
            <w:tcBorders>
              <w:top w:val="nil"/>
              <w:bottom w:val="nil"/>
              <w:right w:val="nil"/>
            </w:tcBorders>
          </w:tcPr>
          <w:p w:rsidR="000F11AE" w:rsidRDefault="000F11AE" w:rsidP="002C54CE">
            <w:pPr>
              <w:rPr>
                <w:b/>
              </w:rPr>
            </w:pPr>
            <w:r w:rsidRPr="002C54CE">
              <w:rPr>
                <w:b/>
              </w:rPr>
              <w:t>Contact Officer:</w:t>
            </w:r>
          </w:p>
          <w:p w:rsidR="002C54CE" w:rsidRPr="002C54CE" w:rsidRDefault="002C54CE" w:rsidP="002C54CE">
            <w:pPr>
              <w:rPr>
                <w:b/>
              </w:rPr>
            </w:pPr>
          </w:p>
        </w:tc>
        <w:tc>
          <w:tcPr>
            <w:tcW w:w="7797" w:type="dxa"/>
            <w:gridSpan w:val="7"/>
            <w:tcBorders>
              <w:top w:val="nil"/>
              <w:left w:val="nil"/>
              <w:bottom w:val="nil"/>
            </w:tcBorders>
          </w:tcPr>
          <w:p w:rsidR="000F11AE" w:rsidRPr="002C54CE" w:rsidRDefault="00124CD4" w:rsidP="002C54CE">
            <w:r w:rsidRPr="002C54CE">
              <w:t>Katharina Winbeck</w:t>
            </w:r>
          </w:p>
        </w:tc>
      </w:tr>
      <w:tr w:rsidR="000F11AE" w:rsidRPr="002C54CE" w:rsidTr="007871DC">
        <w:trPr>
          <w:cantSplit/>
        </w:trPr>
        <w:tc>
          <w:tcPr>
            <w:tcW w:w="1843" w:type="dxa"/>
            <w:tcBorders>
              <w:top w:val="nil"/>
              <w:bottom w:val="nil"/>
              <w:right w:val="nil"/>
            </w:tcBorders>
          </w:tcPr>
          <w:p w:rsidR="000F11AE" w:rsidRPr="002C54CE" w:rsidRDefault="000F11AE" w:rsidP="002C54CE">
            <w:r w:rsidRPr="002C54CE">
              <w:t>Telephone:</w:t>
            </w:r>
          </w:p>
        </w:tc>
        <w:tc>
          <w:tcPr>
            <w:tcW w:w="2045" w:type="dxa"/>
            <w:tcBorders>
              <w:top w:val="nil"/>
              <w:left w:val="nil"/>
              <w:bottom w:val="nil"/>
              <w:right w:val="nil"/>
            </w:tcBorders>
          </w:tcPr>
          <w:p w:rsidR="000F11AE" w:rsidRPr="002C54CE" w:rsidRDefault="000F11AE" w:rsidP="002C54CE">
            <w:r w:rsidRPr="002C54CE">
              <w:t>020 793</w:t>
            </w:r>
            <w:r w:rsidR="001A0256" w:rsidRPr="002C54CE">
              <w:t xml:space="preserve">4 </w:t>
            </w:r>
            <w:r w:rsidR="00A450E3" w:rsidRPr="002C54CE">
              <w:t>9</w:t>
            </w:r>
            <w:r w:rsidR="007871DC" w:rsidRPr="002C54CE">
              <w:t>945</w:t>
            </w:r>
          </w:p>
        </w:tc>
        <w:tc>
          <w:tcPr>
            <w:tcW w:w="1260" w:type="dxa"/>
            <w:gridSpan w:val="2"/>
            <w:tcBorders>
              <w:top w:val="nil"/>
              <w:left w:val="nil"/>
              <w:bottom w:val="nil"/>
              <w:right w:val="nil"/>
            </w:tcBorders>
          </w:tcPr>
          <w:p w:rsidR="000F11AE" w:rsidRPr="002C54CE" w:rsidRDefault="000F11AE" w:rsidP="002C54CE">
            <w:r w:rsidRPr="002C54CE">
              <w:t>Email:</w:t>
            </w:r>
          </w:p>
        </w:tc>
        <w:tc>
          <w:tcPr>
            <w:tcW w:w="4492" w:type="dxa"/>
            <w:gridSpan w:val="4"/>
            <w:tcBorders>
              <w:top w:val="nil"/>
              <w:left w:val="nil"/>
              <w:bottom w:val="nil"/>
            </w:tcBorders>
          </w:tcPr>
          <w:p w:rsidR="000F11AE" w:rsidRDefault="002C54CE" w:rsidP="002C54CE">
            <w:hyperlink r:id="rId9" w:history="1">
              <w:r w:rsidRPr="0028773C">
                <w:rPr>
                  <w:rStyle w:val="Hyperlink"/>
                </w:rPr>
                <w:t>Katharina.winbeck@londoncouncils.gov.uk</w:t>
              </w:r>
            </w:hyperlink>
          </w:p>
          <w:p w:rsidR="002C54CE" w:rsidRDefault="002C54CE" w:rsidP="002C54CE"/>
          <w:p w:rsidR="002C54CE" w:rsidRPr="002C54CE" w:rsidRDefault="002C54CE" w:rsidP="002C54CE"/>
        </w:tc>
      </w:tr>
      <w:tr w:rsidR="000F11AE" w:rsidRPr="002C54CE" w:rsidTr="007871DC">
        <w:trPr>
          <w:cantSplit/>
        </w:trPr>
        <w:tc>
          <w:tcPr>
            <w:tcW w:w="9640" w:type="dxa"/>
            <w:gridSpan w:val="8"/>
            <w:tcBorders>
              <w:top w:val="nil"/>
              <w:bottom w:val="single" w:sz="4" w:space="0" w:color="auto"/>
            </w:tcBorders>
          </w:tcPr>
          <w:p w:rsidR="000F11AE" w:rsidRPr="002C54CE" w:rsidRDefault="000F11AE" w:rsidP="002C54CE"/>
        </w:tc>
      </w:tr>
    </w:tbl>
    <w:p w:rsidR="000F11AE" w:rsidRPr="002C54CE" w:rsidRDefault="00AB64ED" w:rsidP="002C54CE">
      <w:r w:rsidRPr="002C54CE">
        <w:drawing>
          <wp:anchor distT="0" distB="0" distL="114300" distR="114300" simplePos="0" relativeHeight="251657728" behindDoc="1" locked="0" layoutInCell="1" allowOverlap="1" wp14:anchorId="2F31F924" wp14:editId="2B2FAD7A">
            <wp:simplePos x="0" y="0"/>
            <wp:positionH relativeFrom="column">
              <wp:posOffset>4229100</wp:posOffset>
            </wp:positionH>
            <wp:positionV relativeFrom="paragraph">
              <wp:posOffset>-457200</wp:posOffset>
            </wp:positionV>
            <wp:extent cx="1734185" cy="829310"/>
            <wp:effectExtent l="0" t="0" r="0" b="8890"/>
            <wp:wrapTight wrapText="bothSides">
              <wp:wrapPolygon edited="0">
                <wp:start x="0" y="0"/>
                <wp:lineTo x="0" y="21335"/>
                <wp:lineTo x="21355" y="21335"/>
                <wp:lineTo x="21355" y="0"/>
                <wp:lineTo x="0" y="0"/>
              </wp:wrapPolygon>
            </wp:wrapTight>
            <wp:docPr id="508" name="Picture 508"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smaller_London Councils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11AE" w:rsidRPr="002C54CE" w:rsidRDefault="000F11AE" w:rsidP="002C54CE"/>
    <w:tbl>
      <w:tblPr>
        <w:tblpPr w:leftFromText="180" w:rightFromText="180" w:vertAnchor="page" w:horzAnchor="margin" w:tblpY="6999"/>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4"/>
        <w:gridCol w:w="7281"/>
      </w:tblGrid>
      <w:tr w:rsidR="007252A2" w:rsidRPr="002C54CE" w:rsidTr="007F04F3">
        <w:trPr>
          <w:trHeight w:val="686"/>
        </w:trPr>
        <w:tc>
          <w:tcPr>
            <w:tcW w:w="2324" w:type="dxa"/>
            <w:tcBorders>
              <w:top w:val="nil"/>
              <w:left w:val="nil"/>
              <w:bottom w:val="nil"/>
              <w:right w:val="nil"/>
            </w:tcBorders>
            <w:shd w:val="clear" w:color="auto" w:fill="auto"/>
          </w:tcPr>
          <w:p w:rsidR="002C54CE" w:rsidRPr="002C54CE" w:rsidRDefault="002C54CE" w:rsidP="002C54CE"/>
          <w:p w:rsidR="002C54CE" w:rsidRPr="002C54CE" w:rsidRDefault="002C54CE" w:rsidP="002C54CE">
            <w:pPr>
              <w:rPr>
                <w:b/>
              </w:rPr>
            </w:pPr>
            <w:bookmarkStart w:id="0" w:name="_GoBack"/>
            <w:bookmarkEnd w:id="0"/>
          </w:p>
          <w:p w:rsidR="002C54CE" w:rsidRPr="002C54CE" w:rsidRDefault="002C54CE" w:rsidP="002C54CE"/>
          <w:p w:rsidR="002C54CE" w:rsidRPr="002C54CE" w:rsidRDefault="002C54CE" w:rsidP="002C54CE"/>
          <w:p w:rsidR="002C54CE" w:rsidRPr="002C54CE" w:rsidRDefault="002C54CE" w:rsidP="002C54CE"/>
          <w:p w:rsidR="002C54CE" w:rsidRPr="002C54CE" w:rsidRDefault="002C54CE" w:rsidP="002C54CE"/>
          <w:p w:rsidR="007252A2" w:rsidRPr="002C54CE" w:rsidRDefault="007252A2" w:rsidP="002C54CE">
            <w:pPr>
              <w:rPr>
                <w:b/>
              </w:rPr>
            </w:pPr>
            <w:r w:rsidRPr="002C54CE">
              <w:rPr>
                <w:b/>
              </w:rPr>
              <w:t>Summary</w:t>
            </w:r>
            <w:r w:rsidR="002C54CE" w:rsidRPr="002C54CE">
              <w:rPr>
                <w:b/>
              </w:rPr>
              <w:t>:</w:t>
            </w:r>
          </w:p>
        </w:tc>
        <w:tc>
          <w:tcPr>
            <w:tcW w:w="7281" w:type="dxa"/>
            <w:tcBorders>
              <w:top w:val="nil"/>
              <w:left w:val="nil"/>
              <w:bottom w:val="nil"/>
              <w:right w:val="nil"/>
            </w:tcBorders>
            <w:shd w:val="clear" w:color="auto" w:fill="auto"/>
          </w:tcPr>
          <w:p w:rsidR="002C54CE" w:rsidRPr="002C54CE" w:rsidRDefault="002C54CE" w:rsidP="002C54CE"/>
          <w:p w:rsidR="002C54CE" w:rsidRPr="002C54CE" w:rsidRDefault="002C54CE" w:rsidP="002C54CE"/>
          <w:p w:rsidR="002C54CE" w:rsidRPr="002C54CE" w:rsidRDefault="002C54CE" w:rsidP="002C54CE"/>
          <w:p w:rsidR="002C54CE" w:rsidRPr="002C54CE" w:rsidRDefault="002C54CE" w:rsidP="002C54CE"/>
          <w:p w:rsidR="002C54CE" w:rsidRPr="002C54CE" w:rsidRDefault="002C54CE" w:rsidP="002C54CE"/>
          <w:p w:rsidR="002C54CE" w:rsidRPr="002C54CE" w:rsidRDefault="002C54CE" w:rsidP="002C54CE"/>
          <w:p w:rsidR="002C54CE" w:rsidRPr="002C54CE" w:rsidRDefault="002C54CE" w:rsidP="002C54CE">
            <w:r w:rsidRPr="002C54CE">
              <w:t xml:space="preserve">TEC considered flood management at its meeting on 16 October 2014. Members agreed that they needed to see a business case to make a more informed decision on the flood levy for the Thames catchment area. This report gives an update and presents the business case as requested. </w:t>
            </w:r>
          </w:p>
          <w:p w:rsidR="007252A2" w:rsidRPr="002C54CE" w:rsidRDefault="007252A2" w:rsidP="002C54CE"/>
        </w:tc>
      </w:tr>
      <w:tr w:rsidR="007252A2" w:rsidRPr="002C54CE" w:rsidTr="007F04F3">
        <w:trPr>
          <w:trHeight w:val="424"/>
        </w:trPr>
        <w:tc>
          <w:tcPr>
            <w:tcW w:w="2324" w:type="dxa"/>
            <w:tcBorders>
              <w:top w:val="nil"/>
              <w:left w:val="nil"/>
              <w:bottom w:val="nil"/>
              <w:right w:val="nil"/>
            </w:tcBorders>
            <w:shd w:val="clear" w:color="auto" w:fill="auto"/>
          </w:tcPr>
          <w:p w:rsidR="007252A2" w:rsidRPr="002C54CE" w:rsidRDefault="007252A2" w:rsidP="002C54CE">
            <w:pPr>
              <w:rPr>
                <w:b/>
              </w:rPr>
            </w:pPr>
            <w:r w:rsidRPr="002C54CE">
              <w:rPr>
                <w:b/>
              </w:rPr>
              <w:t>Recommendations</w:t>
            </w:r>
            <w:r w:rsidR="002C54CE">
              <w:rPr>
                <w:b/>
              </w:rPr>
              <w:t>:</w:t>
            </w:r>
          </w:p>
        </w:tc>
        <w:tc>
          <w:tcPr>
            <w:tcW w:w="7281" w:type="dxa"/>
            <w:tcBorders>
              <w:top w:val="nil"/>
              <w:left w:val="nil"/>
              <w:bottom w:val="nil"/>
              <w:right w:val="nil"/>
            </w:tcBorders>
            <w:shd w:val="clear" w:color="auto" w:fill="auto"/>
          </w:tcPr>
          <w:p w:rsidR="002C54CE" w:rsidRPr="002C54CE" w:rsidRDefault="002C54CE" w:rsidP="002C54CE">
            <w:r w:rsidRPr="002C54CE">
              <w:t>The Committee is asked to:</w:t>
            </w:r>
          </w:p>
          <w:p w:rsidR="002C54CE" w:rsidRPr="002C54CE" w:rsidRDefault="002C54CE" w:rsidP="002C54CE"/>
          <w:p w:rsidR="002C54CE" w:rsidRPr="002C54CE" w:rsidRDefault="002C54CE" w:rsidP="002C54CE">
            <w:pPr>
              <w:pStyle w:val="ListParagraph"/>
              <w:numPr>
                <w:ilvl w:val="0"/>
                <w:numId w:val="27"/>
              </w:numPr>
            </w:pPr>
            <w:r w:rsidRPr="002C54CE">
              <w:t>Note the report</w:t>
            </w:r>
          </w:p>
          <w:p w:rsidR="002C54CE" w:rsidRPr="002C54CE" w:rsidRDefault="002C54CE" w:rsidP="002C54CE"/>
          <w:p w:rsidR="002C54CE" w:rsidRPr="002C54CE" w:rsidRDefault="002C54CE" w:rsidP="002C54CE">
            <w:pPr>
              <w:pStyle w:val="ListParagraph"/>
              <w:numPr>
                <w:ilvl w:val="0"/>
                <w:numId w:val="27"/>
              </w:numPr>
            </w:pPr>
            <w:r w:rsidRPr="002C54CE">
              <w:t>Note and comment on the Business Case provided by the Environment Agency</w:t>
            </w:r>
          </w:p>
          <w:p w:rsidR="002C54CE" w:rsidRPr="002C54CE" w:rsidRDefault="002C54CE" w:rsidP="002C54CE"/>
          <w:p w:rsidR="002C54CE" w:rsidRPr="002C54CE" w:rsidRDefault="002C54CE" w:rsidP="002C54CE">
            <w:pPr>
              <w:pStyle w:val="ListParagraph"/>
              <w:numPr>
                <w:ilvl w:val="0"/>
                <w:numId w:val="27"/>
              </w:numPr>
            </w:pPr>
            <w:r w:rsidRPr="002C54CE">
              <w:t>Note that Members of the Thames RFCC will determine on 21 January 2015 the investment programme and levy</w:t>
            </w:r>
          </w:p>
          <w:p w:rsidR="007252A2" w:rsidRPr="002C54CE" w:rsidRDefault="007252A2" w:rsidP="002C54CE"/>
        </w:tc>
      </w:tr>
    </w:tbl>
    <w:p w:rsidR="007B6887" w:rsidRDefault="007B6887" w:rsidP="007252A2"/>
    <w:p w:rsidR="002C54CE" w:rsidRDefault="002C54CE" w:rsidP="007252A2"/>
    <w:p w:rsidR="002C54CE" w:rsidRPr="002C54CE" w:rsidRDefault="002C54CE" w:rsidP="002C54CE">
      <w:pPr>
        <w:spacing w:after="120"/>
        <w:ind w:right="669"/>
        <w:rPr>
          <w:rFonts w:cs="Arial"/>
          <w:b/>
        </w:rPr>
      </w:pPr>
      <w:r w:rsidRPr="002C54CE">
        <w:rPr>
          <w:rFonts w:cs="Arial"/>
          <w:b/>
        </w:rPr>
        <w:t>Background</w:t>
      </w:r>
    </w:p>
    <w:p w:rsidR="002C54CE" w:rsidRPr="002C54CE" w:rsidRDefault="002C54CE" w:rsidP="002C54CE">
      <w:pPr>
        <w:numPr>
          <w:ilvl w:val="2"/>
          <w:numId w:val="26"/>
        </w:numPr>
        <w:rPr>
          <w:rFonts w:cs="Arial"/>
          <w:lang w:eastAsia="en-GB"/>
        </w:rPr>
      </w:pPr>
      <w:r w:rsidRPr="002C54CE">
        <w:rPr>
          <w:rFonts w:cs="Arial"/>
          <w:lang w:eastAsia="en-GB"/>
        </w:rPr>
        <w:t>TEC received a report on flood management and flood levy at its 16 October meeting. Members discussed the report and stated that in order to have an informed discussion on flood management and flood levy for the Thames catchment area, a business case was required.</w:t>
      </w:r>
    </w:p>
    <w:p w:rsidR="002C54CE" w:rsidRPr="002C54CE" w:rsidRDefault="002C54CE" w:rsidP="002C54CE">
      <w:pPr>
        <w:ind w:left="564"/>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This has been discussed with the Chair of the Thames Regional Flood and Coastal Committee (RFCC) and it was agreed that a business case will be prepared in time for the December TEC meeting, so that Members can have an informed discussion.</w:t>
      </w:r>
    </w:p>
    <w:p w:rsidR="002C54CE" w:rsidRPr="002C54CE" w:rsidRDefault="002C54CE" w:rsidP="002C54CE">
      <w:pPr>
        <w:ind w:left="720"/>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The business case has been prepared by the Environment Agency and is presented in Appendix I. The business case explains the sources of funding for flood alleviation schemes, the current spend within the six year programme, how projects are assessed, the roles of the different stakeholders, options for the levy, the benefit cost ratio and a list of current projects.</w:t>
      </w:r>
    </w:p>
    <w:p w:rsidR="002C54CE" w:rsidRPr="002C54CE" w:rsidRDefault="002C54CE" w:rsidP="002C54CE">
      <w:pPr>
        <w:ind w:left="720"/>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 xml:space="preserve">TEC Members are asked to note and comment on the business case presented in Appendix I. </w:t>
      </w:r>
    </w:p>
    <w:p w:rsidR="002C54CE" w:rsidRPr="002C54CE" w:rsidRDefault="002C54CE" w:rsidP="002C54CE">
      <w:pPr>
        <w:ind w:left="720"/>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 xml:space="preserve">Members on the Thames RFCC will determine the investment programme and levy at their meeting on 21 January 2015. </w:t>
      </w:r>
    </w:p>
    <w:p w:rsidR="002C54CE" w:rsidRPr="002C54CE" w:rsidRDefault="002C54CE" w:rsidP="002C54CE">
      <w:pPr>
        <w:rPr>
          <w:rFonts w:cs="Arial"/>
          <w:lang w:eastAsia="en-GB"/>
        </w:rPr>
      </w:pPr>
    </w:p>
    <w:p w:rsidR="002C54CE" w:rsidRPr="002C54CE" w:rsidRDefault="002C54CE" w:rsidP="002C54CE">
      <w:pPr>
        <w:spacing w:after="120"/>
        <w:ind w:right="669"/>
        <w:rPr>
          <w:rFonts w:cs="Arial"/>
          <w:b/>
        </w:rPr>
      </w:pPr>
      <w:r w:rsidRPr="002C54CE">
        <w:rPr>
          <w:rFonts w:cs="Arial"/>
          <w:b/>
        </w:rPr>
        <w:t>Levies in previous years</w:t>
      </w:r>
    </w:p>
    <w:p w:rsidR="002C54CE" w:rsidRPr="002C54CE" w:rsidRDefault="002C54CE" w:rsidP="002C54CE">
      <w:pPr>
        <w:numPr>
          <w:ilvl w:val="2"/>
          <w:numId w:val="26"/>
        </w:numPr>
        <w:rPr>
          <w:rFonts w:cs="Arial"/>
          <w:lang w:eastAsia="en-GB"/>
        </w:rPr>
      </w:pPr>
      <w:r w:rsidRPr="002C54CE">
        <w:rPr>
          <w:rFonts w:cs="Arial"/>
          <w:lang w:eastAsia="en-GB"/>
        </w:rPr>
        <w:t xml:space="preserve">In 2013 the Thames RFCC voted to increase the flood levy payable by local authorities by 5 per cent for the financial year 2013/14, bringing the total flood levy payable by London boroughs to just over £6m. Table 1 below shows the historic breakdown of levy payable by borough and the cost for 2015/16 for a 0 per cent increase and a 1.99 per cent increase respectively. </w:t>
      </w:r>
    </w:p>
    <w:p w:rsidR="002C54CE" w:rsidRPr="002C54CE" w:rsidRDefault="002C54CE" w:rsidP="002C54CE">
      <w:pPr>
        <w:ind w:left="564"/>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In 2014 the Thames RFCC voted to keep the levy as is with 0 per cent increase.</w:t>
      </w:r>
    </w:p>
    <w:p w:rsidR="002C54CE" w:rsidRPr="002C54CE" w:rsidRDefault="002C54CE" w:rsidP="002C54CE">
      <w:pPr>
        <w:ind w:left="720"/>
        <w:rPr>
          <w:rFonts w:cs="Arial"/>
          <w:lang w:eastAsia="en-GB"/>
        </w:rPr>
      </w:pPr>
    </w:p>
    <w:tbl>
      <w:tblPr>
        <w:tblW w:w="9871" w:type="dxa"/>
        <w:tblInd w:w="93" w:type="dxa"/>
        <w:tblLayout w:type="fixed"/>
        <w:tblLook w:val="04A0" w:firstRow="1" w:lastRow="0" w:firstColumn="1" w:lastColumn="0" w:noHBand="0" w:noVBand="1"/>
      </w:tblPr>
      <w:tblGrid>
        <w:gridCol w:w="2283"/>
        <w:gridCol w:w="1034"/>
        <w:gridCol w:w="1034"/>
        <w:gridCol w:w="1034"/>
        <w:gridCol w:w="1034"/>
        <w:gridCol w:w="1034"/>
        <w:gridCol w:w="1209"/>
        <w:gridCol w:w="1209"/>
      </w:tblGrid>
      <w:tr w:rsidR="002C54CE" w:rsidRPr="002C54CE" w:rsidTr="006D7132">
        <w:trPr>
          <w:trHeight w:val="300"/>
          <w:tblHeader/>
        </w:trPr>
        <w:tc>
          <w:tcPr>
            <w:tcW w:w="2283" w:type="dxa"/>
            <w:tcBorders>
              <w:top w:val="single" w:sz="4" w:space="0" w:color="auto"/>
              <w:left w:val="single" w:sz="4" w:space="0" w:color="auto"/>
              <w:bottom w:val="single" w:sz="4" w:space="0" w:color="000000"/>
              <w:right w:val="single" w:sz="4" w:space="0" w:color="auto"/>
            </w:tcBorders>
            <w:shd w:val="clear" w:color="auto" w:fill="auto"/>
            <w:noWrap/>
            <w:vAlign w:val="bottom"/>
          </w:tcPr>
          <w:p w:rsidR="002C54CE" w:rsidRPr="002C54CE" w:rsidRDefault="002C54CE" w:rsidP="002C54CE">
            <w:pPr>
              <w:rPr>
                <w:rFonts w:cs="Arial"/>
                <w:b/>
                <w:bCs/>
                <w:color w:val="000000"/>
                <w:sz w:val="16"/>
                <w:szCs w:val="16"/>
                <w:lang w:eastAsia="en-GB"/>
              </w:rPr>
            </w:pPr>
          </w:p>
        </w:tc>
        <w:tc>
          <w:tcPr>
            <w:tcW w:w="1034" w:type="dxa"/>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r w:rsidRPr="002C54CE">
              <w:rPr>
                <w:rFonts w:cs="Arial"/>
                <w:b/>
                <w:bCs/>
                <w:color w:val="000000"/>
                <w:sz w:val="16"/>
                <w:szCs w:val="16"/>
                <w:lang w:eastAsia="en-GB"/>
              </w:rPr>
              <w:t>2011/12</w:t>
            </w:r>
          </w:p>
        </w:tc>
        <w:tc>
          <w:tcPr>
            <w:tcW w:w="1034" w:type="dxa"/>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r w:rsidRPr="002C54CE">
              <w:rPr>
                <w:rFonts w:cs="Arial"/>
                <w:b/>
                <w:bCs/>
                <w:color w:val="000000"/>
                <w:sz w:val="16"/>
                <w:szCs w:val="16"/>
                <w:lang w:eastAsia="en-GB"/>
              </w:rPr>
              <w:t>2012/13</w:t>
            </w:r>
          </w:p>
        </w:tc>
        <w:tc>
          <w:tcPr>
            <w:tcW w:w="1034" w:type="dxa"/>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r w:rsidRPr="002C54CE">
              <w:rPr>
                <w:rFonts w:cs="Arial"/>
                <w:b/>
                <w:bCs/>
                <w:color w:val="000000"/>
                <w:sz w:val="16"/>
                <w:szCs w:val="16"/>
                <w:lang w:eastAsia="en-GB"/>
              </w:rPr>
              <w:t>2013/14</w:t>
            </w:r>
          </w:p>
        </w:tc>
        <w:tc>
          <w:tcPr>
            <w:tcW w:w="1034" w:type="dxa"/>
            <w:tcBorders>
              <w:top w:val="single" w:sz="4" w:space="0" w:color="auto"/>
              <w:left w:val="single" w:sz="4" w:space="0" w:color="auto"/>
              <w:right w:val="single" w:sz="4" w:space="0" w:color="auto"/>
            </w:tcBorders>
          </w:tcPr>
          <w:p w:rsidR="002C54CE" w:rsidRPr="002C54CE" w:rsidRDefault="002C54CE" w:rsidP="002C54CE">
            <w:pPr>
              <w:jc w:val="center"/>
              <w:rPr>
                <w:rFonts w:cs="Arial"/>
                <w:b/>
                <w:bCs/>
                <w:color w:val="000000"/>
                <w:sz w:val="16"/>
                <w:szCs w:val="16"/>
                <w:lang w:eastAsia="en-GB"/>
              </w:rPr>
            </w:pPr>
            <w:r w:rsidRPr="002C54CE">
              <w:rPr>
                <w:rFonts w:cs="Arial"/>
                <w:b/>
                <w:bCs/>
                <w:color w:val="000000"/>
                <w:sz w:val="16"/>
                <w:szCs w:val="16"/>
                <w:lang w:eastAsia="en-GB"/>
              </w:rPr>
              <w:t>2014/15</w:t>
            </w:r>
          </w:p>
        </w:tc>
        <w:tc>
          <w:tcPr>
            <w:tcW w:w="3452" w:type="dxa"/>
            <w:gridSpan w:val="3"/>
            <w:tcBorders>
              <w:top w:val="single" w:sz="4" w:space="0" w:color="auto"/>
              <w:left w:val="single" w:sz="4" w:space="0" w:color="auto"/>
              <w:right w:val="single" w:sz="4" w:space="0" w:color="auto"/>
            </w:tcBorders>
          </w:tcPr>
          <w:p w:rsidR="002C54CE" w:rsidRPr="002C54CE" w:rsidRDefault="002C54CE" w:rsidP="002C54CE">
            <w:pPr>
              <w:jc w:val="center"/>
              <w:rPr>
                <w:rFonts w:cs="Arial"/>
                <w:b/>
                <w:bCs/>
                <w:color w:val="000000"/>
                <w:sz w:val="16"/>
                <w:szCs w:val="16"/>
                <w:lang w:eastAsia="en-GB"/>
              </w:rPr>
            </w:pPr>
            <w:r w:rsidRPr="002C54CE">
              <w:rPr>
                <w:rFonts w:cs="Arial"/>
                <w:b/>
                <w:bCs/>
                <w:color w:val="000000"/>
                <w:sz w:val="16"/>
                <w:szCs w:val="16"/>
                <w:lang w:eastAsia="en-GB"/>
              </w:rPr>
              <w:t>2014/15</w:t>
            </w:r>
          </w:p>
        </w:tc>
      </w:tr>
      <w:tr w:rsidR="002C54CE" w:rsidRPr="002C54CE" w:rsidTr="006D7132">
        <w:trPr>
          <w:trHeight w:val="300"/>
          <w:tblHeader/>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London Boroughs</w:t>
            </w:r>
          </w:p>
        </w:tc>
        <w:tc>
          <w:tcPr>
            <w:tcW w:w="1034" w:type="dxa"/>
            <w:vMerge w:val="restart"/>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p>
        </w:tc>
        <w:tc>
          <w:tcPr>
            <w:tcW w:w="1034" w:type="dxa"/>
            <w:vMerge w:val="restart"/>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p>
        </w:tc>
        <w:tc>
          <w:tcPr>
            <w:tcW w:w="1034" w:type="dxa"/>
            <w:vMerge w:val="restart"/>
            <w:tcBorders>
              <w:top w:val="single" w:sz="4" w:space="0" w:color="auto"/>
              <w:left w:val="single" w:sz="4" w:space="0" w:color="auto"/>
              <w:right w:val="single" w:sz="4" w:space="0" w:color="auto"/>
            </w:tcBorders>
            <w:shd w:val="clear" w:color="auto" w:fill="auto"/>
            <w:noWrap/>
          </w:tcPr>
          <w:p w:rsidR="002C54CE" w:rsidRPr="002C54CE" w:rsidRDefault="002C54CE" w:rsidP="002C54CE">
            <w:pPr>
              <w:jc w:val="center"/>
              <w:rPr>
                <w:rFonts w:cs="Arial"/>
                <w:b/>
                <w:bCs/>
                <w:color w:val="000000"/>
                <w:sz w:val="16"/>
                <w:szCs w:val="16"/>
                <w:lang w:eastAsia="en-GB"/>
              </w:rPr>
            </w:pPr>
          </w:p>
        </w:tc>
        <w:tc>
          <w:tcPr>
            <w:tcW w:w="1034" w:type="dxa"/>
            <w:tcBorders>
              <w:top w:val="single" w:sz="4" w:space="0" w:color="auto"/>
              <w:left w:val="single" w:sz="4" w:space="0" w:color="auto"/>
              <w:right w:val="single" w:sz="4" w:space="0" w:color="auto"/>
            </w:tcBorders>
          </w:tcPr>
          <w:p w:rsidR="002C54CE" w:rsidRPr="002C54CE" w:rsidRDefault="002C54CE" w:rsidP="002C54CE">
            <w:pPr>
              <w:jc w:val="center"/>
              <w:rPr>
                <w:rFonts w:cs="Arial"/>
                <w:b/>
                <w:bCs/>
                <w:color w:val="000000"/>
                <w:sz w:val="16"/>
                <w:szCs w:val="16"/>
                <w:lang w:eastAsia="en-GB"/>
              </w:rPr>
            </w:pPr>
          </w:p>
        </w:tc>
        <w:tc>
          <w:tcPr>
            <w:tcW w:w="1034" w:type="dxa"/>
            <w:tcBorders>
              <w:top w:val="single" w:sz="4" w:space="0" w:color="auto"/>
              <w:left w:val="single" w:sz="4" w:space="0" w:color="auto"/>
              <w:right w:val="single" w:sz="4" w:space="0" w:color="auto"/>
            </w:tcBorders>
          </w:tcPr>
          <w:p w:rsidR="002C54CE" w:rsidRPr="002C54CE" w:rsidRDefault="002C54CE" w:rsidP="002C54CE">
            <w:pPr>
              <w:jc w:val="center"/>
              <w:rPr>
                <w:rFonts w:cs="Arial"/>
                <w:b/>
                <w:bCs/>
                <w:color w:val="000000"/>
                <w:sz w:val="16"/>
                <w:szCs w:val="16"/>
                <w:lang w:eastAsia="en-GB"/>
              </w:rPr>
            </w:pPr>
          </w:p>
        </w:tc>
        <w:tc>
          <w:tcPr>
            <w:tcW w:w="1209" w:type="dxa"/>
            <w:tcBorders>
              <w:top w:val="single" w:sz="4" w:space="0" w:color="auto"/>
              <w:left w:val="single" w:sz="4" w:space="0" w:color="auto"/>
              <w:right w:val="single" w:sz="4" w:space="0" w:color="auto"/>
            </w:tcBorders>
          </w:tcPr>
          <w:p w:rsidR="002C54CE" w:rsidRPr="002C54CE" w:rsidRDefault="002C54CE" w:rsidP="002C54CE">
            <w:pPr>
              <w:jc w:val="center"/>
              <w:rPr>
                <w:rFonts w:cs="Arial"/>
                <w:b/>
                <w:bCs/>
                <w:color w:val="000000"/>
                <w:sz w:val="16"/>
                <w:szCs w:val="16"/>
                <w:lang w:eastAsia="en-GB"/>
              </w:rPr>
            </w:pPr>
            <w:r w:rsidRPr="002C54CE">
              <w:rPr>
                <w:rFonts w:cs="Arial"/>
                <w:b/>
                <w:bCs/>
                <w:color w:val="E36C0A" w:themeColor="accent6" w:themeShade="BF"/>
                <w:sz w:val="16"/>
                <w:szCs w:val="16"/>
                <w:lang w:eastAsia="en-GB"/>
              </w:rPr>
              <w:t>Sub-Committee</w:t>
            </w:r>
            <w:r w:rsidRPr="002C54CE">
              <w:rPr>
                <w:rFonts w:cs="Arial"/>
                <w:b/>
                <w:bCs/>
                <w:color w:val="000000"/>
                <w:sz w:val="16"/>
                <w:szCs w:val="16"/>
                <w:lang w:eastAsia="en-GB"/>
              </w:rPr>
              <w:t xml:space="preserve"> </w:t>
            </w:r>
          </w:p>
        </w:tc>
        <w:tc>
          <w:tcPr>
            <w:tcW w:w="1209" w:type="dxa"/>
            <w:tcBorders>
              <w:top w:val="single" w:sz="4" w:space="0" w:color="auto"/>
              <w:left w:val="single" w:sz="4" w:space="0" w:color="auto"/>
              <w:right w:val="single" w:sz="4" w:space="0" w:color="auto"/>
            </w:tcBorders>
            <w:vAlign w:val="center"/>
          </w:tcPr>
          <w:p w:rsidR="002C54CE" w:rsidRPr="002C54CE" w:rsidRDefault="002C54CE" w:rsidP="002C54CE">
            <w:pPr>
              <w:jc w:val="center"/>
              <w:rPr>
                <w:rFonts w:cs="Arial"/>
                <w:b/>
                <w:bCs/>
                <w:color w:val="1F497D" w:themeColor="text2"/>
                <w:sz w:val="16"/>
                <w:szCs w:val="16"/>
                <w:lang w:eastAsia="en-GB"/>
              </w:rPr>
            </w:pPr>
            <w:r w:rsidRPr="002C54CE">
              <w:rPr>
                <w:rFonts w:cs="Arial"/>
                <w:b/>
                <w:bCs/>
                <w:color w:val="1F497D" w:themeColor="text2"/>
                <w:sz w:val="16"/>
                <w:szCs w:val="16"/>
                <w:lang w:eastAsia="en-GB"/>
              </w:rPr>
              <w:t>Difference (£)</w:t>
            </w:r>
          </w:p>
        </w:tc>
      </w:tr>
      <w:tr w:rsidR="002C54CE" w:rsidRPr="002C54CE" w:rsidTr="006D7132">
        <w:trPr>
          <w:trHeight w:val="276"/>
          <w:tblHeader/>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2C54CE" w:rsidRPr="002C54CE" w:rsidRDefault="002C54CE" w:rsidP="002C54CE">
            <w:pPr>
              <w:rPr>
                <w:rFonts w:cs="Arial"/>
                <w:b/>
                <w:bCs/>
                <w:color w:val="000000"/>
                <w:sz w:val="16"/>
                <w:szCs w:val="16"/>
                <w:lang w:eastAsia="en-GB"/>
              </w:rPr>
            </w:pPr>
          </w:p>
        </w:tc>
        <w:tc>
          <w:tcPr>
            <w:tcW w:w="1034" w:type="dxa"/>
            <w:vMerge/>
            <w:tcBorders>
              <w:left w:val="single" w:sz="4" w:space="0" w:color="auto"/>
              <w:bottom w:val="single" w:sz="4" w:space="0" w:color="000000"/>
              <w:right w:val="single" w:sz="4" w:space="0" w:color="auto"/>
            </w:tcBorders>
            <w:shd w:val="clear" w:color="auto" w:fill="auto"/>
            <w:vAlign w:val="center"/>
            <w:hideMark/>
          </w:tcPr>
          <w:p w:rsidR="002C54CE" w:rsidRPr="002C54CE" w:rsidRDefault="002C54CE" w:rsidP="002C54CE">
            <w:pPr>
              <w:rPr>
                <w:rFonts w:cs="Arial"/>
                <w:b/>
                <w:bCs/>
                <w:color w:val="000000"/>
                <w:sz w:val="16"/>
                <w:szCs w:val="16"/>
                <w:lang w:eastAsia="en-GB"/>
              </w:rPr>
            </w:pPr>
          </w:p>
        </w:tc>
        <w:tc>
          <w:tcPr>
            <w:tcW w:w="1034" w:type="dxa"/>
            <w:vMerge/>
            <w:tcBorders>
              <w:left w:val="single" w:sz="4" w:space="0" w:color="auto"/>
              <w:bottom w:val="single" w:sz="4" w:space="0" w:color="000000"/>
              <w:right w:val="single" w:sz="4" w:space="0" w:color="auto"/>
            </w:tcBorders>
            <w:shd w:val="clear" w:color="auto" w:fill="auto"/>
            <w:vAlign w:val="center"/>
            <w:hideMark/>
          </w:tcPr>
          <w:p w:rsidR="002C54CE" w:rsidRPr="002C54CE" w:rsidRDefault="002C54CE" w:rsidP="002C54CE">
            <w:pPr>
              <w:rPr>
                <w:rFonts w:cs="Arial"/>
                <w:b/>
                <w:bCs/>
                <w:color w:val="000000"/>
                <w:sz w:val="16"/>
                <w:szCs w:val="16"/>
                <w:lang w:eastAsia="en-GB"/>
              </w:rPr>
            </w:pPr>
          </w:p>
        </w:tc>
        <w:tc>
          <w:tcPr>
            <w:tcW w:w="1034" w:type="dxa"/>
            <w:vMerge/>
            <w:tcBorders>
              <w:left w:val="single" w:sz="4" w:space="0" w:color="auto"/>
              <w:bottom w:val="single" w:sz="4" w:space="0" w:color="000000"/>
              <w:right w:val="single" w:sz="4" w:space="0" w:color="auto"/>
            </w:tcBorders>
            <w:shd w:val="clear" w:color="auto" w:fill="auto"/>
            <w:vAlign w:val="center"/>
            <w:hideMark/>
          </w:tcPr>
          <w:p w:rsidR="002C54CE" w:rsidRPr="002C54CE" w:rsidRDefault="002C54CE" w:rsidP="002C54CE">
            <w:pPr>
              <w:rPr>
                <w:rFonts w:cs="Arial"/>
                <w:b/>
                <w:bCs/>
                <w:color w:val="000000"/>
                <w:sz w:val="16"/>
                <w:szCs w:val="16"/>
                <w:lang w:eastAsia="en-GB"/>
              </w:rPr>
            </w:pPr>
          </w:p>
        </w:tc>
        <w:tc>
          <w:tcPr>
            <w:tcW w:w="1034" w:type="dxa"/>
            <w:tcBorders>
              <w:left w:val="single" w:sz="4" w:space="0" w:color="auto"/>
              <w:bottom w:val="single" w:sz="4" w:space="0" w:color="000000"/>
              <w:right w:val="single" w:sz="4" w:space="0" w:color="auto"/>
            </w:tcBorders>
          </w:tcPr>
          <w:p w:rsidR="002C54CE" w:rsidRPr="002C54CE" w:rsidRDefault="002C54CE" w:rsidP="002C54CE">
            <w:pPr>
              <w:rPr>
                <w:rFonts w:cs="Arial"/>
                <w:b/>
                <w:bCs/>
                <w:color w:val="000000"/>
                <w:sz w:val="16"/>
                <w:szCs w:val="16"/>
                <w:lang w:eastAsia="en-GB"/>
              </w:rPr>
            </w:pPr>
          </w:p>
        </w:tc>
        <w:tc>
          <w:tcPr>
            <w:tcW w:w="1034" w:type="dxa"/>
            <w:tcBorders>
              <w:left w:val="single" w:sz="4" w:space="0" w:color="auto"/>
              <w:bottom w:val="single" w:sz="4" w:space="0" w:color="000000"/>
              <w:right w:val="single" w:sz="4" w:space="0" w:color="auto"/>
            </w:tcBorders>
          </w:tcPr>
          <w:p w:rsidR="002C54CE" w:rsidRPr="002C54CE" w:rsidRDefault="002C54CE" w:rsidP="002C54CE">
            <w:pPr>
              <w:jc w:val="center"/>
              <w:rPr>
                <w:rFonts w:cs="Arial"/>
                <w:b/>
                <w:bCs/>
                <w:color w:val="00B050"/>
                <w:sz w:val="16"/>
                <w:szCs w:val="16"/>
                <w:lang w:eastAsia="en-GB"/>
              </w:rPr>
            </w:pPr>
            <w:r w:rsidRPr="002C54CE">
              <w:rPr>
                <w:rFonts w:cs="Arial"/>
                <w:b/>
                <w:bCs/>
                <w:color w:val="00B050"/>
                <w:sz w:val="16"/>
                <w:szCs w:val="16"/>
                <w:lang w:eastAsia="en-GB"/>
              </w:rPr>
              <w:t>0% increase</w:t>
            </w:r>
          </w:p>
        </w:tc>
        <w:tc>
          <w:tcPr>
            <w:tcW w:w="1209" w:type="dxa"/>
            <w:tcBorders>
              <w:left w:val="single" w:sz="4" w:space="0" w:color="auto"/>
              <w:bottom w:val="single" w:sz="4" w:space="0" w:color="000000"/>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Recommendation of                    1.99% increase</w:t>
            </w:r>
          </w:p>
        </w:tc>
        <w:tc>
          <w:tcPr>
            <w:tcW w:w="1209" w:type="dxa"/>
            <w:tcBorders>
              <w:left w:val="single" w:sz="4" w:space="0" w:color="auto"/>
              <w:bottom w:val="single" w:sz="4" w:space="0" w:color="000000"/>
              <w:right w:val="single" w:sz="4" w:space="0" w:color="auto"/>
            </w:tcBorders>
            <w:vAlign w:val="center"/>
          </w:tcPr>
          <w:p w:rsidR="002C54CE" w:rsidRPr="002C54CE" w:rsidRDefault="002C54CE" w:rsidP="002C54CE">
            <w:pPr>
              <w:jc w:val="center"/>
              <w:rPr>
                <w:rFonts w:cs="Arial"/>
                <w:b/>
                <w:bCs/>
                <w:color w:val="1F497D" w:themeColor="text2"/>
                <w:sz w:val="16"/>
                <w:szCs w:val="16"/>
                <w:lang w:eastAsia="en-GB"/>
              </w:rPr>
            </w:pP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Barking and Dagenham</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102,700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102,700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108,729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108,729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108,729</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110,893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2,164</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Barnet</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273,400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273,400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293,248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293,248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293,248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299,084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5,836</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Bexley</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63,022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63,022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66,067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66,067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66,067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67,382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1,315</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Brent</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191,867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191,867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201,532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201,532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201,532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205,542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4,010</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Bromley</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197,902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197,902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205,659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205,659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205,659</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209,752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4,093</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Camden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189,366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189,366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199,386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199,386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199,386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203,354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3,968</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Croydon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251,688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251,688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264,512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264,512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264,512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269,776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5,264</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Ealing</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232,800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232,800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245,131</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245,131</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245,131</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250,009</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4,878</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Enfield</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218,115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218,115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226,155</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226,155</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226,155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230,655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4,500</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Greenwich</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144,083</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144,083</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153,732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153,732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153,732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156,791</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3,059</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Hackney</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146,297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146,297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158,427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158,427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158,427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161,580</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3,153</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Hammersmith and Fulham</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157,246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157,246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163,439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163,439</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163,439</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166,691</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3,252</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Haringey</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169,586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169,586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178,145</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178,145</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178,145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181,690</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3,545</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Harrow</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171,786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171,786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180,523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180,523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180,523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184,115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3,592</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Havering</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164,995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164,995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171,763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171,763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171,763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175,181</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3,418</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Hillingdon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194,840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194,840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205,297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205,297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205,297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209,382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4,085</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Hounslow</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171,506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171,506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179,623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179,623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179,623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183,197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3,574</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Islington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171,381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171,381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183,886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183,886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183,886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187,545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3,659</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Kensington and Chelsea</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198,035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198,035</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204,197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204,197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204,197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208,261</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4,064</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Kingston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123,142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123,142</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129,377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129,377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129,377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131,952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2,575</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Lambeth</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206,259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206,259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222,272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222,272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222,272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226,695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4,423</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Lewisham</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174,048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174,048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183,142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183,142</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183,142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186,787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3,645</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Merton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147,694</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147,694</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153,233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153,233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153,233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156,282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3,049</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Newham</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148,388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148,388</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157,768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157,768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157,768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160,908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3,140</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Redbridge</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179,763</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179,763</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186,728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186,728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186,728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190,444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3,716</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Richmond</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176,826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176,826</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184,316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184,316</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184,316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187,984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3,668</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Southwark</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191,791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191,791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204,878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204,878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204,878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208,955</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4,077</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Sutton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146,600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146,600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151,850</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151,850</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151,850</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154,872</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3,022</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Tower Hamlets</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167,770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167,770</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186,028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186,028</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186,028</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189,730</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3,702</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Waltham Forest</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150,109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150,109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158,257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158,257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158,257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161,406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3,149</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proofErr w:type="spellStart"/>
            <w:r w:rsidRPr="002C54CE">
              <w:rPr>
                <w:rFonts w:cs="Arial"/>
                <w:b/>
                <w:bCs/>
                <w:color w:val="000000"/>
                <w:sz w:val="16"/>
                <w:szCs w:val="16"/>
                <w:lang w:eastAsia="en-GB"/>
              </w:rPr>
              <w:t>Wandsworth</w:t>
            </w:r>
            <w:proofErr w:type="spellEnd"/>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248,557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248,557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262,894</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262,894</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262,894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268,126</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5,232</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Westminster</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257,737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257,737</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269,143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269,143</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269,143</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274,499</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5,356</w:t>
            </w:r>
          </w:p>
        </w:tc>
      </w:tr>
      <w:tr w:rsidR="002C54CE" w:rsidRPr="002C54CE" w:rsidTr="006D7132">
        <w:trPr>
          <w:trHeight w:val="300"/>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Corporation of London</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11,801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11,801</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12,427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0000"/>
                <w:sz w:val="16"/>
                <w:szCs w:val="16"/>
                <w:lang w:eastAsia="en-GB"/>
              </w:rPr>
            </w:pPr>
            <w:r w:rsidRPr="002C54CE">
              <w:rPr>
                <w:rFonts w:cs="Arial"/>
                <w:color w:val="000000"/>
                <w:sz w:val="16"/>
                <w:szCs w:val="16"/>
                <w:lang w:eastAsia="en-GB"/>
              </w:rPr>
              <w:t>12,427</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color w:val="00B050"/>
                <w:sz w:val="16"/>
                <w:szCs w:val="16"/>
                <w:lang w:eastAsia="en-GB"/>
              </w:rPr>
            </w:pPr>
            <w:r w:rsidRPr="002C54CE">
              <w:rPr>
                <w:rFonts w:cs="Arial"/>
                <w:color w:val="00B050"/>
                <w:sz w:val="16"/>
                <w:szCs w:val="16"/>
                <w:lang w:eastAsia="en-GB"/>
              </w:rPr>
              <w:t>12,427</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bCs/>
                <w:color w:val="E36C0A" w:themeColor="accent6" w:themeShade="BF"/>
                <w:sz w:val="16"/>
                <w:szCs w:val="16"/>
                <w:lang w:eastAsia="en-GB"/>
              </w:rPr>
            </w:pPr>
            <w:r w:rsidRPr="002C54CE">
              <w:rPr>
                <w:rFonts w:cs="Arial"/>
                <w:b/>
                <w:bCs/>
                <w:color w:val="E36C0A" w:themeColor="accent6" w:themeShade="BF"/>
                <w:sz w:val="16"/>
                <w:szCs w:val="16"/>
                <w:lang w:eastAsia="en-GB"/>
              </w:rPr>
              <w:t>12,674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247</w:t>
            </w:r>
          </w:p>
        </w:tc>
      </w:tr>
      <w:tr w:rsidR="002C54CE" w:rsidRPr="002C54CE" w:rsidTr="006D7132">
        <w:trPr>
          <w:trHeight w:val="312"/>
        </w:trPr>
        <w:tc>
          <w:tcPr>
            <w:tcW w:w="2283" w:type="dxa"/>
            <w:tcBorders>
              <w:top w:val="nil"/>
              <w:left w:val="single" w:sz="4" w:space="0" w:color="auto"/>
              <w:bottom w:val="single" w:sz="4" w:space="0" w:color="auto"/>
              <w:right w:val="single" w:sz="4" w:space="0" w:color="auto"/>
            </w:tcBorders>
            <w:shd w:val="clear" w:color="auto" w:fill="auto"/>
            <w:noWrap/>
            <w:hideMark/>
          </w:tcPr>
          <w:p w:rsidR="002C54CE" w:rsidRPr="002C54CE" w:rsidRDefault="002C54CE" w:rsidP="002C54CE">
            <w:pPr>
              <w:rPr>
                <w:rFonts w:cs="Arial"/>
                <w:b/>
                <w:bCs/>
                <w:color w:val="000000"/>
                <w:sz w:val="16"/>
                <w:szCs w:val="16"/>
                <w:lang w:eastAsia="en-GB"/>
              </w:rPr>
            </w:pPr>
            <w:r w:rsidRPr="002C54CE">
              <w:rPr>
                <w:rFonts w:cs="Arial"/>
                <w:b/>
                <w:bCs/>
                <w:color w:val="000000"/>
                <w:sz w:val="16"/>
                <w:szCs w:val="16"/>
                <w:lang w:eastAsia="en-GB"/>
              </w:rPr>
              <w:t>Total</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b/>
                <w:bCs/>
                <w:color w:val="000000"/>
                <w:sz w:val="16"/>
                <w:szCs w:val="16"/>
                <w:lang w:eastAsia="en-GB"/>
              </w:rPr>
            </w:pPr>
            <w:r w:rsidRPr="002C54CE">
              <w:rPr>
                <w:rFonts w:cs="Arial"/>
                <w:b/>
                <w:bCs/>
                <w:color w:val="000000"/>
                <w:sz w:val="16"/>
                <w:szCs w:val="16"/>
                <w:lang w:eastAsia="en-GB"/>
              </w:rPr>
              <w:t>5,741,099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b/>
                <w:bCs/>
                <w:color w:val="000000"/>
                <w:sz w:val="16"/>
                <w:szCs w:val="16"/>
                <w:lang w:eastAsia="en-GB"/>
              </w:rPr>
            </w:pPr>
            <w:r w:rsidRPr="002C54CE">
              <w:rPr>
                <w:rFonts w:cs="Arial"/>
                <w:b/>
                <w:bCs/>
                <w:color w:val="000000"/>
                <w:sz w:val="16"/>
                <w:szCs w:val="16"/>
                <w:lang w:eastAsia="en-GB"/>
              </w:rPr>
              <w:t>5,741,099</w:t>
            </w:r>
          </w:p>
        </w:tc>
        <w:tc>
          <w:tcPr>
            <w:tcW w:w="1034" w:type="dxa"/>
            <w:tcBorders>
              <w:top w:val="nil"/>
              <w:left w:val="nil"/>
              <w:bottom w:val="single" w:sz="4" w:space="0" w:color="auto"/>
              <w:right w:val="single" w:sz="4" w:space="0" w:color="auto"/>
            </w:tcBorders>
            <w:shd w:val="clear" w:color="auto" w:fill="auto"/>
            <w:noWrap/>
            <w:hideMark/>
          </w:tcPr>
          <w:p w:rsidR="002C54CE" w:rsidRPr="002C54CE" w:rsidRDefault="002C54CE" w:rsidP="002C54CE">
            <w:pPr>
              <w:jc w:val="right"/>
              <w:rPr>
                <w:rFonts w:cs="Arial"/>
                <w:b/>
                <w:bCs/>
                <w:color w:val="000000"/>
                <w:sz w:val="16"/>
                <w:szCs w:val="16"/>
                <w:lang w:eastAsia="en-GB"/>
              </w:rPr>
            </w:pPr>
            <w:r w:rsidRPr="002C54CE">
              <w:rPr>
                <w:rFonts w:cs="Arial"/>
                <w:b/>
                <w:bCs/>
                <w:color w:val="000000"/>
                <w:sz w:val="16"/>
                <w:szCs w:val="16"/>
                <w:lang w:eastAsia="en-GB"/>
              </w:rPr>
              <w:t>6,051,764</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b/>
                <w:bCs/>
                <w:color w:val="000000"/>
                <w:sz w:val="16"/>
                <w:szCs w:val="16"/>
                <w:lang w:eastAsia="en-GB"/>
              </w:rPr>
            </w:pPr>
            <w:r w:rsidRPr="002C54CE">
              <w:rPr>
                <w:rFonts w:cs="Arial"/>
                <w:b/>
                <w:bCs/>
                <w:color w:val="000000"/>
                <w:sz w:val="16"/>
                <w:szCs w:val="16"/>
                <w:lang w:eastAsia="en-GB"/>
              </w:rPr>
              <w:t>6,051,764</w:t>
            </w:r>
          </w:p>
        </w:tc>
        <w:tc>
          <w:tcPr>
            <w:tcW w:w="1034" w:type="dxa"/>
            <w:tcBorders>
              <w:top w:val="nil"/>
              <w:left w:val="nil"/>
              <w:bottom w:val="single" w:sz="4" w:space="0" w:color="auto"/>
              <w:right w:val="single" w:sz="4" w:space="0" w:color="auto"/>
            </w:tcBorders>
          </w:tcPr>
          <w:p w:rsidR="002C54CE" w:rsidRPr="002C54CE" w:rsidRDefault="002C54CE" w:rsidP="002C54CE">
            <w:pPr>
              <w:jc w:val="right"/>
              <w:rPr>
                <w:rFonts w:cs="Arial"/>
                <w:b/>
                <w:bCs/>
                <w:color w:val="00B050"/>
                <w:sz w:val="16"/>
                <w:szCs w:val="16"/>
                <w:lang w:eastAsia="en-GB"/>
              </w:rPr>
            </w:pPr>
            <w:r w:rsidRPr="002C54CE">
              <w:rPr>
                <w:rFonts w:cs="Arial"/>
                <w:b/>
                <w:bCs/>
                <w:color w:val="00B050"/>
                <w:sz w:val="16"/>
                <w:szCs w:val="16"/>
                <w:lang w:eastAsia="en-GB"/>
              </w:rPr>
              <w:t>6,051,764</w:t>
            </w: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color w:val="000000"/>
              </w:rPr>
            </w:pPr>
            <w:r w:rsidRPr="002C54CE">
              <w:rPr>
                <w:rFonts w:cs="Arial"/>
                <w:color w:val="000000"/>
              </w:rPr>
              <w:t xml:space="preserve">  </w:t>
            </w:r>
            <w:r w:rsidRPr="002C54CE">
              <w:rPr>
                <w:rFonts w:cs="Arial"/>
                <w:b/>
                <w:bCs/>
                <w:color w:val="E36C0A" w:themeColor="accent6" w:themeShade="BF"/>
                <w:sz w:val="16"/>
                <w:szCs w:val="16"/>
                <w:lang w:eastAsia="en-GB"/>
              </w:rPr>
              <w:t>6,172,194</w:t>
            </w:r>
            <w:r w:rsidRPr="002C54CE">
              <w:rPr>
                <w:rFonts w:cs="Arial"/>
                <w:color w:val="000000"/>
              </w:rPr>
              <w:t xml:space="preserve"> </w:t>
            </w:r>
          </w:p>
          <w:p w:rsidR="002C54CE" w:rsidRPr="002C54CE" w:rsidRDefault="002C54CE" w:rsidP="002C54CE">
            <w:pPr>
              <w:jc w:val="right"/>
              <w:rPr>
                <w:rFonts w:cs="Arial"/>
                <w:b/>
                <w:bCs/>
                <w:color w:val="E36C0A" w:themeColor="accent6" w:themeShade="BF"/>
                <w:sz w:val="16"/>
                <w:szCs w:val="16"/>
                <w:lang w:eastAsia="en-GB"/>
              </w:rPr>
            </w:pPr>
          </w:p>
        </w:tc>
        <w:tc>
          <w:tcPr>
            <w:tcW w:w="1209" w:type="dxa"/>
            <w:tcBorders>
              <w:top w:val="nil"/>
              <w:left w:val="nil"/>
              <w:bottom w:val="single" w:sz="4" w:space="0" w:color="auto"/>
              <w:right w:val="single" w:sz="4" w:space="0" w:color="auto"/>
            </w:tcBorders>
          </w:tcPr>
          <w:p w:rsidR="002C54CE" w:rsidRPr="002C54CE" w:rsidRDefault="002C54CE" w:rsidP="002C54CE">
            <w:pPr>
              <w:jc w:val="center"/>
              <w:rPr>
                <w:rFonts w:cs="Arial"/>
                <w:b/>
                <w:color w:val="1F497D" w:themeColor="text2"/>
                <w:sz w:val="16"/>
                <w:szCs w:val="16"/>
              </w:rPr>
            </w:pPr>
            <w:r w:rsidRPr="002C54CE">
              <w:rPr>
                <w:rFonts w:cs="Arial"/>
                <w:b/>
                <w:color w:val="1F497D" w:themeColor="text2"/>
                <w:sz w:val="16"/>
                <w:szCs w:val="16"/>
              </w:rPr>
              <w:t>120,430</w:t>
            </w:r>
          </w:p>
        </w:tc>
      </w:tr>
    </w:tbl>
    <w:p w:rsidR="002C54CE" w:rsidRPr="002C54CE" w:rsidRDefault="002C54CE" w:rsidP="002C54CE">
      <w:pPr>
        <w:ind w:left="564"/>
        <w:rPr>
          <w:rFonts w:cs="Arial"/>
          <w:lang w:eastAsia="en-GB"/>
        </w:rPr>
      </w:pPr>
    </w:p>
    <w:p w:rsidR="002C54CE" w:rsidRPr="002C54CE" w:rsidRDefault="002C54CE" w:rsidP="002C54CE">
      <w:pPr>
        <w:spacing w:after="120"/>
        <w:ind w:right="669"/>
        <w:rPr>
          <w:rFonts w:cs="Arial"/>
          <w:b/>
        </w:rPr>
      </w:pPr>
      <w:r w:rsidRPr="002C54CE">
        <w:rPr>
          <w:rFonts w:cs="Arial"/>
          <w:b/>
        </w:rPr>
        <w:t>Recommendations</w:t>
      </w:r>
      <w:r w:rsidRPr="002C54CE">
        <w:rPr>
          <w:rFonts w:cs="Arial"/>
          <w:b/>
        </w:rPr>
        <w:tab/>
      </w:r>
    </w:p>
    <w:tbl>
      <w:tblPr>
        <w:tblW w:w="8840" w:type="dxa"/>
        <w:tblBorders>
          <w:insideH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8840"/>
      </w:tblGrid>
      <w:tr w:rsidR="002C54CE" w:rsidRPr="002C54CE" w:rsidTr="006D7132">
        <w:trPr>
          <w:cantSplit/>
          <w:trHeight w:val="2293"/>
        </w:trPr>
        <w:tc>
          <w:tcPr>
            <w:tcW w:w="8840" w:type="dxa"/>
            <w:tcBorders>
              <w:top w:val="nil"/>
              <w:bottom w:val="nil"/>
            </w:tcBorders>
          </w:tcPr>
          <w:p w:rsidR="002C54CE" w:rsidRPr="002C54CE" w:rsidRDefault="002C54CE" w:rsidP="002C54CE">
            <w:pPr>
              <w:numPr>
                <w:ilvl w:val="2"/>
                <w:numId w:val="26"/>
              </w:numPr>
              <w:rPr>
                <w:rFonts w:cs="Arial"/>
              </w:rPr>
            </w:pPr>
            <w:r w:rsidRPr="002C54CE">
              <w:rPr>
                <w:rFonts w:cs="Arial"/>
              </w:rPr>
              <w:t>The Committee is asked to:</w:t>
            </w:r>
          </w:p>
          <w:p w:rsidR="002C54CE" w:rsidRPr="002C54CE" w:rsidRDefault="002C54CE" w:rsidP="002C54CE">
            <w:pPr>
              <w:rPr>
                <w:rFonts w:cs="Arial"/>
              </w:rPr>
            </w:pPr>
          </w:p>
          <w:p w:rsidR="002C54CE" w:rsidRPr="002C54CE" w:rsidRDefault="002C54CE" w:rsidP="002C54CE">
            <w:pPr>
              <w:numPr>
                <w:ilvl w:val="0"/>
                <w:numId w:val="25"/>
              </w:numPr>
              <w:rPr>
                <w:rFonts w:cs="Arial"/>
              </w:rPr>
            </w:pPr>
            <w:r w:rsidRPr="002C54CE">
              <w:rPr>
                <w:rFonts w:cs="Arial"/>
              </w:rPr>
              <w:t>Note the report</w:t>
            </w:r>
          </w:p>
          <w:p w:rsidR="002C54CE" w:rsidRPr="002C54CE" w:rsidRDefault="002C54CE" w:rsidP="002C54CE">
            <w:pPr>
              <w:ind w:left="720"/>
              <w:rPr>
                <w:rFonts w:cs="Arial"/>
              </w:rPr>
            </w:pPr>
          </w:p>
          <w:p w:rsidR="002C54CE" w:rsidRPr="002C54CE" w:rsidRDefault="002C54CE" w:rsidP="002C54CE">
            <w:pPr>
              <w:numPr>
                <w:ilvl w:val="0"/>
                <w:numId w:val="25"/>
              </w:numPr>
              <w:rPr>
                <w:rFonts w:cs="Arial"/>
              </w:rPr>
            </w:pPr>
            <w:r w:rsidRPr="002C54CE">
              <w:rPr>
                <w:rFonts w:cs="Arial"/>
              </w:rPr>
              <w:t>Note and comment on the Business Case provided by the Environment Agency</w:t>
            </w:r>
          </w:p>
          <w:p w:rsidR="002C54CE" w:rsidRPr="002C54CE" w:rsidRDefault="002C54CE" w:rsidP="002C54CE">
            <w:pPr>
              <w:rPr>
                <w:rFonts w:cs="Arial"/>
              </w:rPr>
            </w:pPr>
          </w:p>
          <w:p w:rsidR="002C54CE" w:rsidRPr="002C54CE" w:rsidRDefault="002C54CE" w:rsidP="002C54CE">
            <w:pPr>
              <w:numPr>
                <w:ilvl w:val="0"/>
                <w:numId w:val="25"/>
              </w:numPr>
              <w:rPr>
                <w:rFonts w:cs="Arial"/>
              </w:rPr>
            </w:pPr>
            <w:r w:rsidRPr="002C54CE">
              <w:rPr>
                <w:rFonts w:cs="Arial"/>
              </w:rPr>
              <w:t>Note that Members of the Thames RFCC will determine on 21 January 2015 the investment programme and levy</w:t>
            </w:r>
          </w:p>
          <w:p w:rsidR="002C54CE" w:rsidRPr="002C54CE" w:rsidRDefault="002C54CE" w:rsidP="002C54CE">
            <w:pPr>
              <w:rPr>
                <w:rFonts w:cs="Arial"/>
              </w:rPr>
            </w:pPr>
          </w:p>
          <w:p w:rsidR="002C54CE" w:rsidRPr="002C54CE" w:rsidRDefault="002C54CE" w:rsidP="002C54CE">
            <w:pPr>
              <w:ind w:left="364"/>
              <w:rPr>
                <w:rFonts w:cs="Arial"/>
              </w:rPr>
            </w:pPr>
          </w:p>
        </w:tc>
      </w:tr>
    </w:tbl>
    <w:p w:rsidR="002C54CE" w:rsidRPr="002C54CE" w:rsidRDefault="002C54CE" w:rsidP="002C54CE">
      <w:pPr>
        <w:spacing w:after="120"/>
        <w:rPr>
          <w:rFonts w:cs="Arial"/>
          <w:b/>
          <w:bCs/>
        </w:rPr>
      </w:pPr>
      <w:r w:rsidRPr="002C54CE">
        <w:rPr>
          <w:rFonts w:cs="Arial"/>
          <w:b/>
          <w:bCs/>
        </w:rPr>
        <w:t>Financial Implications</w:t>
      </w:r>
    </w:p>
    <w:p w:rsidR="002C54CE" w:rsidRPr="002C54CE" w:rsidRDefault="002C54CE" w:rsidP="002C54CE">
      <w:pPr>
        <w:numPr>
          <w:ilvl w:val="2"/>
          <w:numId w:val="26"/>
        </w:numPr>
        <w:rPr>
          <w:rFonts w:cs="Arial"/>
          <w:lang w:eastAsia="en-GB"/>
        </w:rPr>
      </w:pPr>
      <w:r w:rsidRPr="002C54CE">
        <w:rPr>
          <w:rFonts w:cs="Arial"/>
          <w:lang w:eastAsia="en-GB"/>
        </w:rPr>
        <w:t>There are no financial implications to London Councils arising from this report.</w:t>
      </w:r>
    </w:p>
    <w:p w:rsidR="002C54CE" w:rsidRPr="002C54CE" w:rsidRDefault="002C54CE" w:rsidP="002C54CE">
      <w:pPr>
        <w:ind w:left="564"/>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London boroughs will need to ensure adequate budget for 2015/16 is available based on the outcome of the TRFCC vote on 21 January 2015.</w:t>
      </w:r>
    </w:p>
    <w:p w:rsidR="002C54CE" w:rsidRPr="002C54CE" w:rsidRDefault="002C54CE" w:rsidP="002C54CE">
      <w:pPr>
        <w:spacing w:after="120"/>
        <w:rPr>
          <w:rFonts w:cs="Arial"/>
          <w:b/>
          <w:bCs/>
        </w:rPr>
      </w:pPr>
    </w:p>
    <w:p w:rsidR="002C54CE" w:rsidRPr="002C54CE" w:rsidRDefault="002C54CE" w:rsidP="002C54CE">
      <w:pPr>
        <w:spacing w:after="120"/>
        <w:rPr>
          <w:rFonts w:cs="Arial"/>
          <w:b/>
          <w:bCs/>
        </w:rPr>
      </w:pPr>
      <w:r w:rsidRPr="002C54CE">
        <w:rPr>
          <w:rFonts w:cs="Arial"/>
          <w:b/>
          <w:bCs/>
        </w:rPr>
        <w:t>Legal Implications</w:t>
      </w:r>
    </w:p>
    <w:p w:rsidR="002C54CE" w:rsidRPr="002C54CE" w:rsidRDefault="002C54CE" w:rsidP="002C54CE">
      <w:pPr>
        <w:numPr>
          <w:ilvl w:val="2"/>
          <w:numId w:val="26"/>
        </w:numPr>
        <w:rPr>
          <w:rFonts w:cs="Arial"/>
          <w:lang w:eastAsia="en-GB"/>
        </w:rPr>
      </w:pPr>
      <w:r w:rsidRPr="002C54CE">
        <w:rPr>
          <w:rFonts w:cs="Arial"/>
          <w:lang w:eastAsia="en-GB"/>
        </w:rPr>
        <w:t>There are no legal implications to London Councils arising from this report.</w:t>
      </w:r>
    </w:p>
    <w:p w:rsidR="002C54CE" w:rsidRPr="002C54CE" w:rsidRDefault="002C54CE" w:rsidP="002C54CE">
      <w:pPr>
        <w:ind w:left="564"/>
        <w:rPr>
          <w:rFonts w:cs="Arial"/>
          <w:lang w:eastAsia="en-GB"/>
        </w:rPr>
      </w:pPr>
    </w:p>
    <w:p w:rsidR="002C54CE" w:rsidRPr="002C54CE" w:rsidRDefault="002C54CE" w:rsidP="002C54CE">
      <w:pPr>
        <w:numPr>
          <w:ilvl w:val="2"/>
          <w:numId w:val="26"/>
        </w:numPr>
        <w:rPr>
          <w:rFonts w:cs="Arial"/>
          <w:lang w:eastAsia="en-GB"/>
        </w:rPr>
      </w:pPr>
      <w:r w:rsidRPr="002C54CE">
        <w:rPr>
          <w:rFonts w:cs="Arial"/>
          <w:lang w:eastAsia="en-GB"/>
        </w:rPr>
        <w:t>London boroughs have a legal duty as LLFAs to manage flood risk in their areas.</w:t>
      </w:r>
    </w:p>
    <w:p w:rsidR="002C54CE" w:rsidRPr="002C54CE" w:rsidRDefault="002C54CE" w:rsidP="002C54CE">
      <w:pPr>
        <w:spacing w:after="120"/>
        <w:rPr>
          <w:rFonts w:cs="Arial"/>
          <w:b/>
          <w:bCs/>
        </w:rPr>
      </w:pPr>
    </w:p>
    <w:p w:rsidR="002C54CE" w:rsidRPr="002C54CE" w:rsidRDefault="002C54CE" w:rsidP="002C54CE">
      <w:pPr>
        <w:spacing w:after="120"/>
        <w:rPr>
          <w:rFonts w:cs="Arial"/>
          <w:b/>
          <w:bCs/>
        </w:rPr>
      </w:pPr>
      <w:r w:rsidRPr="002C54CE">
        <w:rPr>
          <w:rFonts w:cs="Arial"/>
          <w:b/>
          <w:bCs/>
        </w:rPr>
        <w:t>Equalities Implications</w:t>
      </w:r>
    </w:p>
    <w:p w:rsidR="002C54CE" w:rsidRPr="002C54CE" w:rsidRDefault="002C54CE" w:rsidP="002C54CE">
      <w:pPr>
        <w:numPr>
          <w:ilvl w:val="2"/>
          <w:numId w:val="26"/>
        </w:numPr>
        <w:rPr>
          <w:rFonts w:cs="Arial"/>
        </w:rPr>
      </w:pPr>
      <w:r w:rsidRPr="002C54CE">
        <w:rPr>
          <w:rFonts w:cs="Arial"/>
        </w:rPr>
        <w:t>There are no equalities implications to London Councils arising from this report.</w:t>
      </w:r>
    </w:p>
    <w:p w:rsidR="002C54CE" w:rsidRPr="002C54CE" w:rsidRDefault="002C54CE" w:rsidP="002C54CE">
      <w:pPr>
        <w:ind w:left="539"/>
        <w:rPr>
          <w:rFonts w:cs="Arial"/>
        </w:rPr>
      </w:pPr>
    </w:p>
    <w:p w:rsidR="002C54CE" w:rsidRPr="002C54CE" w:rsidRDefault="002C54CE" w:rsidP="002C54CE">
      <w:pPr>
        <w:ind w:left="539"/>
        <w:rPr>
          <w:rFonts w:cs="Arial"/>
        </w:rPr>
      </w:pPr>
    </w:p>
    <w:p w:rsidR="002C54CE" w:rsidRPr="002C54CE" w:rsidRDefault="002C54CE" w:rsidP="002C54CE">
      <w:pPr>
        <w:ind w:left="539"/>
        <w:rPr>
          <w:rFonts w:cs="Arial"/>
        </w:rPr>
      </w:pPr>
    </w:p>
    <w:p w:rsidR="002C54CE" w:rsidRPr="002C54CE" w:rsidRDefault="002C54CE" w:rsidP="002C54CE">
      <w:pPr>
        <w:ind w:left="539"/>
        <w:rPr>
          <w:rFonts w:cs="Arial"/>
        </w:rPr>
      </w:pPr>
    </w:p>
    <w:p w:rsidR="002C54CE" w:rsidRPr="002C54CE" w:rsidRDefault="002C54CE" w:rsidP="002C54CE">
      <w:pPr>
        <w:ind w:left="539"/>
        <w:rPr>
          <w:rFonts w:cs="Arial"/>
        </w:rPr>
      </w:pPr>
    </w:p>
    <w:p w:rsidR="008306C8" w:rsidRDefault="008306C8" w:rsidP="00346EB2">
      <w:pPr>
        <w:spacing w:after="120"/>
        <w:rPr>
          <w:b/>
          <w:u w:val="single"/>
        </w:rPr>
      </w:pPr>
    </w:p>
    <w:sectPr w:rsidR="008306C8" w:rsidSect="00434F9E">
      <w:footerReference w:type="default" r:id="rId11"/>
      <w:pgSz w:w="11907" w:h="16840" w:code="9"/>
      <w:pgMar w:top="1560" w:right="1440" w:bottom="72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8CD" w:rsidRDefault="00A628CD">
      <w:r>
        <w:separator/>
      </w:r>
    </w:p>
  </w:endnote>
  <w:endnote w:type="continuationSeparator" w:id="0">
    <w:p w:rsidR="00A628CD" w:rsidRDefault="00A6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fficina Sans ITC TT">
    <w:panose1 w:val="00000400000000000000"/>
    <w:charset w:val="00"/>
    <w:family w:val="auto"/>
    <w:pitch w:val="variable"/>
    <w:sig w:usb0="00000003" w:usb1="00000000" w:usb2="00000000" w:usb3="00000000" w:csb0="00000001" w:csb1="00000000"/>
  </w:font>
  <w:font w:name="Frutiger 45 Light">
    <w:altName w:val="Agency FB"/>
    <w:charset w:val="00"/>
    <w:family w:val="swiss"/>
    <w:pitch w:val="variable"/>
    <w:sig w:usb0="8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5E" w:rsidRDefault="00EF335E" w:rsidP="00EF335E">
    <w:pPr>
      <w:pStyle w:val="Footer"/>
      <w:ind w:left="-993" w:right="-710"/>
      <w:rPr>
        <w:b/>
        <w:sz w:val="16"/>
        <w:szCs w:val="16"/>
      </w:rPr>
    </w:pPr>
    <w:r>
      <w:rPr>
        <w:b/>
        <w:sz w:val="16"/>
        <w:szCs w:val="16"/>
      </w:rPr>
      <w:t>Flood Management &amp; TRFCC</w:t>
    </w:r>
    <w:r w:rsidR="00A628CD">
      <w:rPr>
        <w:b/>
        <w:sz w:val="16"/>
        <w:szCs w:val="16"/>
      </w:rPr>
      <w:t xml:space="preserve">                                                                                                       </w:t>
    </w:r>
    <w:r w:rsidR="00A628CD" w:rsidRPr="0015192F">
      <w:rPr>
        <w:b/>
        <w:sz w:val="16"/>
        <w:szCs w:val="16"/>
      </w:rPr>
      <w:t>London Councils</w:t>
    </w:r>
    <w:r w:rsidR="00124CD4">
      <w:rPr>
        <w:b/>
        <w:sz w:val="16"/>
        <w:szCs w:val="16"/>
      </w:rPr>
      <w:t xml:space="preserve">’ TEC – </w:t>
    </w:r>
    <w:r>
      <w:rPr>
        <w:b/>
        <w:sz w:val="16"/>
        <w:szCs w:val="16"/>
      </w:rPr>
      <w:t>11 December 2014</w:t>
    </w:r>
  </w:p>
  <w:p w:rsidR="00A628CD" w:rsidRPr="0015192F" w:rsidRDefault="00963F32" w:rsidP="00EF335E">
    <w:pPr>
      <w:pStyle w:val="Footer"/>
      <w:ind w:left="-993" w:right="-710"/>
      <w:jc w:val="center"/>
      <w:rPr>
        <w:b/>
        <w:sz w:val="16"/>
        <w:szCs w:val="16"/>
      </w:rPr>
    </w:pPr>
    <w:r>
      <w:rPr>
        <w:b/>
        <w:sz w:val="16"/>
        <w:szCs w:val="16"/>
      </w:rPr>
      <w:t xml:space="preserve">Agenda Item </w:t>
    </w:r>
    <w:r w:rsidR="00EF335E">
      <w:rPr>
        <w:b/>
        <w:sz w:val="16"/>
        <w:szCs w:val="16"/>
      </w:rPr>
      <w:t>3</w:t>
    </w:r>
    <w:r w:rsidR="00A628CD">
      <w:rPr>
        <w:b/>
        <w:sz w:val="16"/>
        <w:szCs w:val="16"/>
      </w:rPr>
      <w:t xml:space="preserve">, Page </w:t>
    </w:r>
    <w:r w:rsidR="00A628CD" w:rsidRPr="0015192F">
      <w:rPr>
        <w:rStyle w:val="PageNumber"/>
        <w:b/>
        <w:sz w:val="16"/>
        <w:szCs w:val="16"/>
      </w:rPr>
      <w:fldChar w:fldCharType="begin"/>
    </w:r>
    <w:r w:rsidR="00A628CD" w:rsidRPr="0015192F">
      <w:rPr>
        <w:rStyle w:val="PageNumber"/>
        <w:b/>
        <w:sz w:val="16"/>
        <w:szCs w:val="16"/>
      </w:rPr>
      <w:instrText xml:space="preserve"> PAGE </w:instrText>
    </w:r>
    <w:r w:rsidR="00A628CD" w:rsidRPr="0015192F">
      <w:rPr>
        <w:rStyle w:val="PageNumber"/>
        <w:b/>
        <w:sz w:val="16"/>
        <w:szCs w:val="16"/>
      </w:rPr>
      <w:fldChar w:fldCharType="separate"/>
    </w:r>
    <w:r w:rsidR="00EF335E">
      <w:rPr>
        <w:rStyle w:val="PageNumber"/>
        <w:b/>
        <w:noProof/>
        <w:sz w:val="16"/>
        <w:szCs w:val="16"/>
      </w:rPr>
      <w:t>1</w:t>
    </w:r>
    <w:r w:rsidR="00A628CD" w:rsidRPr="0015192F">
      <w:rPr>
        <w:rStyle w:val="PageNumbe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8CD" w:rsidRDefault="00A628CD">
      <w:r>
        <w:separator/>
      </w:r>
    </w:p>
  </w:footnote>
  <w:footnote w:type="continuationSeparator" w:id="0">
    <w:p w:rsidR="00A628CD" w:rsidRDefault="00A62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3CAE6F4"/>
    <w:name w:val="WWNum212"/>
    <w:lvl w:ilvl="0">
      <w:start w:val="1"/>
      <w:numFmt w:val="decimal"/>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hint="default"/>
      </w:rPr>
    </w:lvl>
    <w:lvl w:ilvl="2">
      <w:start w:val="1"/>
      <w:numFmt w:val="bullet"/>
      <w:lvlText w:val=""/>
      <w:lvlJc w:val="left"/>
      <w:pPr>
        <w:tabs>
          <w:tab w:val="num" w:pos="0"/>
        </w:tabs>
        <w:ind w:left="1980" w:hanging="360"/>
      </w:pPr>
      <w:rPr>
        <w:rFonts w:ascii="Symbol" w:hAnsi="Symbol" w:cs="Times New Roman"/>
      </w:r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
    <w:nsid w:val="099550C1"/>
    <w:multiLevelType w:val="hybridMultilevel"/>
    <w:tmpl w:val="5E4CE09A"/>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564"/>
        </w:tabs>
        <w:ind w:left="564" w:hanging="564"/>
      </w:pPr>
      <w:rPr>
        <w:rFonts w:hint="default"/>
        <w:b w:val="0"/>
        <w:i w:val="0"/>
        <w:color w:val="auto"/>
      </w:rPr>
    </w:lvl>
    <w:lvl w:ilvl="3" w:tplc="08090001">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485B65"/>
    <w:multiLevelType w:val="hybridMultilevel"/>
    <w:tmpl w:val="D812D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963F52"/>
    <w:multiLevelType w:val="hybridMultilevel"/>
    <w:tmpl w:val="B7F84C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E19E1"/>
    <w:multiLevelType w:val="hybridMultilevel"/>
    <w:tmpl w:val="2542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F75DDD"/>
    <w:multiLevelType w:val="hybridMultilevel"/>
    <w:tmpl w:val="78A84F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8E48B9"/>
    <w:multiLevelType w:val="hybridMultilevel"/>
    <w:tmpl w:val="509CC4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9962CBD"/>
    <w:multiLevelType w:val="hybridMultilevel"/>
    <w:tmpl w:val="2FE6F9A0"/>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331B5245"/>
    <w:multiLevelType w:val="hybridMultilevel"/>
    <w:tmpl w:val="C4A4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6F5AE5"/>
    <w:multiLevelType w:val="hybridMultilevel"/>
    <w:tmpl w:val="02A2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522E0"/>
    <w:multiLevelType w:val="hybridMultilevel"/>
    <w:tmpl w:val="32F8B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BD241E"/>
    <w:multiLevelType w:val="hybridMultilevel"/>
    <w:tmpl w:val="9DC895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20287D"/>
    <w:multiLevelType w:val="hybridMultilevel"/>
    <w:tmpl w:val="D772C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2249B7"/>
    <w:multiLevelType w:val="hybridMultilevel"/>
    <w:tmpl w:val="7F26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561A3B"/>
    <w:multiLevelType w:val="hybridMultilevel"/>
    <w:tmpl w:val="FE3E4A5A"/>
    <w:lvl w:ilvl="0" w:tplc="0809001B">
      <w:start w:val="1"/>
      <w:numFmt w:val="lowerRoman"/>
      <w:lvlText w:val="%1."/>
      <w:lvlJc w:val="right"/>
      <w:pPr>
        <w:ind w:left="786" w:hanging="360"/>
      </w:p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47B529C0"/>
    <w:multiLevelType w:val="hybridMultilevel"/>
    <w:tmpl w:val="9F1EDC22"/>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nsid w:val="4B610B07"/>
    <w:multiLevelType w:val="hybridMultilevel"/>
    <w:tmpl w:val="7BF83654"/>
    <w:lvl w:ilvl="0" w:tplc="08090001">
      <w:start w:val="1"/>
      <w:numFmt w:val="bullet"/>
      <w:lvlText w:val=""/>
      <w:lvlJc w:val="left"/>
      <w:pPr>
        <w:ind w:left="786"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4C634011"/>
    <w:multiLevelType w:val="hybridMultilevel"/>
    <w:tmpl w:val="EA208C1E"/>
    <w:lvl w:ilvl="0" w:tplc="4056986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AC61F9"/>
    <w:multiLevelType w:val="hybridMultilevel"/>
    <w:tmpl w:val="74267820"/>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01">
      <w:start w:val="1"/>
      <w:numFmt w:val="bullet"/>
      <w:lvlText w:val=""/>
      <w:lvlJc w:val="left"/>
      <w:pPr>
        <w:ind w:left="2727" w:hanging="180"/>
      </w:pPr>
      <w:rPr>
        <w:rFonts w:ascii="Symbol" w:hAnsi="Symbol" w:hint="default"/>
      </w:rPr>
    </w:lvl>
    <w:lvl w:ilvl="3" w:tplc="9D8C6CAA">
      <w:numFmt w:val="bullet"/>
      <w:lvlText w:val="•"/>
      <w:lvlJc w:val="left"/>
      <w:pPr>
        <w:ind w:left="3447" w:hanging="360"/>
      </w:pPr>
      <w:rPr>
        <w:rFonts w:ascii="Arial" w:eastAsia="Times New Roman" w:hAnsi="Arial" w:cs="Arial" w:hint="default"/>
      </w:r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nsid w:val="5EE54753"/>
    <w:multiLevelType w:val="hybridMultilevel"/>
    <w:tmpl w:val="E7AC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1BE019C"/>
    <w:multiLevelType w:val="hybridMultilevel"/>
    <w:tmpl w:val="2BB40F72"/>
    <w:lvl w:ilvl="0" w:tplc="69600BC6">
      <w:start w:val="1"/>
      <w:numFmt w:val="decimal"/>
      <w:lvlText w:val="%1."/>
      <w:lvlJc w:val="left"/>
      <w:pPr>
        <w:ind w:left="567" w:hanging="567"/>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673E140B"/>
    <w:multiLevelType w:val="hybridMultilevel"/>
    <w:tmpl w:val="2F043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8637B30"/>
    <w:multiLevelType w:val="hybridMultilevel"/>
    <w:tmpl w:val="570497F2"/>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0651DD3"/>
    <w:multiLevelType w:val="hybridMultilevel"/>
    <w:tmpl w:val="AD424E64"/>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03">
      <w:start w:val="1"/>
      <w:numFmt w:val="bullet"/>
      <w:lvlText w:val="o"/>
      <w:lvlJc w:val="left"/>
      <w:pPr>
        <w:ind w:left="2727" w:hanging="180"/>
      </w:pPr>
      <w:rPr>
        <w:rFonts w:ascii="Courier New" w:hAnsi="Courier New" w:cs="Courier New" w:hint="default"/>
      </w:r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nsid w:val="733932DA"/>
    <w:multiLevelType w:val="hybridMultilevel"/>
    <w:tmpl w:val="FFCA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CF2334"/>
    <w:multiLevelType w:val="hybridMultilevel"/>
    <w:tmpl w:val="81344E96"/>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D810404"/>
    <w:multiLevelType w:val="hybridMultilevel"/>
    <w:tmpl w:val="BDE0C334"/>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7F3C79A6"/>
    <w:multiLevelType w:val="hybridMultilevel"/>
    <w:tmpl w:val="CD62DE44"/>
    <w:lvl w:ilvl="0" w:tplc="0809000F">
      <w:start w:val="1"/>
      <w:numFmt w:val="decimal"/>
      <w:lvlText w:val="%1."/>
      <w:lvlJc w:val="left"/>
      <w:pPr>
        <w:ind w:left="786" w:hanging="360"/>
      </w:pPr>
    </w:lvl>
    <w:lvl w:ilvl="1" w:tplc="08090001">
      <w:start w:val="1"/>
      <w:numFmt w:val="bullet"/>
      <w:lvlText w:val=""/>
      <w:lvlJc w:val="left"/>
      <w:pPr>
        <w:ind w:left="2007" w:hanging="360"/>
      </w:pPr>
      <w:rPr>
        <w:rFonts w:ascii="Symbol" w:hAnsi="Symbol" w:hint="default"/>
      </w:r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15"/>
  </w:num>
  <w:num w:numId="2">
    <w:abstractNumId w:val="27"/>
  </w:num>
  <w:num w:numId="3">
    <w:abstractNumId w:val="8"/>
  </w:num>
  <w:num w:numId="4">
    <w:abstractNumId w:val="21"/>
  </w:num>
  <w:num w:numId="5">
    <w:abstractNumId w:val="20"/>
  </w:num>
  <w:num w:numId="6">
    <w:abstractNumId w:val="25"/>
  </w:num>
  <w:num w:numId="7">
    <w:abstractNumId w:val="23"/>
  </w:num>
  <w:num w:numId="8">
    <w:abstractNumId w:val="18"/>
  </w:num>
  <w:num w:numId="9">
    <w:abstractNumId w:val="14"/>
  </w:num>
  <w:num w:numId="10">
    <w:abstractNumId w:val="13"/>
  </w:num>
  <w:num w:numId="11">
    <w:abstractNumId w:val="22"/>
  </w:num>
  <w:num w:numId="12">
    <w:abstractNumId w:val="6"/>
  </w:num>
  <w:num w:numId="13">
    <w:abstractNumId w:val="7"/>
  </w:num>
  <w:num w:numId="14">
    <w:abstractNumId w:val="2"/>
  </w:num>
  <w:num w:numId="15">
    <w:abstractNumId w:val="24"/>
  </w:num>
  <w:num w:numId="16">
    <w:abstractNumId w:val="5"/>
  </w:num>
  <w:num w:numId="17">
    <w:abstractNumId w:val="26"/>
  </w:num>
  <w:num w:numId="18">
    <w:abstractNumId w:val="16"/>
  </w:num>
  <w:num w:numId="19">
    <w:abstractNumId w:val="10"/>
  </w:num>
  <w:num w:numId="20">
    <w:abstractNumId w:val="19"/>
  </w:num>
  <w:num w:numId="21">
    <w:abstractNumId w:val="4"/>
  </w:num>
  <w:num w:numId="22">
    <w:abstractNumId w:val="17"/>
  </w:num>
  <w:num w:numId="23">
    <w:abstractNumId w:val="11"/>
  </w:num>
  <w:num w:numId="24">
    <w:abstractNumId w:val="3"/>
  </w:num>
  <w:num w:numId="25">
    <w:abstractNumId w:val="12"/>
  </w:num>
  <w:num w:numId="26">
    <w:abstractNumId w:val="1"/>
  </w:num>
  <w:num w:numId="2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7F35462-860F-4C72-BAEF-8A3B7B2E1432}"/>
    <w:docVar w:name="dgnword-eventsink" w:val="11362224"/>
  </w:docVars>
  <w:rsids>
    <w:rsidRoot w:val="000F11AE"/>
    <w:rsid w:val="00000A49"/>
    <w:rsid w:val="00003687"/>
    <w:rsid w:val="00003E85"/>
    <w:rsid w:val="00006F07"/>
    <w:rsid w:val="000073CE"/>
    <w:rsid w:val="00010C4A"/>
    <w:rsid w:val="000116C6"/>
    <w:rsid w:val="00011CBC"/>
    <w:rsid w:val="00014D97"/>
    <w:rsid w:val="00017B85"/>
    <w:rsid w:val="00020B09"/>
    <w:rsid w:val="000224BC"/>
    <w:rsid w:val="000228A6"/>
    <w:rsid w:val="000237F6"/>
    <w:rsid w:val="00032224"/>
    <w:rsid w:val="00033346"/>
    <w:rsid w:val="00036934"/>
    <w:rsid w:val="00037722"/>
    <w:rsid w:val="00040584"/>
    <w:rsid w:val="000423C0"/>
    <w:rsid w:val="00042FF3"/>
    <w:rsid w:val="0004353D"/>
    <w:rsid w:val="000442CD"/>
    <w:rsid w:val="0004601F"/>
    <w:rsid w:val="00047EF6"/>
    <w:rsid w:val="00050594"/>
    <w:rsid w:val="00050CE1"/>
    <w:rsid w:val="00052AAF"/>
    <w:rsid w:val="00053CD7"/>
    <w:rsid w:val="00055F0A"/>
    <w:rsid w:val="00057F1A"/>
    <w:rsid w:val="0006081A"/>
    <w:rsid w:val="000610DD"/>
    <w:rsid w:val="000627BF"/>
    <w:rsid w:val="000757EE"/>
    <w:rsid w:val="0007702D"/>
    <w:rsid w:val="000771EF"/>
    <w:rsid w:val="000778C2"/>
    <w:rsid w:val="00083582"/>
    <w:rsid w:val="00084D85"/>
    <w:rsid w:val="00085946"/>
    <w:rsid w:val="0009021E"/>
    <w:rsid w:val="00093256"/>
    <w:rsid w:val="000938FC"/>
    <w:rsid w:val="00096937"/>
    <w:rsid w:val="00097AAF"/>
    <w:rsid w:val="000A033F"/>
    <w:rsid w:val="000A2A01"/>
    <w:rsid w:val="000A2FDF"/>
    <w:rsid w:val="000A3EA6"/>
    <w:rsid w:val="000A4B09"/>
    <w:rsid w:val="000A569C"/>
    <w:rsid w:val="000A6B4E"/>
    <w:rsid w:val="000A756D"/>
    <w:rsid w:val="000A7CC3"/>
    <w:rsid w:val="000A7E09"/>
    <w:rsid w:val="000B0BD6"/>
    <w:rsid w:val="000B21A4"/>
    <w:rsid w:val="000C02CF"/>
    <w:rsid w:val="000C04A8"/>
    <w:rsid w:val="000C0C39"/>
    <w:rsid w:val="000C2026"/>
    <w:rsid w:val="000C3395"/>
    <w:rsid w:val="000C5CF8"/>
    <w:rsid w:val="000C5F05"/>
    <w:rsid w:val="000C66B6"/>
    <w:rsid w:val="000D2FD9"/>
    <w:rsid w:val="000D4177"/>
    <w:rsid w:val="000D4F52"/>
    <w:rsid w:val="000D56AA"/>
    <w:rsid w:val="000D61EB"/>
    <w:rsid w:val="000D7887"/>
    <w:rsid w:val="000E08AE"/>
    <w:rsid w:val="000E08E9"/>
    <w:rsid w:val="000E2127"/>
    <w:rsid w:val="000E2AD5"/>
    <w:rsid w:val="000E391C"/>
    <w:rsid w:val="000E3A8F"/>
    <w:rsid w:val="000E3FA0"/>
    <w:rsid w:val="000F11AE"/>
    <w:rsid w:val="000F1673"/>
    <w:rsid w:val="000F2CE7"/>
    <w:rsid w:val="00101C1E"/>
    <w:rsid w:val="001026AC"/>
    <w:rsid w:val="0010334F"/>
    <w:rsid w:val="001055EE"/>
    <w:rsid w:val="0010693B"/>
    <w:rsid w:val="0011199F"/>
    <w:rsid w:val="00112769"/>
    <w:rsid w:val="0011339E"/>
    <w:rsid w:val="00113714"/>
    <w:rsid w:val="00115753"/>
    <w:rsid w:val="0011629C"/>
    <w:rsid w:val="0011695F"/>
    <w:rsid w:val="00117D67"/>
    <w:rsid w:val="00120113"/>
    <w:rsid w:val="001205F7"/>
    <w:rsid w:val="00124CD4"/>
    <w:rsid w:val="00127AAA"/>
    <w:rsid w:val="0013190B"/>
    <w:rsid w:val="0013264C"/>
    <w:rsid w:val="00133056"/>
    <w:rsid w:val="00133B2A"/>
    <w:rsid w:val="00133E08"/>
    <w:rsid w:val="0013426C"/>
    <w:rsid w:val="001363A4"/>
    <w:rsid w:val="00136E86"/>
    <w:rsid w:val="00137F59"/>
    <w:rsid w:val="00143CAE"/>
    <w:rsid w:val="0014549C"/>
    <w:rsid w:val="00146CF4"/>
    <w:rsid w:val="00146E2E"/>
    <w:rsid w:val="001475D2"/>
    <w:rsid w:val="0014776D"/>
    <w:rsid w:val="0015192F"/>
    <w:rsid w:val="00152A85"/>
    <w:rsid w:val="00152FF5"/>
    <w:rsid w:val="001532BF"/>
    <w:rsid w:val="00153671"/>
    <w:rsid w:val="001546AF"/>
    <w:rsid w:val="00154F4C"/>
    <w:rsid w:val="001556FE"/>
    <w:rsid w:val="00157E7F"/>
    <w:rsid w:val="001645FB"/>
    <w:rsid w:val="00165297"/>
    <w:rsid w:val="001654AC"/>
    <w:rsid w:val="001659DC"/>
    <w:rsid w:val="00165E4E"/>
    <w:rsid w:val="00165EB2"/>
    <w:rsid w:val="00166FAA"/>
    <w:rsid w:val="00170670"/>
    <w:rsid w:val="00173566"/>
    <w:rsid w:val="00175D10"/>
    <w:rsid w:val="00176ED7"/>
    <w:rsid w:val="00181E0C"/>
    <w:rsid w:val="00183146"/>
    <w:rsid w:val="0018481C"/>
    <w:rsid w:val="001857E0"/>
    <w:rsid w:val="00186C4D"/>
    <w:rsid w:val="00187064"/>
    <w:rsid w:val="001874A8"/>
    <w:rsid w:val="00191E12"/>
    <w:rsid w:val="00192FF2"/>
    <w:rsid w:val="00194897"/>
    <w:rsid w:val="00194DE8"/>
    <w:rsid w:val="00194E78"/>
    <w:rsid w:val="001955E3"/>
    <w:rsid w:val="0019602D"/>
    <w:rsid w:val="001970B2"/>
    <w:rsid w:val="0019730D"/>
    <w:rsid w:val="00197724"/>
    <w:rsid w:val="001A0256"/>
    <w:rsid w:val="001A08EC"/>
    <w:rsid w:val="001A2D00"/>
    <w:rsid w:val="001A3579"/>
    <w:rsid w:val="001B05A2"/>
    <w:rsid w:val="001B0C4B"/>
    <w:rsid w:val="001B1CAB"/>
    <w:rsid w:val="001B2A88"/>
    <w:rsid w:val="001B418A"/>
    <w:rsid w:val="001B5A22"/>
    <w:rsid w:val="001B678C"/>
    <w:rsid w:val="001B7BD4"/>
    <w:rsid w:val="001C18FF"/>
    <w:rsid w:val="001C1CEF"/>
    <w:rsid w:val="001C1DA8"/>
    <w:rsid w:val="001C1EBF"/>
    <w:rsid w:val="001C57CD"/>
    <w:rsid w:val="001C580F"/>
    <w:rsid w:val="001C5EFD"/>
    <w:rsid w:val="001C609E"/>
    <w:rsid w:val="001D201D"/>
    <w:rsid w:val="001D25C8"/>
    <w:rsid w:val="001D2925"/>
    <w:rsid w:val="001D3637"/>
    <w:rsid w:val="001D6EDC"/>
    <w:rsid w:val="001E0265"/>
    <w:rsid w:val="001E046E"/>
    <w:rsid w:val="001E0B9A"/>
    <w:rsid w:val="001E1867"/>
    <w:rsid w:val="001E2DBE"/>
    <w:rsid w:val="001E401D"/>
    <w:rsid w:val="001E4156"/>
    <w:rsid w:val="001E4800"/>
    <w:rsid w:val="001E58BC"/>
    <w:rsid w:val="001E620E"/>
    <w:rsid w:val="001E625E"/>
    <w:rsid w:val="001E6E9A"/>
    <w:rsid w:val="001F00EB"/>
    <w:rsid w:val="001F0140"/>
    <w:rsid w:val="001F0223"/>
    <w:rsid w:val="001F13F5"/>
    <w:rsid w:val="001F1A15"/>
    <w:rsid w:val="001F2E43"/>
    <w:rsid w:val="001F42A7"/>
    <w:rsid w:val="001F4B14"/>
    <w:rsid w:val="001F66D2"/>
    <w:rsid w:val="001F704A"/>
    <w:rsid w:val="00200DF1"/>
    <w:rsid w:val="00200E7B"/>
    <w:rsid w:val="0020104A"/>
    <w:rsid w:val="00203370"/>
    <w:rsid w:val="00205A70"/>
    <w:rsid w:val="00205BFF"/>
    <w:rsid w:val="002060E3"/>
    <w:rsid w:val="00206B61"/>
    <w:rsid w:val="00207188"/>
    <w:rsid w:val="00212449"/>
    <w:rsid w:val="00212D81"/>
    <w:rsid w:val="00214EB3"/>
    <w:rsid w:val="00215C8E"/>
    <w:rsid w:val="00221710"/>
    <w:rsid w:val="002218C6"/>
    <w:rsid w:val="00222A55"/>
    <w:rsid w:val="00223473"/>
    <w:rsid w:val="0022373F"/>
    <w:rsid w:val="002238E4"/>
    <w:rsid w:val="002246BC"/>
    <w:rsid w:val="0022646E"/>
    <w:rsid w:val="0023057A"/>
    <w:rsid w:val="00234268"/>
    <w:rsid w:val="00237AE6"/>
    <w:rsid w:val="002422EC"/>
    <w:rsid w:val="00243127"/>
    <w:rsid w:val="00243D53"/>
    <w:rsid w:val="0024523A"/>
    <w:rsid w:val="002460BC"/>
    <w:rsid w:val="0024760A"/>
    <w:rsid w:val="002476F1"/>
    <w:rsid w:val="00250B8D"/>
    <w:rsid w:val="0025158C"/>
    <w:rsid w:val="00251934"/>
    <w:rsid w:val="002547E3"/>
    <w:rsid w:val="0025503D"/>
    <w:rsid w:val="00255360"/>
    <w:rsid w:val="00255BCC"/>
    <w:rsid w:val="002564B0"/>
    <w:rsid w:val="002607D3"/>
    <w:rsid w:val="00261DBD"/>
    <w:rsid w:val="00262491"/>
    <w:rsid w:val="0026321A"/>
    <w:rsid w:val="002634BC"/>
    <w:rsid w:val="00264D9C"/>
    <w:rsid w:val="0026685E"/>
    <w:rsid w:val="00267465"/>
    <w:rsid w:val="00270A8A"/>
    <w:rsid w:val="00271CD1"/>
    <w:rsid w:val="00272434"/>
    <w:rsid w:val="00273747"/>
    <w:rsid w:val="002744FA"/>
    <w:rsid w:val="002753C8"/>
    <w:rsid w:val="0027605A"/>
    <w:rsid w:val="0027692E"/>
    <w:rsid w:val="002800AA"/>
    <w:rsid w:val="00284C21"/>
    <w:rsid w:val="0028644C"/>
    <w:rsid w:val="002903E8"/>
    <w:rsid w:val="0029213A"/>
    <w:rsid w:val="00295446"/>
    <w:rsid w:val="002960C6"/>
    <w:rsid w:val="00296DD7"/>
    <w:rsid w:val="0029715A"/>
    <w:rsid w:val="002A1900"/>
    <w:rsid w:val="002A1B2E"/>
    <w:rsid w:val="002A24FE"/>
    <w:rsid w:val="002A2FAA"/>
    <w:rsid w:val="002A3198"/>
    <w:rsid w:val="002A4B23"/>
    <w:rsid w:val="002A5C20"/>
    <w:rsid w:val="002B0CEE"/>
    <w:rsid w:val="002B46A1"/>
    <w:rsid w:val="002B6A60"/>
    <w:rsid w:val="002B6E1D"/>
    <w:rsid w:val="002C07E6"/>
    <w:rsid w:val="002C2F3B"/>
    <w:rsid w:val="002C31AF"/>
    <w:rsid w:val="002C322E"/>
    <w:rsid w:val="002C40B5"/>
    <w:rsid w:val="002C4615"/>
    <w:rsid w:val="002C54CE"/>
    <w:rsid w:val="002C63B4"/>
    <w:rsid w:val="002C717E"/>
    <w:rsid w:val="002C766D"/>
    <w:rsid w:val="002D02EB"/>
    <w:rsid w:val="002D202C"/>
    <w:rsid w:val="002D370E"/>
    <w:rsid w:val="002D40B3"/>
    <w:rsid w:val="002D494F"/>
    <w:rsid w:val="002D4E5C"/>
    <w:rsid w:val="002D55D3"/>
    <w:rsid w:val="002D5CF9"/>
    <w:rsid w:val="002D614A"/>
    <w:rsid w:val="002D688A"/>
    <w:rsid w:val="002E00FE"/>
    <w:rsid w:val="002E032A"/>
    <w:rsid w:val="002E0A88"/>
    <w:rsid w:val="002E26F6"/>
    <w:rsid w:val="002E2B5A"/>
    <w:rsid w:val="002E3826"/>
    <w:rsid w:val="002E6092"/>
    <w:rsid w:val="002F1FD5"/>
    <w:rsid w:val="002F387E"/>
    <w:rsid w:val="002F3C43"/>
    <w:rsid w:val="002F58E3"/>
    <w:rsid w:val="00300B42"/>
    <w:rsid w:val="00302172"/>
    <w:rsid w:val="00302465"/>
    <w:rsid w:val="0030368E"/>
    <w:rsid w:val="00304C5A"/>
    <w:rsid w:val="00305286"/>
    <w:rsid w:val="0030619B"/>
    <w:rsid w:val="0030629E"/>
    <w:rsid w:val="003073EE"/>
    <w:rsid w:val="0031030D"/>
    <w:rsid w:val="00310F3E"/>
    <w:rsid w:val="003130C7"/>
    <w:rsid w:val="0031565E"/>
    <w:rsid w:val="0031633C"/>
    <w:rsid w:val="00320901"/>
    <w:rsid w:val="00321D45"/>
    <w:rsid w:val="00324F84"/>
    <w:rsid w:val="00327E61"/>
    <w:rsid w:val="00327EBF"/>
    <w:rsid w:val="00330B4C"/>
    <w:rsid w:val="003317F5"/>
    <w:rsid w:val="00333658"/>
    <w:rsid w:val="00333850"/>
    <w:rsid w:val="00333FDD"/>
    <w:rsid w:val="00336245"/>
    <w:rsid w:val="003379BB"/>
    <w:rsid w:val="0034331F"/>
    <w:rsid w:val="00346CE4"/>
    <w:rsid w:val="00346EB2"/>
    <w:rsid w:val="00347F2E"/>
    <w:rsid w:val="00351019"/>
    <w:rsid w:val="00352939"/>
    <w:rsid w:val="00353AE8"/>
    <w:rsid w:val="0035432A"/>
    <w:rsid w:val="00355FD5"/>
    <w:rsid w:val="00361B96"/>
    <w:rsid w:val="00362DD8"/>
    <w:rsid w:val="0036502E"/>
    <w:rsid w:val="0036649B"/>
    <w:rsid w:val="00366613"/>
    <w:rsid w:val="003673BF"/>
    <w:rsid w:val="003674AE"/>
    <w:rsid w:val="003709AF"/>
    <w:rsid w:val="00370AC2"/>
    <w:rsid w:val="0037121D"/>
    <w:rsid w:val="00371FED"/>
    <w:rsid w:val="0037280D"/>
    <w:rsid w:val="00372A09"/>
    <w:rsid w:val="00373AE1"/>
    <w:rsid w:val="0037428E"/>
    <w:rsid w:val="00374E7C"/>
    <w:rsid w:val="003756E2"/>
    <w:rsid w:val="00376EE1"/>
    <w:rsid w:val="00377E3F"/>
    <w:rsid w:val="00384296"/>
    <w:rsid w:val="00384883"/>
    <w:rsid w:val="0038521C"/>
    <w:rsid w:val="00385D0F"/>
    <w:rsid w:val="00387442"/>
    <w:rsid w:val="00391B61"/>
    <w:rsid w:val="00391D18"/>
    <w:rsid w:val="0039218E"/>
    <w:rsid w:val="00394A9F"/>
    <w:rsid w:val="00395A22"/>
    <w:rsid w:val="003A0938"/>
    <w:rsid w:val="003A291B"/>
    <w:rsid w:val="003A4BAA"/>
    <w:rsid w:val="003A657B"/>
    <w:rsid w:val="003A692F"/>
    <w:rsid w:val="003A69A0"/>
    <w:rsid w:val="003A7DBB"/>
    <w:rsid w:val="003B2214"/>
    <w:rsid w:val="003B5158"/>
    <w:rsid w:val="003B5847"/>
    <w:rsid w:val="003B63B4"/>
    <w:rsid w:val="003B6E7C"/>
    <w:rsid w:val="003C0532"/>
    <w:rsid w:val="003C2441"/>
    <w:rsid w:val="003C2870"/>
    <w:rsid w:val="003C2B35"/>
    <w:rsid w:val="003C40F2"/>
    <w:rsid w:val="003C44EF"/>
    <w:rsid w:val="003C58BF"/>
    <w:rsid w:val="003D248E"/>
    <w:rsid w:val="003D38F1"/>
    <w:rsid w:val="003D581B"/>
    <w:rsid w:val="003D67C7"/>
    <w:rsid w:val="003D7A27"/>
    <w:rsid w:val="003E0A04"/>
    <w:rsid w:val="003E0D44"/>
    <w:rsid w:val="003E0FE5"/>
    <w:rsid w:val="003E2CE2"/>
    <w:rsid w:val="003E2F65"/>
    <w:rsid w:val="003E582D"/>
    <w:rsid w:val="003E584D"/>
    <w:rsid w:val="003E6FF5"/>
    <w:rsid w:val="003F06C3"/>
    <w:rsid w:val="003F0EE3"/>
    <w:rsid w:val="003F1400"/>
    <w:rsid w:val="003F33AF"/>
    <w:rsid w:val="003F61F0"/>
    <w:rsid w:val="003F66B0"/>
    <w:rsid w:val="003F76E5"/>
    <w:rsid w:val="003F7BFE"/>
    <w:rsid w:val="00400065"/>
    <w:rsid w:val="00400F22"/>
    <w:rsid w:val="00401C73"/>
    <w:rsid w:val="00402B1E"/>
    <w:rsid w:val="00403E7E"/>
    <w:rsid w:val="004046EA"/>
    <w:rsid w:val="00407B91"/>
    <w:rsid w:val="00411E74"/>
    <w:rsid w:val="004142B2"/>
    <w:rsid w:val="00416C19"/>
    <w:rsid w:val="00416DBB"/>
    <w:rsid w:val="004178B0"/>
    <w:rsid w:val="00420066"/>
    <w:rsid w:val="00422177"/>
    <w:rsid w:val="00422809"/>
    <w:rsid w:val="00422BB1"/>
    <w:rsid w:val="00423A5C"/>
    <w:rsid w:val="00423ADE"/>
    <w:rsid w:val="004264C2"/>
    <w:rsid w:val="0042690E"/>
    <w:rsid w:val="004270EA"/>
    <w:rsid w:val="0043067B"/>
    <w:rsid w:val="0043069D"/>
    <w:rsid w:val="00434952"/>
    <w:rsid w:val="00434F9E"/>
    <w:rsid w:val="00435F8E"/>
    <w:rsid w:val="004370D3"/>
    <w:rsid w:val="004423A5"/>
    <w:rsid w:val="004437ED"/>
    <w:rsid w:val="00444552"/>
    <w:rsid w:val="00445D14"/>
    <w:rsid w:val="004461FF"/>
    <w:rsid w:val="00452E4C"/>
    <w:rsid w:val="00454218"/>
    <w:rsid w:val="00455665"/>
    <w:rsid w:val="00456BC0"/>
    <w:rsid w:val="0046028C"/>
    <w:rsid w:val="00460B89"/>
    <w:rsid w:val="0046330E"/>
    <w:rsid w:val="004636A2"/>
    <w:rsid w:val="00464E2C"/>
    <w:rsid w:val="004656E2"/>
    <w:rsid w:val="00465E71"/>
    <w:rsid w:val="00466BA0"/>
    <w:rsid w:val="00466CA5"/>
    <w:rsid w:val="004677FC"/>
    <w:rsid w:val="004728B2"/>
    <w:rsid w:val="00473283"/>
    <w:rsid w:val="00480559"/>
    <w:rsid w:val="00482BD5"/>
    <w:rsid w:val="00483FE2"/>
    <w:rsid w:val="00487A93"/>
    <w:rsid w:val="00491AA6"/>
    <w:rsid w:val="00491D6F"/>
    <w:rsid w:val="0049392A"/>
    <w:rsid w:val="00493FC5"/>
    <w:rsid w:val="004A1BEC"/>
    <w:rsid w:val="004A364F"/>
    <w:rsid w:val="004A46E2"/>
    <w:rsid w:val="004A4BE8"/>
    <w:rsid w:val="004A4F4C"/>
    <w:rsid w:val="004B01AF"/>
    <w:rsid w:val="004B0AC3"/>
    <w:rsid w:val="004B1905"/>
    <w:rsid w:val="004B33D1"/>
    <w:rsid w:val="004B42D1"/>
    <w:rsid w:val="004C0C3C"/>
    <w:rsid w:val="004C0E65"/>
    <w:rsid w:val="004C3150"/>
    <w:rsid w:val="004C37FB"/>
    <w:rsid w:val="004C4FD8"/>
    <w:rsid w:val="004C6757"/>
    <w:rsid w:val="004C77F8"/>
    <w:rsid w:val="004D0EF2"/>
    <w:rsid w:val="004D274D"/>
    <w:rsid w:val="004D2F8F"/>
    <w:rsid w:val="004D3BF9"/>
    <w:rsid w:val="004D4252"/>
    <w:rsid w:val="004D487A"/>
    <w:rsid w:val="004D5A5B"/>
    <w:rsid w:val="004D68F3"/>
    <w:rsid w:val="004D6CF6"/>
    <w:rsid w:val="004D78DA"/>
    <w:rsid w:val="004E0F53"/>
    <w:rsid w:val="004E2C68"/>
    <w:rsid w:val="004E3F84"/>
    <w:rsid w:val="004E409D"/>
    <w:rsid w:val="004E466C"/>
    <w:rsid w:val="004E4A5C"/>
    <w:rsid w:val="004F07A5"/>
    <w:rsid w:val="004F3D26"/>
    <w:rsid w:val="004F4380"/>
    <w:rsid w:val="004F4FC7"/>
    <w:rsid w:val="004F5ACC"/>
    <w:rsid w:val="004F6B0E"/>
    <w:rsid w:val="00504597"/>
    <w:rsid w:val="00504D8B"/>
    <w:rsid w:val="00506CB0"/>
    <w:rsid w:val="00506F90"/>
    <w:rsid w:val="0051042E"/>
    <w:rsid w:val="005118C9"/>
    <w:rsid w:val="005139DE"/>
    <w:rsid w:val="0051545F"/>
    <w:rsid w:val="00515DD2"/>
    <w:rsid w:val="0052063A"/>
    <w:rsid w:val="005244A8"/>
    <w:rsid w:val="00525817"/>
    <w:rsid w:val="00526821"/>
    <w:rsid w:val="00526DF6"/>
    <w:rsid w:val="005275E2"/>
    <w:rsid w:val="0053299D"/>
    <w:rsid w:val="00533849"/>
    <w:rsid w:val="0053557F"/>
    <w:rsid w:val="00536A9D"/>
    <w:rsid w:val="00541D4B"/>
    <w:rsid w:val="00543717"/>
    <w:rsid w:val="00543A3B"/>
    <w:rsid w:val="00543F7A"/>
    <w:rsid w:val="00545BD2"/>
    <w:rsid w:val="00545E7C"/>
    <w:rsid w:val="00547B47"/>
    <w:rsid w:val="00547D0E"/>
    <w:rsid w:val="00550AAA"/>
    <w:rsid w:val="00552C3B"/>
    <w:rsid w:val="005543AE"/>
    <w:rsid w:val="0055532C"/>
    <w:rsid w:val="00555464"/>
    <w:rsid w:val="00555899"/>
    <w:rsid w:val="005558C0"/>
    <w:rsid w:val="00555A99"/>
    <w:rsid w:val="00557252"/>
    <w:rsid w:val="005610BF"/>
    <w:rsid w:val="0056361D"/>
    <w:rsid w:val="00563979"/>
    <w:rsid w:val="0056489C"/>
    <w:rsid w:val="00564AA2"/>
    <w:rsid w:val="00565AC6"/>
    <w:rsid w:val="005713D7"/>
    <w:rsid w:val="00572CE5"/>
    <w:rsid w:val="00574B15"/>
    <w:rsid w:val="00575FC7"/>
    <w:rsid w:val="00581F6C"/>
    <w:rsid w:val="005832D6"/>
    <w:rsid w:val="00584CBE"/>
    <w:rsid w:val="0058572D"/>
    <w:rsid w:val="00587E7C"/>
    <w:rsid w:val="0059234F"/>
    <w:rsid w:val="00593129"/>
    <w:rsid w:val="0059322F"/>
    <w:rsid w:val="005946CD"/>
    <w:rsid w:val="00596B80"/>
    <w:rsid w:val="005970E5"/>
    <w:rsid w:val="005A20D6"/>
    <w:rsid w:val="005A43BD"/>
    <w:rsid w:val="005A52B7"/>
    <w:rsid w:val="005B1039"/>
    <w:rsid w:val="005B109D"/>
    <w:rsid w:val="005B11F9"/>
    <w:rsid w:val="005B12EF"/>
    <w:rsid w:val="005B178B"/>
    <w:rsid w:val="005B1989"/>
    <w:rsid w:val="005B3E89"/>
    <w:rsid w:val="005B5582"/>
    <w:rsid w:val="005B66C6"/>
    <w:rsid w:val="005B70C8"/>
    <w:rsid w:val="005B743F"/>
    <w:rsid w:val="005B7680"/>
    <w:rsid w:val="005B7E3B"/>
    <w:rsid w:val="005C0ACF"/>
    <w:rsid w:val="005C174F"/>
    <w:rsid w:val="005C1C12"/>
    <w:rsid w:val="005C2CE3"/>
    <w:rsid w:val="005C3058"/>
    <w:rsid w:val="005C5488"/>
    <w:rsid w:val="005C555C"/>
    <w:rsid w:val="005D13B3"/>
    <w:rsid w:val="005D1A17"/>
    <w:rsid w:val="005D3260"/>
    <w:rsid w:val="005D418F"/>
    <w:rsid w:val="005D5303"/>
    <w:rsid w:val="005D62E7"/>
    <w:rsid w:val="005D735C"/>
    <w:rsid w:val="005E18A3"/>
    <w:rsid w:val="005E32F0"/>
    <w:rsid w:val="005E594B"/>
    <w:rsid w:val="005E5D02"/>
    <w:rsid w:val="005F06A5"/>
    <w:rsid w:val="005F0AF5"/>
    <w:rsid w:val="005F1C20"/>
    <w:rsid w:val="005F1F6C"/>
    <w:rsid w:val="005F2F03"/>
    <w:rsid w:val="005F42DC"/>
    <w:rsid w:val="005F524C"/>
    <w:rsid w:val="005F6C28"/>
    <w:rsid w:val="005F78E4"/>
    <w:rsid w:val="00601655"/>
    <w:rsid w:val="0060183D"/>
    <w:rsid w:val="0060197A"/>
    <w:rsid w:val="00601F9E"/>
    <w:rsid w:val="00602C48"/>
    <w:rsid w:val="00602CC7"/>
    <w:rsid w:val="00602F7F"/>
    <w:rsid w:val="00612C49"/>
    <w:rsid w:val="00613200"/>
    <w:rsid w:val="00615765"/>
    <w:rsid w:val="00616B44"/>
    <w:rsid w:val="00617606"/>
    <w:rsid w:val="0061765F"/>
    <w:rsid w:val="00617B7E"/>
    <w:rsid w:val="006244D6"/>
    <w:rsid w:val="00624D64"/>
    <w:rsid w:val="00630271"/>
    <w:rsid w:val="006304E5"/>
    <w:rsid w:val="00631DAE"/>
    <w:rsid w:val="0063458E"/>
    <w:rsid w:val="00636B97"/>
    <w:rsid w:val="00637FE7"/>
    <w:rsid w:val="00640437"/>
    <w:rsid w:val="006406F6"/>
    <w:rsid w:val="00641B64"/>
    <w:rsid w:val="006431E9"/>
    <w:rsid w:val="006436C0"/>
    <w:rsid w:val="00647630"/>
    <w:rsid w:val="00647D40"/>
    <w:rsid w:val="00653136"/>
    <w:rsid w:val="00654E9C"/>
    <w:rsid w:val="00655369"/>
    <w:rsid w:val="00655400"/>
    <w:rsid w:val="006558CA"/>
    <w:rsid w:val="00655C67"/>
    <w:rsid w:val="00656767"/>
    <w:rsid w:val="00657722"/>
    <w:rsid w:val="006609EA"/>
    <w:rsid w:val="00661A69"/>
    <w:rsid w:val="00662035"/>
    <w:rsid w:val="006638C8"/>
    <w:rsid w:val="0066490E"/>
    <w:rsid w:val="006670D6"/>
    <w:rsid w:val="00671844"/>
    <w:rsid w:val="006726BF"/>
    <w:rsid w:val="00673DF1"/>
    <w:rsid w:val="0067465B"/>
    <w:rsid w:val="00675E39"/>
    <w:rsid w:val="00677E2C"/>
    <w:rsid w:val="00680C2C"/>
    <w:rsid w:val="006813CC"/>
    <w:rsid w:val="006820B8"/>
    <w:rsid w:val="00684E43"/>
    <w:rsid w:val="00686E6C"/>
    <w:rsid w:val="00687A4C"/>
    <w:rsid w:val="006A0529"/>
    <w:rsid w:val="006A1F03"/>
    <w:rsid w:val="006A2569"/>
    <w:rsid w:val="006A2A2E"/>
    <w:rsid w:val="006A3325"/>
    <w:rsid w:val="006A3BF6"/>
    <w:rsid w:val="006A4384"/>
    <w:rsid w:val="006A6A17"/>
    <w:rsid w:val="006B09B4"/>
    <w:rsid w:val="006B16D0"/>
    <w:rsid w:val="006B5E00"/>
    <w:rsid w:val="006B662C"/>
    <w:rsid w:val="006B6E22"/>
    <w:rsid w:val="006B6F12"/>
    <w:rsid w:val="006C0E11"/>
    <w:rsid w:val="006C1C8C"/>
    <w:rsid w:val="006C2111"/>
    <w:rsid w:val="006C27F5"/>
    <w:rsid w:val="006C3BA3"/>
    <w:rsid w:val="006C3BD1"/>
    <w:rsid w:val="006D0717"/>
    <w:rsid w:val="006D158E"/>
    <w:rsid w:val="006D2C8C"/>
    <w:rsid w:val="006D5D7A"/>
    <w:rsid w:val="006D6CAE"/>
    <w:rsid w:val="006E0EB7"/>
    <w:rsid w:val="006E121B"/>
    <w:rsid w:val="006E4EC0"/>
    <w:rsid w:val="006E7542"/>
    <w:rsid w:val="006F2AFF"/>
    <w:rsid w:val="006F391A"/>
    <w:rsid w:val="006F5CB2"/>
    <w:rsid w:val="006F6529"/>
    <w:rsid w:val="006F685F"/>
    <w:rsid w:val="00700F73"/>
    <w:rsid w:val="0070147C"/>
    <w:rsid w:val="00701807"/>
    <w:rsid w:val="00702543"/>
    <w:rsid w:val="00703526"/>
    <w:rsid w:val="00703731"/>
    <w:rsid w:val="007041C7"/>
    <w:rsid w:val="007051C5"/>
    <w:rsid w:val="007058AE"/>
    <w:rsid w:val="00706631"/>
    <w:rsid w:val="0070784C"/>
    <w:rsid w:val="00710BD7"/>
    <w:rsid w:val="00711316"/>
    <w:rsid w:val="0071180B"/>
    <w:rsid w:val="007151D8"/>
    <w:rsid w:val="00715EC1"/>
    <w:rsid w:val="00716A21"/>
    <w:rsid w:val="00717DD4"/>
    <w:rsid w:val="00717E44"/>
    <w:rsid w:val="00720948"/>
    <w:rsid w:val="00723950"/>
    <w:rsid w:val="00723E89"/>
    <w:rsid w:val="007252A2"/>
    <w:rsid w:val="00726CCA"/>
    <w:rsid w:val="007279CD"/>
    <w:rsid w:val="007301F9"/>
    <w:rsid w:val="00731A40"/>
    <w:rsid w:val="007333C2"/>
    <w:rsid w:val="00735255"/>
    <w:rsid w:val="00740B54"/>
    <w:rsid w:val="0074170C"/>
    <w:rsid w:val="00742958"/>
    <w:rsid w:val="00743B4B"/>
    <w:rsid w:val="00744401"/>
    <w:rsid w:val="007458FA"/>
    <w:rsid w:val="00750474"/>
    <w:rsid w:val="00753DBB"/>
    <w:rsid w:val="007569F7"/>
    <w:rsid w:val="007609B4"/>
    <w:rsid w:val="00760C58"/>
    <w:rsid w:val="007636EE"/>
    <w:rsid w:val="00764660"/>
    <w:rsid w:val="00764EAA"/>
    <w:rsid w:val="00765988"/>
    <w:rsid w:val="007678B9"/>
    <w:rsid w:val="00771559"/>
    <w:rsid w:val="00775856"/>
    <w:rsid w:val="00775D55"/>
    <w:rsid w:val="00776BAE"/>
    <w:rsid w:val="00776BBC"/>
    <w:rsid w:val="00777127"/>
    <w:rsid w:val="00783E23"/>
    <w:rsid w:val="00783E73"/>
    <w:rsid w:val="007871DC"/>
    <w:rsid w:val="0079255D"/>
    <w:rsid w:val="00793D24"/>
    <w:rsid w:val="0079475C"/>
    <w:rsid w:val="007950DF"/>
    <w:rsid w:val="00797770"/>
    <w:rsid w:val="00797E3D"/>
    <w:rsid w:val="007A0434"/>
    <w:rsid w:val="007A05EE"/>
    <w:rsid w:val="007A4959"/>
    <w:rsid w:val="007A4CC7"/>
    <w:rsid w:val="007A53B6"/>
    <w:rsid w:val="007A5D18"/>
    <w:rsid w:val="007A623C"/>
    <w:rsid w:val="007A72FD"/>
    <w:rsid w:val="007B0264"/>
    <w:rsid w:val="007B06C5"/>
    <w:rsid w:val="007B0CCE"/>
    <w:rsid w:val="007B3BED"/>
    <w:rsid w:val="007B4647"/>
    <w:rsid w:val="007B5DE9"/>
    <w:rsid w:val="007B6060"/>
    <w:rsid w:val="007B6887"/>
    <w:rsid w:val="007B7093"/>
    <w:rsid w:val="007C0B14"/>
    <w:rsid w:val="007C2044"/>
    <w:rsid w:val="007C2E46"/>
    <w:rsid w:val="007C646B"/>
    <w:rsid w:val="007C7E4D"/>
    <w:rsid w:val="007D20EE"/>
    <w:rsid w:val="007D28E8"/>
    <w:rsid w:val="007D3210"/>
    <w:rsid w:val="007D4131"/>
    <w:rsid w:val="007D4413"/>
    <w:rsid w:val="007D59E1"/>
    <w:rsid w:val="007E0F33"/>
    <w:rsid w:val="007E3D8D"/>
    <w:rsid w:val="007E53C1"/>
    <w:rsid w:val="007E68D0"/>
    <w:rsid w:val="007E6DE1"/>
    <w:rsid w:val="007F04F3"/>
    <w:rsid w:val="007F0778"/>
    <w:rsid w:val="007F078E"/>
    <w:rsid w:val="007F268A"/>
    <w:rsid w:val="007F30A1"/>
    <w:rsid w:val="007F38E6"/>
    <w:rsid w:val="007F3BEB"/>
    <w:rsid w:val="007F3C36"/>
    <w:rsid w:val="007F51B3"/>
    <w:rsid w:val="007F6E1E"/>
    <w:rsid w:val="007F7077"/>
    <w:rsid w:val="008031D4"/>
    <w:rsid w:val="00803C82"/>
    <w:rsid w:val="00804A92"/>
    <w:rsid w:val="00805DEF"/>
    <w:rsid w:val="0080638D"/>
    <w:rsid w:val="008066CD"/>
    <w:rsid w:val="00812D82"/>
    <w:rsid w:val="00813796"/>
    <w:rsid w:val="008140E1"/>
    <w:rsid w:val="008145FC"/>
    <w:rsid w:val="00816941"/>
    <w:rsid w:val="00817892"/>
    <w:rsid w:val="00822369"/>
    <w:rsid w:val="0082340F"/>
    <w:rsid w:val="008236F1"/>
    <w:rsid w:val="00824646"/>
    <w:rsid w:val="008249C3"/>
    <w:rsid w:val="00824F82"/>
    <w:rsid w:val="00826CD3"/>
    <w:rsid w:val="00826DFF"/>
    <w:rsid w:val="0083005B"/>
    <w:rsid w:val="008306C8"/>
    <w:rsid w:val="00830F3A"/>
    <w:rsid w:val="00830F3F"/>
    <w:rsid w:val="00834CF5"/>
    <w:rsid w:val="00834D58"/>
    <w:rsid w:val="00835106"/>
    <w:rsid w:val="00835FAC"/>
    <w:rsid w:val="00835FB1"/>
    <w:rsid w:val="00837AC9"/>
    <w:rsid w:val="008415AC"/>
    <w:rsid w:val="008418D9"/>
    <w:rsid w:val="00842082"/>
    <w:rsid w:val="00843D58"/>
    <w:rsid w:val="00845430"/>
    <w:rsid w:val="00846C9B"/>
    <w:rsid w:val="00847D78"/>
    <w:rsid w:val="00850A41"/>
    <w:rsid w:val="008510FD"/>
    <w:rsid w:val="00854698"/>
    <w:rsid w:val="00854F40"/>
    <w:rsid w:val="00855F7C"/>
    <w:rsid w:val="00856F70"/>
    <w:rsid w:val="00857960"/>
    <w:rsid w:val="00861A42"/>
    <w:rsid w:val="00862FE7"/>
    <w:rsid w:val="0086316D"/>
    <w:rsid w:val="00864754"/>
    <w:rsid w:val="008669FC"/>
    <w:rsid w:val="008706A3"/>
    <w:rsid w:val="00871C4A"/>
    <w:rsid w:val="00873826"/>
    <w:rsid w:val="0088044E"/>
    <w:rsid w:val="0088207C"/>
    <w:rsid w:val="008821BE"/>
    <w:rsid w:val="00883103"/>
    <w:rsid w:val="008832FB"/>
    <w:rsid w:val="00883498"/>
    <w:rsid w:val="008848C2"/>
    <w:rsid w:val="00885B58"/>
    <w:rsid w:val="00886F48"/>
    <w:rsid w:val="008875F8"/>
    <w:rsid w:val="0088761F"/>
    <w:rsid w:val="00887AE6"/>
    <w:rsid w:val="00887EC5"/>
    <w:rsid w:val="008918AF"/>
    <w:rsid w:val="00891E4D"/>
    <w:rsid w:val="00891F6B"/>
    <w:rsid w:val="00891FC6"/>
    <w:rsid w:val="00892618"/>
    <w:rsid w:val="00892F2E"/>
    <w:rsid w:val="00894C92"/>
    <w:rsid w:val="008A11A7"/>
    <w:rsid w:val="008A4707"/>
    <w:rsid w:val="008B1E4A"/>
    <w:rsid w:val="008B2102"/>
    <w:rsid w:val="008B4CDB"/>
    <w:rsid w:val="008B58EA"/>
    <w:rsid w:val="008C0393"/>
    <w:rsid w:val="008C07AD"/>
    <w:rsid w:val="008C2D42"/>
    <w:rsid w:val="008C341B"/>
    <w:rsid w:val="008C6147"/>
    <w:rsid w:val="008C6A16"/>
    <w:rsid w:val="008D192B"/>
    <w:rsid w:val="008D3375"/>
    <w:rsid w:val="008D5550"/>
    <w:rsid w:val="008D63C6"/>
    <w:rsid w:val="008D7043"/>
    <w:rsid w:val="008E4C1A"/>
    <w:rsid w:val="008E50D6"/>
    <w:rsid w:val="008E5B66"/>
    <w:rsid w:val="008E5C4E"/>
    <w:rsid w:val="008F29DF"/>
    <w:rsid w:val="008F45E9"/>
    <w:rsid w:val="008F5572"/>
    <w:rsid w:val="008F7F9A"/>
    <w:rsid w:val="00902D9A"/>
    <w:rsid w:val="00903CD3"/>
    <w:rsid w:val="009052E3"/>
    <w:rsid w:val="0090682D"/>
    <w:rsid w:val="0090716D"/>
    <w:rsid w:val="00907B53"/>
    <w:rsid w:val="00907EC4"/>
    <w:rsid w:val="0091024E"/>
    <w:rsid w:val="009103BD"/>
    <w:rsid w:val="00912BDD"/>
    <w:rsid w:val="0091327D"/>
    <w:rsid w:val="00915877"/>
    <w:rsid w:val="00920D3D"/>
    <w:rsid w:val="00921121"/>
    <w:rsid w:val="009212E3"/>
    <w:rsid w:val="00924F00"/>
    <w:rsid w:val="00925C7E"/>
    <w:rsid w:val="00926E12"/>
    <w:rsid w:val="0093002A"/>
    <w:rsid w:val="00933F39"/>
    <w:rsid w:val="00934D66"/>
    <w:rsid w:val="00935B9A"/>
    <w:rsid w:val="00936416"/>
    <w:rsid w:val="0093771A"/>
    <w:rsid w:val="0093783E"/>
    <w:rsid w:val="0094206F"/>
    <w:rsid w:val="0094208E"/>
    <w:rsid w:val="00942782"/>
    <w:rsid w:val="00942DDF"/>
    <w:rsid w:val="0094376D"/>
    <w:rsid w:val="009443FD"/>
    <w:rsid w:val="00945DDF"/>
    <w:rsid w:val="00946838"/>
    <w:rsid w:val="00947A08"/>
    <w:rsid w:val="009535BF"/>
    <w:rsid w:val="00953847"/>
    <w:rsid w:val="00954AA1"/>
    <w:rsid w:val="009562AE"/>
    <w:rsid w:val="00957708"/>
    <w:rsid w:val="00957E3F"/>
    <w:rsid w:val="00961B30"/>
    <w:rsid w:val="00963AE4"/>
    <w:rsid w:val="00963F32"/>
    <w:rsid w:val="00964AC2"/>
    <w:rsid w:val="00971C26"/>
    <w:rsid w:val="009731AA"/>
    <w:rsid w:val="009732B9"/>
    <w:rsid w:val="009733AE"/>
    <w:rsid w:val="0097460B"/>
    <w:rsid w:val="009748FD"/>
    <w:rsid w:val="009766FF"/>
    <w:rsid w:val="009771C3"/>
    <w:rsid w:val="00977396"/>
    <w:rsid w:val="009807D3"/>
    <w:rsid w:val="00982B4A"/>
    <w:rsid w:val="00986DAA"/>
    <w:rsid w:val="00987F38"/>
    <w:rsid w:val="009905D0"/>
    <w:rsid w:val="0099316A"/>
    <w:rsid w:val="00994356"/>
    <w:rsid w:val="00994A57"/>
    <w:rsid w:val="00996838"/>
    <w:rsid w:val="009A1877"/>
    <w:rsid w:val="009A3364"/>
    <w:rsid w:val="009A3E19"/>
    <w:rsid w:val="009A69D2"/>
    <w:rsid w:val="009A6D32"/>
    <w:rsid w:val="009A7065"/>
    <w:rsid w:val="009B1184"/>
    <w:rsid w:val="009B6A80"/>
    <w:rsid w:val="009B6F70"/>
    <w:rsid w:val="009B6F7C"/>
    <w:rsid w:val="009B7070"/>
    <w:rsid w:val="009C07E2"/>
    <w:rsid w:val="009C10C3"/>
    <w:rsid w:val="009C26C2"/>
    <w:rsid w:val="009C352B"/>
    <w:rsid w:val="009C3597"/>
    <w:rsid w:val="009C412C"/>
    <w:rsid w:val="009C534A"/>
    <w:rsid w:val="009C5F8A"/>
    <w:rsid w:val="009C7A85"/>
    <w:rsid w:val="009D0A15"/>
    <w:rsid w:val="009D1BF7"/>
    <w:rsid w:val="009D30FD"/>
    <w:rsid w:val="009D33FC"/>
    <w:rsid w:val="009D3EE1"/>
    <w:rsid w:val="009D4625"/>
    <w:rsid w:val="009D4C9E"/>
    <w:rsid w:val="009D5CB8"/>
    <w:rsid w:val="009D5EB3"/>
    <w:rsid w:val="009D71A2"/>
    <w:rsid w:val="009D7345"/>
    <w:rsid w:val="009D7F60"/>
    <w:rsid w:val="009E02EE"/>
    <w:rsid w:val="009E0555"/>
    <w:rsid w:val="009E0822"/>
    <w:rsid w:val="009E4475"/>
    <w:rsid w:val="009E5628"/>
    <w:rsid w:val="009E6AA9"/>
    <w:rsid w:val="009E6EFC"/>
    <w:rsid w:val="009F19A2"/>
    <w:rsid w:val="009F541F"/>
    <w:rsid w:val="009F56E9"/>
    <w:rsid w:val="009F64D8"/>
    <w:rsid w:val="009F669A"/>
    <w:rsid w:val="00A02238"/>
    <w:rsid w:val="00A147D4"/>
    <w:rsid w:val="00A1785F"/>
    <w:rsid w:val="00A2023D"/>
    <w:rsid w:val="00A20865"/>
    <w:rsid w:val="00A22C13"/>
    <w:rsid w:val="00A23CDD"/>
    <w:rsid w:val="00A25A1E"/>
    <w:rsid w:val="00A260A3"/>
    <w:rsid w:val="00A324FA"/>
    <w:rsid w:val="00A3326D"/>
    <w:rsid w:val="00A35034"/>
    <w:rsid w:val="00A35C0A"/>
    <w:rsid w:val="00A40973"/>
    <w:rsid w:val="00A42BBE"/>
    <w:rsid w:val="00A4355E"/>
    <w:rsid w:val="00A450E3"/>
    <w:rsid w:val="00A45272"/>
    <w:rsid w:val="00A461AF"/>
    <w:rsid w:val="00A47CEF"/>
    <w:rsid w:val="00A54DE8"/>
    <w:rsid w:val="00A55713"/>
    <w:rsid w:val="00A559BD"/>
    <w:rsid w:val="00A55B61"/>
    <w:rsid w:val="00A562FD"/>
    <w:rsid w:val="00A57E3B"/>
    <w:rsid w:val="00A6145A"/>
    <w:rsid w:val="00A6145C"/>
    <w:rsid w:val="00A619CD"/>
    <w:rsid w:val="00A61CDC"/>
    <w:rsid w:val="00A628CD"/>
    <w:rsid w:val="00A63D1D"/>
    <w:rsid w:val="00A6475A"/>
    <w:rsid w:val="00A673E7"/>
    <w:rsid w:val="00A676CD"/>
    <w:rsid w:val="00A67B03"/>
    <w:rsid w:val="00A705AC"/>
    <w:rsid w:val="00A708BF"/>
    <w:rsid w:val="00A7278E"/>
    <w:rsid w:val="00A73C48"/>
    <w:rsid w:val="00A73C5C"/>
    <w:rsid w:val="00A7464C"/>
    <w:rsid w:val="00A756E0"/>
    <w:rsid w:val="00A80FDB"/>
    <w:rsid w:val="00A8111F"/>
    <w:rsid w:val="00A81360"/>
    <w:rsid w:val="00A8180E"/>
    <w:rsid w:val="00A84068"/>
    <w:rsid w:val="00A85663"/>
    <w:rsid w:val="00A86697"/>
    <w:rsid w:val="00A86C37"/>
    <w:rsid w:val="00A918B6"/>
    <w:rsid w:val="00A9238A"/>
    <w:rsid w:val="00A92F2B"/>
    <w:rsid w:val="00A94AD1"/>
    <w:rsid w:val="00A9510B"/>
    <w:rsid w:val="00A954A0"/>
    <w:rsid w:val="00A95811"/>
    <w:rsid w:val="00A97581"/>
    <w:rsid w:val="00AA045E"/>
    <w:rsid w:val="00AA0D36"/>
    <w:rsid w:val="00AA1195"/>
    <w:rsid w:val="00AA1455"/>
    <w:rsid w:val="00AA192D"/>
    <w:rsid w:val="00AA2804"/>
    <w:rsid w:val="00AA3557"/>
    <w:rsid w:val="00AA6B60"/>
    <w:rsid w:val="00AA70A1"/>
    <w:rsid w:val="00AA7532"/>
    <w:rsid w:val="00AB332D"/>
    <w:rsid w:val="00AB402E"/>
    <w:rsid w:val="00AB4CBC"/>
    <w:rsid w:val="00AB64ED"/>
    <w:rsid w:val="00AB755D"/>
    <w:rsid w:val="00AC15AB"/>
    <w:rsid w:val="00AC5629"/>
    <w:rsid w:val="00AC6E77"/>
    <w:rsid w:val="00AD0595"/>
    <w:rsid w:val="00AD2349"/>
    <w:rsid w:val="00AD48DD"/>
    <w:rsid w:val="00AD54C1"/>
    <w:rsid w:val="00AD6EAF"/>
    <w:rsid w:val="00AE052B"/>
    <w:rsid w:val="00AE16DF"/>
    <w:rsid w:val="00AE19A7"/>
    <w:rsid w:val="00AE2AB2"/>
    <w:rsid w:val="00AE3480"/>
    <w:rsid w:val="00AE3F08"/>
    <w:rsid w:val="00AE49D2"/>
    <w:rsid w:val="00AF0E5D"/>
    <w:rsid w:val="00AF11FB"/>
    <w:rsid w:val="00AF28EE"/>
    <w:rsid w:val="00AF4248"/>
    <w:rsid w:val="00AF4934"/>
    <w:rsid w:val="00AF537D"/>
    <w:rsid w:val="00AF5AF8"/>
    <w:rsid w:val="00AF6211"/>
    <w:rsid w:val="00AF64C9"/>
    <w:rsid w:val="00AF7A45"/>
    <w:rsid w:val="00B00026"/>
    <w:rsid w:val="00B00660"/>
    <w:rsid w:val="00B0092E"/>
    <w:rsid w:val="00B01AEF"/>
    <w:rsid w:val="00B03B23"/>
    <w:rsid w:val="00B047C6"/>
    <w:rsid w:val="00B05BD4"/>
    <w:rsid w:val="00B061E8"/>
    <w:rsid w:val="00B06E67"/>
    <w:rsid w:val="00B0784C"/>
    <w:rsid w:val="00B10189"/>
    <w:rsid w:val="00B11563"/>
    <w:rsid w:val="00B13E6C"/>
    <w:rsid w:val="00B16929"/>
    <w:rsid w:val="00B16AA7"/>
    <w:rsid w:val="00B16AC9"/>
    <w:rsid w:val="00B17287"/>
    <w:rsid w:val="00B172A3"/>
    <w:rsid w:val="00B2091F"/>
    <w:rsid w:val="00B22696"/>
    <w:rsid w:val="00B2272A"/>
    <w:rsid w:val="00B234C7"/>
    <w:rsid w:val="00B23BF7"/>
    <w:rsid w:val="00B2439D"/>
    <w:rsid w:val="00B252D6"/>
    <w:rsid w:val="00B25501"/>
    <w:rsid w:val="00B25653"/>
    <w:rsid w:val="00B2599B"/>
    <w:rsid w:val="00B321B6"/>
    <w:rsid w:val="00B33AE6"/>
    <w:rsid w:val="00B33B97"/>
    <w:rsid w:val="00B35117"/>
    <w:rsid w:val="00B36BA5"/>
    <w:rsid w:val="00B370A9"/>
    <w:rsid w:val="00B4054A"/>
    <w:rsid w:val="00B41C75"/>
    <w:rsid w:val="00B42EC1"/>
    <w:rsid w:val="00B43E3E"/>
    <w:rsid w:val="00B4473E"/>
    <w:rsid w:val="00B46BAD"/>
    <w:rsid w:val="00B50927"/>
    <w:rsid w:val="00B522E2"/>
    <w:rsid w:val="00B53F12"/>
    <w:rsid w:val="00B545BF"/>
    <w:rsid w:val="00B55572"/>
    <w:rsid w:val="00B55E8B"/>
    <w:rsid w:val="00B605FB"/>
    <w:rsid w:val="00B61AAD"/>
    <w:rsid w:val="00B62070"/>
    <w:rsid w:val="00B6226E"/>
    <w:rsid w:val="00B62AA9"/>
    <w:rsid w:val="00B63C24"/>
    <w:rsid w:val="00B63CE6"/>
    <w:rsid w:val="00B642B7"/>
    <w:rsid w:val="00B6797B"/>
    <w:rsid w:val="00B67C6C"/>
    <w:rsid w:val="00B7387F"/>
    <w:rsid w:val="00B751AD"/>
    <w:rsid w:val="00B81B16"/>
    <w:rsid w:val="00B8556F"/>
    <w:rsid w:val="00B856CE"/>
    <w:rsid w:val="00B866A8"/>
    <w:rsid w:val="00B874EA"/>
    <w:rsid w:val="00B90849"/>
    <w:rsid w:val="00B90ABB"/>
    <w:rsid w:val="00B93464"/>
    <w:rsid w:val="00B944FA"/>
    <w:rsid w:val="00B96300"/>
    <w:rsid w:val="00B96458"/>
    <w:rsid w:val="00B9646D"/>
    <w:rsid w:val="00B96C27"/>
    <w:rsid w:val="00B97A3D"/>
    <w:rsid w:val="00B97AC9"/>
    <w:rsid w:val="00BA0432"/>
    <w:rsid w:val="00BA0C26"/>
    <w:rsid w:val="00BA3762"/>
    <w:rsid w:val="00BA440F"/>
    <w:rsid w:val="00BA6C8D"/>
    <w:rsid w:val="00BA747A"/>
    <w:rsid w:val="00BA7487"/>
    <w:rsid w:val="00BB1335"/>
    <w:rsid w:val="00BB1676"/>
    <w:rsid w:val="00BB1D12"/>
    <w:rsid w:val="00BB3F84"/>
    <w:rsid w:val="00BB6BF4"/>
    <w:rsid w:val="00BB7BD7"/>
    <w:rsid w:val="00BC206F"/>
    <w:rsid w:val="00BC3861"/>
    <w:rsid w:val="00BC3925"/>
    <w:rsid w:val="00BC4A5E"/>
    <w:rsid w:val="00BC5152"/>
    <w:rsid w:val="00BC5671"/>
    <w:rsid w:val="00BD02FD"/>
    <w:rsid w:val="00BD1185"/>
    <w:rsid w:val="00BD3E52"/>
    <w:rsid w:val="00BD4509"/>
    <w:rsid w:val="00BD4B69"/>
    <w:rsid w:val="00BD4E16"/>
    <w:rsid w:val="00BD50B9"/>
    <w:rsid w:val="00BD5AF7"/>
    <w:rsid w:val="00BD6817"/>
    <w:rsid w:val="00BD76D0"/>
    <w:rsid w:val="00BE22C9"/>
    <w:rsid w:val="00BE24E5"/>
    <w:rsid w:val="00BE5CAB"/>
    <w:rsid w:val="00BE6883"/>
    <w:rsid w:val="00BE7805"/>
    <w:rsid w:val="00BE7D91"/>
    <w:rsid w:val="00BF1359"/>
    <w:rsid w:val="00BF4567"/>
    <w:rsid w:val="00BF49C3"/>
    <w:rsid w:val="00BF4F45"/>
    <w:rsid w:val="00BF5408"/>
    <w:rsid w:val="00BF694A"/>
    <w:rsid w:val="00C01AAB"/>
    <w:rsid w:val="00C025A8"/>
    <w:rsid w:val="00C0302A"/>
    <w:rsid w:val="00C07332"/>
    <w:rsid w:val="00C07798"/>
    <w:rsid w:val="00C07EAA"/>
    <w:rsid w:val="00C07FF2"/>
    <w:rsid w:val="00C106F6"/>
    <w:rsid w:val="00C114F7"/>
    <w:rsid w:val="00C11B44"/>
    <w:rsid w:val="00C12507"/>
    <w:rsid w:val="00C13322"/>
    <w:rsid w:val="00C14C9E"/>
    <w:rsid w:val="00C15536"/>
    <w:rsid w:val="00C1574C"/>
    <w:rsid w:val="00C173DD"/>
    <w:rsid w:val="00C20394"/>
    <w:rsid w:val="00C207DB"/>
    <w:rsid w:val="00C245EB"/>
    <w:rsid w:val="00C25AC0"/>
    <w:rsid w:val="00C268C5"/>
    <w:rsid w:val="00C26AD7"/>
    <w:rsid w:val="00C3020A"/>
    <w:rsid w:val="00C31598"/>
    <w:rsid w:val="00C32429"/>
    <w:rsid w:val="00C33E7D"/>
    <w:rsid w:val="00C34087"/>
    <w:rsid w:val="00C34D9B"/>
    <w:rsid w:val="00C37144"/>
    <w:rsid w:val="00C41E61"/>
    <w:rsid w:val="00C42EB6"/>
    <w:rsid w:val="00C43788"/>
    <w:rsid w:val="00C44AF0"/>
    <w:rsid w:val="00C4632F"/>
    <w:rsid w:val="00C4662C"/>
    <w:rsid w:val="00C469BD"/>
    <w:rsid w:val="00C533DD"/>
    <w:rsid w:val="00C5350D"/>
    <w:rsid w:val="00C54543"/>
    <w:rsid w:val="00C56107"/>
    <w:rsid w:val="00C5651F"/>
    <w:rsid w:val="00C56C63"/>
    <w:rsid w:val="00C56DC8"/>
    <w:rsid w:val="00C56FA7"/>
    <w:rsid w:val="00C6250F"/>
    <w:rsid w:val="00C63BAC"/>
    <w:rsid w:val="00C676A8"/>
    <w:rsid w:val="00C709D5"/>
    <w:rsid w:val="00C719FA"/>
    <w:rsid w:val="00C7312C"/>
    <w:rsid w:val="00C73F81"/>
    <w:rsid w:val="00C7590D"/>
    <w:rsid w:val="00C76A3A"/>
    <w:rsid w:val="00C82F39"/>
    <w:rsid w:val="00C841CF"/>
    <w:rsid w:val="00C84475"/>
    <w:rsid w:val="00C872FD"/>
    <w:rsid w:val="00C87381"/>
    <w:rsid w:val="00C90AB3"/>
    <w:rsid w:val="00C94AD1"/>
    <w:rsid w:val="00C95667"/>
    <w:rsid w:val="00C97BC4"/>
    <w:rsid w:val="00CA0EEB"/>
    <w:rsid w:val="00CA17C8"/>
    <w:rsid w:val="00CA27D5"/>
    <w:rsid w:val="00CA2D0F"/>
    <w:rsid w:val="00CA4E57"/>
    <w:rsid w:val="00CA5D9B"/>
    <w:rsid w:val="00CA5E0E"/>
    <w:rsid w:val="00CA60EF"/>
    <w:rsid w:val="00CB15E2"/>
    <w:rsid w:val="00CB21B9"/>
    <w:rsid w:val="00CB22FD"/>
    <w:rsid w:val="00CB24A5"/>
    <w:rsid w:val="00CB2816"/>
    <w:rsid w:val="00CB2B3F"/>
    <w:rsid w:val="00CB2DE0"/>
    <w:rsid w:val="00CB3345"/>
    <w:rsid w:val="00CB4614"/>
    <w:rsid w:val="00CB52A2"/>
    <w:rsid w:val="00CB534A"/>
    <w:rsid w:val="00CB5F43"/>
    <w:rsid w:val="00CB60ED"/>
    <w:rsid w:val="00CB688D"/>
    <w:rsid w:val="00CB6E58"/>
    <w:rsid w:val="00CC2285"/>
    <w:rsid w:val="00CC41D3"/>
    <w:rsid w:val="00CD07DB"/>
    <w:rsid w:val="00CD0D80"/>
    <w:rsid w:val="00CD5ED7"/>
    <w:rsid w:val="00CE069D"/>
    <w:rsid w:val="00CE2B7C"/>
    <w:rsid w:val="00CE2FA8"/>
    <w:rsid w:val="00CE5630"/>
    <w:rsid w:val="00CE5CAC"/>
    <w:rsid w:val="00CE612E"/>
    <w:rsid w:val="00CE62D6"/>
    <w:rsid w:val="00CF1271"/>
    <w:rsid w:val="00CF12E4"/>
    <w:rsid w:val="00CF3F8D"/>
    <w:rsid w:val="00CF425D"/>
    <w:rsid w:val="00CF6512"/>
    <w:rsid w:val="00CF7378"/>
    <w:rsid w:val="00CF7618"/>
    <w:rsid w:val="00D00AC8"/>
    <w:rsid w:val="00D01D20"/>
    <w:rsid w:val="00D05575"/>
    <w:rsid w:val="00D06FAD"/>
    <w:rsid w:val="00D07BEC"/>
    <w:rsid w:val="00D07ED6"/>
    <w:rsid w:val="00D11534"/>
    <w:rsid w:val="00D11D95"/>
    <w:rsid w:val="00D167D5"/>
    <w:rsid w:val="00D207A6"/>
    <w:rsid w:val="00D21E25"/>
    <w:rsid w:val="00D22FBE"/>
    <w:rsid w:val="00D235E0"/>
    <w:rsid w:val="00D2742A"/>
    <w:rsid w:val="00D30A4C"/>
    <w:rsid w:val="00D328A3"/>
    <w:rsid w:val="00D33C42"/>
    <w:rsid w:val="00D343F6"/>
    <w:rsid w:val="00D35D8D"/>
    <w:rsid w:val="00D42857"/>
    <w:rsid w:val="00D4683A"/>
    <w:rsid w:val="00D50A00"/>
    <w:rsid w:val="00D51E1C"/>
    <w:rsid w:val="00D52B74"/>
    <w:rsid w:val="00D53E7A"/>
    <w:rsid w:val="00D549D4"/>
    <w:rsid w:val="00D5708A"/>
    <w:rsid w:val="00D6342E"/>
    <w:rsid w:val="00D67DE1"/>
    <w:rsid w:val="00D70452"/>
    <w:rsid w:val="00D749FA"/>
    <w:rsid w:val="00D7608E"/>
    <w:rsid w:val="00D773F5"/>
    <w:rsid w:val="00D80B1F"/>
    <w:rsid w:val="00D82F91"/>
    <w:rsid w:val="00D83DD4"/>
    <w:rsid w:val="00D83EFA"/>
    <w:rsid w:val="00D84DE1"/>
    <w:rsid w:val="00D85270"/>
    <w:rsid w:val="00D9071B"/>
    <w:rsid w:val="00D92E47"/>
    <w:rsid w:val="00D94DB5"/>
    <w:rsid w:val="00D94FB1"/>
    <w:rsid w:val="00D9781D"/>
    <w:rsid w:val="00D9784C"/>
    <w:rsid w:val="00D97BC6"/>
    <w:rsid w:val="00DA1CFB"/>
    <w:rsid w:val="00DA1CFF"/>
    <w:rsid w:val="00DA2123"/>
    <w:rsid w:val="00DA53DC"/>
    <w:rsid w:val="00DA6CA3"/>
    <w:rsid w:val="00DA77F9"/>
    <w:rsid w:val="00DB08CB"/>
    <w:rsid w:val="00DB0D9A"/>
    <w:rsid w:val="00DB154D"/>
    <w:rsid w:val="00DB227C"/>
    <w:rsid w:val="00DB2457"/>
    <w:rsid w:val="00DB5CB6"/>
    <w:rsid w:val="00DB60AC"/>
    <w:rsid w:val="00DB7714"/>
    <w:rsid w:val="00DC2D1C"/>
    <w:rsid w:val="00DC3D0B"/>
    <w:rsid w:val="00DC44B1"/>
    <w:rsid w:val="00DC4E02"/>
    <w:rsid w:val="00DC5EE8"/>
    <w:rsid w:val="00DC679E"/>
    <w:rsid w:val="00DD2D9E"/>
    <w:rsid w:val="00DD58B2"/>
    <w:rsid w:val="00DD60CE"/>
    <w:rsid w:val="00DD61C9"/>
    <w:rsid w:val="00DE0CB9"/>
    <w:rsid w:val="00DE15C7"/>
    <w:rsid w:val="00DE28C6"/>
    <w:rsid w:val="00DE3A1E"/>
    <w:rsid w:val="00DE6486"/>
    <w:rsid w:val="00DE7706"/>
    <w:rsid w:val="00DF2857"/>
    <w:rsid w:val="00DF2B40"/>
    <w:rsid w:val="00DF320C"/>
    <w:rsid w:val="00DF6576"/>
    <w:rsid w:val="00DF692A"/>
    <w:rsid w:val="00DF6A5E"/>
    <w:rsid w:val="00DF6AEB"/>
    <w:rsid w:val="00E00266"/>
    <w:rsid w:val="00E00F8F"/>
    <w:rsid w:val="00E011B0"/>
    <w:rsid w:val="00E03633"/>
    <w:rsid w:val="00E03C9C"/>
    <w:rsid w:val="00E069D6"/>
    <w:rsid w:val="00E06E30"/>
    <w:rsid w:val="00E102F2"/>
    <w:rsid w:val="00E104CA"/>
    <w:rsid w:val="00E10861"/>
    <w:rsid w:val="00E1146C"/>
    <w:rsid w:val="00E11C5C"/>
    <w:rsid w:val="00E12571"/>
    <w:rsid w:val="00E13DFF"/>
    <w:rsid w:val="00E15778"/>
    <w:rsid w:val="00E15809"/>
    <w:rsid w:val="00E25694"/>
    <w:rsid w:val="00E25B37"/>
    <w:rsid w:val="00E27EEE"/>
    <w:rsid w:val="00E30AA6"/>
    <w:rsid w:val="00E31497"/>
    <w:rsid w:val="00E32052"/>
    <w:rsid w:val="00E34ED6"/>
    <w:rsid w:val="00E36FCD"/>
    <w:rsid w:val="00E3736F"/>
    <w:rsid w:val="00E378E9"/>
    <w:rsid w:val="00E400D7"/>
    <w:rsid w:val="00E41E8E"/>
    <w:rsid w:val="00E455F4"/>
    <w:rsid w:val="00E45D78"/>
    <w:rsid w:val="00E45DC2"/>
    <w:rsid w:val="00E46709"/>
    <w:rsid w:val="00E47FCD"/>
    <w:rsid w:val="00E51174"/>
    <w:rsid w:val="00E51766"/>
    <w:rsid w:val="00E55607"/>
    <w:rsid w:val="00E5702A"/>
    <w:rsid w:val="00E57D39"/>
    <w:rsid w:val="00E61D2C"/>
    <w:rsid w:val="00E62AA0"/>
    <w:rsid w:val="00E62C0D"/>
    <w:rsid w:val="00E631F7"/>
    <w:rsid w:val="00E63BF7"/>
    <w:rsid w:val="00E64265"/>
    <w:rsid w:val="00E65833"/>
    <w:rsid w:val="00E65B58"/>
    <w:rsid w:val="00E661B9"/>
    <w:rsid w:val="00E7199C"/>
    <w:rsid w:val="00E7213B"/>
    <w:rsid w:val="00E72DA6"/>
    <w:rsid w:val="00E74088"/>
    <w:rsid w:val="00E750BF"/>
    <w:rsid w:val="00E77899"/>
    <w:rsid w:val="00E778B8"/>
    <w:rsid w:val="00E81660"/>
    <w:rsid w:val="00E816CC"/>
    <w:rsid w:val="00E82B9C"/>
    <w:rsid w:val="00E840E6"/>
    <w:rsid w:val="00E8431B"/>
    <w:rsid w:val="00E8611B"/>
    <w:rsid w:val="00E86ACD"/>
    <w:rsid w:val="00E91DE2"/>
    <w:rsid w:val="00E93C33"/>
    <w:rsid w:val="00E946DA"/>
    <w:rsid w:val="00E94DE4"/>
    <w:rsid w:val="00E95C1A"/>
    <w:rsid w:val="00E96248"/>
    <w:rsid w:val="00E97BFB"/>
    <w:rsid w:val="00EA01F5"/>
    <w:rsid w:val="00EA0AC8"/>
    <w:rsid w:val="00EA190A"/>
    <w:rsid w:val="00EA2558"/>
    <w:rsid w:val="00EA3680"/>
    <w:rsid w:val="00EA3D91"/>
    <w:rsid w:val="00EA5086"/>
    <w:rsid w:val="00EA52CA"/>
    <w:rsid w:val="00EA60AA"/>
    <w:rsid w:val="00EB00A7"/>
    <w:rsid w:val="00EB018F"/>
    <w:rsid w:val="00EB05D5"/>
    <w:rsid w:val="00EB212D"/>
    <w:rsid w:val="00EB2EE6"/>
    <w:rsid w:val="00EB4D3B"/>
    <w:rsid w:val="00EB55CE"/>
    <w:rsid w:val="00EC4208"/>
    <w:rsid w:val="00EC5C1D"/>
    <w:rsid w:val="00EC64BF"/>
    <w:rsid w:val="00EC6D4C"/>
    <w:rsid w:val="00EC7BD3"/>
    <w:rsid w:val="00ED43B5"/>
    <w:rsid w:val="00ED45B9"/>
    <w:rsid w:val="00ED6DD6"/>
    <w:rsid w:val="00EE01E7"/>
    <w:rsid w:val="00EE11D3"/>
    <w:rsid w:val="00EE29FA"/>
    <w:rsid w:val="00EE30D8"/>
    <w:rsid w:val="00EE6088"/>
    <w:rsid w:val="00EE695E"/>
    <w:rsid w:val="00EE6D3A"/>
    <w:rsid w:val="00EF1439"/>
    <w:rsid w:val="00EF2307"/>
    <w:rsid w:val="00EF335E"/>
    <w:rsid w:val="00EF3E10"/>
    <w:rsid w:val="00EF547B"/>
    <w:rsid w:val="00F027FE"/>
    <w:rsid w:val="00F0284C"/>
    <w:rsid w:val="00F037E8"/>
    <w:rsid w:val="00F04416"/>
    <w:rsid w:val="00F055E7"/>
    <w:rsid w:val="00F05A8C"/>
    <w:rsid w:val="00F10CE0"/>
    <w:rsid w:val="00F117F8"/>
    <w:rsid w:val="00F119FC"/>
    <w:rsid w:val="00F12328"/>
    <w:rsid w:val="00F14EC7"/>
    <w:rsid w:val="00F2049E"/>
    <w:rsid w:val="00F207B5"/>
    <w:rsid w:val="00F219D8"/>
    <w:rsid w:val="00F22479"/>
    <w:rsid w:val="00F2453A"/>
    <w:rsid w:val="00F25B39"/>
    <w:rsid w:val="00F3024C"/>
    <w:rsid w:val="00F316BE"/>
    <w:rsid w:val="00F32B1B"/>
    <w:rsid w:val="00F32B49"/>
    <w:rsid w:val="00F32BB9"/>
    <w:rsid w:val="00F359CE"/>
    <w:rsid w:val="00F36442"/>
    <w:rsid w:val="00F366F9"/>
    <w:rsid w:val="00F371DC"/>
    <w:rsid w:val="00F375FE"/>
    <w:rsid w:val="00F377FC"/>
    <w:rsid w:val="00F4009D"/>
    <w:rsid w:val="00F44740"/>
    <w:rsid w:val="00F44CAB"/>
    <w:rsid w:val="00F50413"/>
    <w:rsid w:val="00F50505"/>
    <w:rsid w:val="00F544BB"/>
    <w:rsid w:val="00F54584"/>
    <w:rsid w:val="00F548E5"/>
    <w:rsid w:val="00F5667D"/>
    <w:rsid w:val="00F56770"/>
    <w:rsid w:val="00F56ABB"/>
    <w:rsid w:val="00F57875"/>
    <w:rsid w:val="00F61FAC"/>
    <w:rsid w:val="00F620EC"/>
    <w:rsid w:val="00F668F1"/>
    <w:rsid w:val="00F76DC6"/>
    <w:rsid w:val="00F878FF"/>
    <w:rsid w:val="00F900BB"/>
    <w:rsid w:val="00F91BD0"/>
    <w:rsid w:val="00F947A3"/>
    <w:rsid w:val="00F95005"/>
    <w:rsid w:val="00F953AD"/>
    <w:rsid w:val="00FA061A"/>
    <w:rsid w:val="00FA0FE9"/>
    <w:rsid w:val="00FA6B53"/>
    <w:rsid w:val="00FB0805"/>
    <w:rsid w:val="00FB19A9"/>
    <w:rsid w:val="00FB215F"/>
    <w:rsid w:val="00FB2520"/>
    <w:rsid w:val="00FB2E58"/>
    <w:rsid w:val="00FB43A9"/>
    <w:rsid w:val="00FB4767"/>
    <w:rsid w:val="00FB599D"/>
    <w:rsid w:val="00FB6E37"/>
    <w:rsid w:val="00FC00B9"/>
    <w:rsid w:val="00FC1582"/>
    <w:rsid w:val="00FC2596"/>
    <w:rsid w:val="00FC4CAF"/>
    <w:rsid w:val="00FD09B9"/>
    <w:rsid w:val="00FD35AE"/>
    <w:rsid w:val="00FD5AB4"/>
    <w:rsid w:val="00FD7948"/>
    <w:rsid w:val="00FE18E4"/>
    <w:rsid w:val="00FE2FF3"/>
    <w:rsid w:val="00FE423D"/>
    <w:rsid w:val="00FE5347"/>
    <w:rsid w:val="00FE53AB"/>
    <w:rsid w:val="00FF284D"/>
    <w:rsid w:val="00FF3337"/>
    <w:rsid w:val="00FF4378"/>
    <w:rsid w:val="00FF5AAF"/>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2C54CE"/>
    <w:pPr>
      <w:framePr w:hSpace="180" w:wrap="around" w:hAnchor="margin" w:y="718"/>
    </w:pPr>
    <w:rPr>
      <w:rFonts w:cs="Arial"/>
      <w:noProof/>
      <w:sz w:val="40"/>
      <w:szCs w:val="40"/>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iPriority="35"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83E"/>
    <w:rPr>
      <w:rFonts w:ascii="Arial" w:hAnsi="Arial"/>
      <w:sz w:val="22"/>
      <w:szCs w:val="22"/>
      <w:lang w:eastAsia="en-US"/>
    </w:rPr>
  </w:style>
  <w:style w:type="paragraph" w:styleId="Heading2">
    <w:name w:val="heading 2"/>
    <w:basedOn w:val="Normal"/>
    <w:next w:val="Normal"/>
    <w:qFormat/>
    <w:rsid w:val="000F11AE"/>
    <w:pPr>
      <w:keepNext/>
      <w:jc w:val="center"/>
      <w:outlineLvl w:val="1"/>
    </w:pPr>
    <w:rPr>
      <w:rFonts w:ascii="Courier" w:hAnsi="Courier"/>
      <w:b/>
    </w:rPr>
  </w:style>
  <w:style w:type="paragraph" w:styleId="Heading3">
    <w:name w:val="heading 3"/>
    <w:basedOn w:val="Normal"/>
    <w:next w:val="Normal"/>
    <w:qFormat/>
    <w:rsid w:val="00BE24E5"/>
    <w:pPr>
      <w:keepNext/>
      <w:spacing w:before="240" w:after="60"/>
      <w:outlineLvl w:val="2"/>
    </w:pPr>
    <w:rPr>
      <w:rFonts w:cs="Arial"/>
      <w:b/>
      <w:bCs/>
      <w:sz w:val="26"/>
      <w:szCs w:val="26"/>
      <w:lang w:eastAsia="en-GB"/>
    </w:rPr>
  </w:style>
  <w:style w:type="paragraph" w:styleId="Heading6">
    <w:name w:val="heading 6"/>
    <w:basedOn w:val="Normal"/>
    <w:next w:val="Normal"/>
    <w:qFormat/>
    <w:rsid w:val="000F11AE"/>
    <w:pPr>
      <w:keepNext/>
      <w:spacing w:after="40"/>
      <w:outlineLvl w:val="5"/>
    </w:pPr>
    <w:rPr>
      <w:rFonts w:ascii="Courier" w:hAnsi="Courier"/>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1AE"/>
    <w:pPr>
      <w:tabs>
        <w:tab w:val="right" w:pos="9497"/>
      </w:tabs>
      <w:ind w:left="567"/>
    </w:pPr>
    <w:rPr>
      <w:sz w:val="20"/>
    </w:rPr>
  </w:style>
  <w:style w:type="character" w:styleId="PageNumber">
    <w:name w:val="page number"/>
    <w:basedOn w:val="DefaultParagraphFont"/>
    <w:rsid w:val="000F11AE"/>
  </w:style>
  <w:style w:type="table" w:styleId="TableGrid">
    <w:name w:val="Table Grid"/>
    <w:basedOn w:val="TableNormal"/>
    <w:rsid w:val="000F11AE"/>
    <w:rPr>
      <w:rFonts w:ascii="Courier"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gForm">
    <w:name w:val="alg_Form"/>
    <w:basedOn w:val="Normal"/>
    <w:rsid w:val="000F11AE"/>
    <w:pPr>
      <w:spacing w:before="120" w:after="120"/>
    </w:pPr>
  </w:style>
  <w:style w:type="paragraph" w:customStyle="1" w:styleId="Spacer">
    <w:name w:val="Spacer"/>
    <w:basedOn w:val="Header"/>
    <w:rsid w:val="000F11AE"/>
    <w:rPr>
      <w:sz w:val="12"/>
    </w:rPr>
  </w:style>
  <w:style w:type="paragraph" w:customStyle="1" w:styleId="algFormBold">
    <w:name w:val="alg_FormBold"/>
    <w:basedOn w:val="algForm"/>
    <w:rsid w:val="000F11AE"/>
    <w:pPr>
      <w:ind w:left="-108"/>
    </w:pPr>
    <w:rPr>
      <w:b/>
    </w:rPr>
  </w:style>
  <w:style w:type="paragraph" w:customStyle="1" w:styleId="algHeading1">
    <w:name w:val="alg_Heading1"/>
    <w:basedOn w:val="Normal"/>
    <w:rsid w:val="000F11AE"/>
    <w:pPr>
      <w:spacing w:before="120" w:after="120"/>
      <w:ind w:left="-108"/>
    </w:pPr>
    <w:rPr>
      <w:sz w:val="48"/>
    </w:rPr>
  </w:style>
  <w:style w:type="paragraph" w:customStyle="1" w:styleId="algHeading2">
    <w:name w:val="alg_Heading2"/>
    <w:basedOn w:val="Normal"/>
    <w:autoRedefine/>
    <w:rsid w:val="002C54CE"/>
    <w:pPr>
      <w:framePr w:hSpace="180" w:wrap="around" w:hAnchor="margin" w:y="718"/>
    </w:pPr>
    <w:rPr>
      <w:rFonts w:cs="Arial"/>
      <w:noProof/>
      <w:sz w:val="40"/>
      <w:szCs w:val="40"/>
    </w:rPr>
  </w:style>
  <w:style w:type="paragraph" w:customStyle="1" w:styleId="DefaultParagraphFontParaCharCharChar1Char">
    <w:name w:val="Default Paragraph Font Para Char Char Char1 Char"/>
    <w:basedOn w:val="Normal"/>
    <w:rsid w:val="000F11AE"/>
    <w:pPr>
      <w:keepLines/>
      <w:spacing w:after="160" w:line="240" w:lineRule="exact"/>
      <w:ind w:left="2977"/>
    </w:pPr>
    <w:rPr>
      <w:rFonts w:ascii="Tahoma" w:hAnsi="Tahoma" w:cs="Arial"/>
      <w:sz w:val="20"/>
      <w:szCs w:val="24"/>
      <w:lang w:val="en-US"/>
    </w:rPr>
  </w:style>
  <w:style w:type="paragraph" w:styleId="NormalWeb">
    <w:name w:val="Normal (Web)"/>
    <w:basedOn w:val="Normal"/>
    <w:uiPriority w:val="99"/>
    <w:rsid w:val="000F11AE"/>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semiHidden/>
    <w:rsid w:val="00AE49D2"/>
    <w:rPr>
      <w:rFonts w:ascii="Tahoma" w:hAnsi="Tahoma" w:cs="Tahoma"/>
      <w:sz w:val="16"/>
      <w:szCs w:val="16"/>
    </w:rPr>
  </w:style>
  <w:style w:type="paragraph" w:styleId="Footer">
    <w:name w:val="footer"/>
    <w:basedOn w:val="Normal"/>
    <w:rsid w:val="00E631F7"/>
    <w:pPr>
      <w:tabs>
        <w:tab w:val="center" w:pos="4153"/>
        <w:tab w:val="right" w:pos="8306"/>
      </w:tabs>
    </w:pPr>
  </w:style>
  <w:style w:type="paragraph" w:styleId="BodyTextIndent2">
    <w:name w:val="Body Text Indent 2"/>
    <w:basedOn w:val="Normal"/>
    <w:rsid w:val="00BA440F"/>
    <w:pPr>
      <w:autoSpaceDE w:val="0"/>
      <w:autoSpaceDN w:val="0"/>
      <w:adjustRightInd w:val="0"/>
      <w:spacing w:line="360" w:lineRule="auto"/>
      <w:ind w:left="1440"/>
    </w:pPr>
    <w:rPr>
      <w:i/>
      <w:szCs w:val="24"/>
    </w:rPr>
  </w:style>
  <w:style w:type="character" w:styleId="Strong">
    <w:name w:val="Strong"/>
    <w:uiPriority w:val="22"/>
    <w:qFormat/>
    <w:rsid w:val="005244A8"/>
    <w:rPr>
      <w:b/>
      <w:bCs/>
    </w:rPr>
  </w:style>
  <w:style w:type="character" w:styleId="Hyperlink">
    <w:name w:val="Hyperlink"/>
    <w:uiPriority w:val="99"/>
    <w:rsid w:val="005244A8"/>
    <w:rPr>
      <w:color w:val="0000FF"/>
      <w:u w:val="single"/>
    </w:rPr>
  </w:style>
  <w:style w:type="character" w:styleId="FootnoteReference">
    <w:name w:val="footnote reference"/>
    <w:uiPriority w:val="99"/>
    <w:semiHidden/>
    <w:rsid w:val="005244A8"/>
    <w:rPr>
      <w:vertAlign w:val="superscript"/>
    </w:rPr>
  </w:style>
  <w:style w:type="paragraph" w:styleId="FootnoteText">
    <w:name w:val="footnote text"/>
    <w:basedOn w:val="Normal"/>
    <w:link w:val="FootnoteTextChar"/>
    <w:uiPriority w:val="99"/>
    <w:semiHidden/>
    <w:rsid w:val="005244A8"/>
    <w:rPr>
      <w:sz w:val="20"/>
      <w:szCs w:val="20"/>
    </w:rPr>
  </w:style>
  <w:style w:type="character" w:customStyle="1" w:styleId="xdtextboxctrl323ms-xedit-plaintext">
    <w:name w:val="xdtextbox ctrl323 ms-xedit-plaintext"/>
    <w:basedOn w:val="DefaultParagraphFont"/>
    <w:rsid w:val="0070784C"/>
  </w:style>
  <w:style w:type="paragraph" w:styleId="BodyText3">
    <w:name w:val="Body Text 3"/>
    <w:basedOn w:val="Normal"/>
    <w:link w:val="BodyText3Char"/>
    <w:semiHidden/>
    <w:unhideWhenUsed/>
    <w:rsid w:val="007E68D0"/>
    <w:pPr>
      <w:spacing w:after="120"/>
    </w:pPr>
    <w:rPr>
      <w:sz w:val="16"/>
      <w:szCs w:val="16"/>
      <w:lang w:eastAsia="en-GB"/>
    </w:rPr>
  </w:style>
  <w:style w:type="character" w:customStyle="1" w:styleId="BodyText3Char">
    <w:name w:val="Body Text 3 Char"/>
    <w:link w:val="BodyText3"/>
    <w:semiHidden/>
    <w:rsid w:val="007E68D0"/>
    <w:rPr>
      <w:rFonts w:ascii="Arial" w:hAnsi="Arial"/>
      <w:sz w:val="16"/>
      <w:szCs w:val="16"/>
      <w:lang w:val="en-GB" w:eastAsia="en-GB" w:bidi="ar-SA"/>
    </w:rPr>
  </w:style>
  <w:style w:type="character" w:customStyle="1" w:styleId="apple-style-span">
    <w:name w:val="apple-style-span"/>
    <w:basedOn w:val="DefaultParagraphFont"/>
    <w:rsid w:val="00D51E1C"/>
  </w:style>
  <w:style w:type="paragraph" w:styleId="CommentText">
    <w:name w:val="annotation text"/>
    <w:basedOn w:val="Normal"/>
    <w:link w:val="CommentTextChar"/>
    <w:semiHidden/>
    <w:rsid w:val="00AE3F08"/>
    <w:rPr>
      <w:rFonts w:ascii="Officina Sans ITC TT" w:hAnsi="Officina Sans ITC TT"/>
      <w:sz w:val="20"/>
      <w:szCs w:val="20"/>
      <w:lang w:eastAsia="en-GB"/>
    </w:rPr>
  </w:style>
  <w:style w:type="paragraph" w:styleId="Title">
    <w:name w:val="Title"/>
    <w:basedOn w:val="Normal"/>
    <w:qFormat/>
    <w:rsid w:val="00BF4F45"/>
    <w:pPr>
      <w:jc w:val="center"/>
    </w:pPr>
    <w:rPr>
      <w:rFonts w:ascii="Officina Sans ITC TT" w:hAnsi="Officina Sans ITC TT"/>
      <w:b/>
      <w:bCs/>
      <w:sz w:val="24"/>
      <w:szCs w:val="24"/>
    </w:rPr>
  </w:style>
  <w:style w:type="paragraph" w:customStyle="1" w:styleId="DfESBullets">
    <w:name w:val="DfESBullets"/>
    <w:basedOn w:val="Normal"/>
    <w:rsid w:val="00BF4F45"/>
    <w:pPr>
      <w:widowControl w:val="0"/>
      <w:numPr>
        <w:numId w:val="1"/>
      </w:numPr>
      <w:overflowPunct w:val="0"/>
      <w:autoSpaceDE w:val="0"/>
      <w:autoSpaceDN w:val="0"/>
      <w:adjustRightInd w:val="0"/>
      <w:spacing w:after="240"/>
      <w:textAlignment w:val="baseline"/>
    </w:pPr>
    <w:rPr>
      <w:sz w:val="24"/>
      <w:szCs w:val="20"/>
    </w:rPr>
  </w:style>
  <w:style w:type="paragraph" w:customStyle="1" w:styleId="Pa1">
    <w:name w:val="Pa1"/>
    <w:basedOn w:val="Normal"/>
    <w:next w:val="Normal"/>
    <w:rsid w:val="00FB0805"/>
    <w:pPr>
      <w:autoSpaceDE w:val="0"/>
      <w:autoSpaceDN w:val="0"/>
      <w:adjustRightInd w:val="0"/>
      <w:spacing w:after="120" w:line="201" w:lineRule="atLeast"/>
    </w:pPr>
    <w:rPr>
      <w:rFonts w:ascii="Frutiger 45 Light" w:hAnsi="Frutiger 45 Light"/>
      <w:sz w:val="20"/>
      <w:szCs w:val="24"/>
      <w:lang w:val="en-US"/>
    </w:rPr>
  </w:style>
  <w:style w:type="character" w:styleId="FollowedHyperlink">
    <w:name w:val="FollowedHyperlink"/>
    <w:rsid w:val="00E00F8F"/>
    <w:rPr>
      <w:color w:val="800080"/>
      <w:u w:val="single"/>
    </w:rPr>
  </w:style>
  <w:style w:type="character" w:styleId="Emphasis">
    <w:name w:val="Emphasis"/>
    <w:qFormat/>
    <w:rsid w:val="00A559BD"/>
    <w:rPr>
      <w:b/>
      <w:bCs/>
      <w:i w:val="0"/>
      <w:iCs w:val="0"/>
    </w:rPr>
  </w:style>
  <w:style w:type="paragraph" w:customStyle="1" w:styleId="WW-Default">
    <w:name w:val="WW-Default"/>
    <w:rsid w:val="009B1184"/>
    <w:pPr>
      <w:suppressAutoHyphens/>
      <w:autoSpaceDE w:val="0"/>
    </w:pPr>
    <w:rPr>
      <w:rFonts w:ascii="Arial" w:eastAsia="Arial" w:hAnsi="Arial" w:cs="Arial"/>
      <w:color w:val="000000"/>
      <w:sz w:val="24"/>
      <w:szCs w:val="24"/>
      <w:lang w:eastAsia="ar-SA"/>
    </w:rPr>
  </w:style>
  <w:style w:type="character" w:styleId="CommentReference">
    <w:name w:val="annotation reference"/>
    <w:rsid w:val="00B01AEF"/>
    <w:rPr>
      <w:sz w:val="16"/>
      <w:szCs w:val="16"/>
    </w:rPr>
  </w:style>
  <w:style w:type="paragraph" w:styleId="CommentSubject">
    <w:name w:val="annotation subject"/>
    <w:basedOn w:val="CommentText"/>
    <w:next w:val="CommentText"/>
    <w:link w:val="CommentSubjectChar"/>
    <w:rsid w:val="00B01AEF"/>
    <w:rPr>
      <w:rFonts w:ascii="Arial" w:hAnsi="Arial"/>
      <w:b/>
      <w:bCs/>
      <w:lang w:eastAsia="en-US"/>
    </w:rPr>
  </w:style>
  <w:style w:type="character" w:customStyle="1" w:styleId="CommentTextChar">
    <w:name w:val="Comment Text Char"/>
    <w:link w:val="CommentText"/>
    <w:semiHidden/>
    <w:rsid w:val="00B01AEF"/>
    <w:rPr>
      <w:rFonts w:ascii="Officina Sans ITC TT" w:hAnsi="Officina Sans ITC TT"/>
    </w:rPr>
  </w:style>
  <w:style w:type="character" w:customStyle="1" w:styleId="CommentSubjectChar">
    <w:name w:val="Comment Subject Char"/>
    <w:link w:val="CommentSubject"/>
    <w:rsid w:val="00B01AEF"/>
    <w:rPr>
      <w:rFonts w:ascii="Arial" w:hAnsi="Arial"/>
      <w:b/>
      <w:bCs/>
      <w:lang w:eastAsia="en-US"/>
    </w:rPr>
  </w:style>
  <w:style w:type="paragraph" w:customStyle="1" w:styleId="ColorfulList-Accent11">
    <w:name w:val="Colorful List - Accent 11"/>
    <w:basedOn w:val="Normal"/>
    <w:uiPriority w:val="34"/>
    <w:qFormat/>
    <w:rsid w:val="009F541F"/>
    <w:pPr>
      <w:ind w:left="720"/>
    </w:pPr>
  </w:style>
  <w:style w:type="paragraph" w:styleId="ListParagraph">
    <w:name w:val="List Paragraph"/>
    <w:basedOn w:val="Normal"/>
    <w:uiPriority w:val="34"/>
    <w:qFormat/>
    <w:rsid w:val="00CA2D0F"/>
    <w:pPr>
      <w:ind w:left="720"/>
    </w:pPr>
  </w:style>
  <w:style w:type="paragraph" w:styleId="PlainText">
    <w:name w:val="Plain Text"/>
    <w:basedOn w:val="Normal"/>
    <w:link w:val="PlainTextChar"/>
    <w:uiPriority w:val="99"/>
    <w:unhideWhenUsed/>
    <w:rsid w:val="000228A6"/>
    <w:rPr>
      <w:rFonts w:ascii="Calibri" w:eastAsia="Calibri" w:hAnsi="Calibri"/>
      <w:szCs w:val="21"/>
    </w:rPr>
  </w:style>
  <w:style w:type="character" w:customStyle="1" w:styleId="PlainTextChar">
    <w:name w:val="Plain Text Char"/>
    <w:link w:val="PlainText"/>
    <w:uiPriority w:val="99"/>
    <w:rsid w:val="000228A6"/>
    <w:rPr>
      <w:rFonts w:ascii="Calibri" w:eastAsia="Calibri" w:hAnsi="Calibri"/>
      <w:sz w:val="22"/>
      <w:szCs w:val="21"/>
      <w:lang w:eastAsia="en-US"/>
    </w:rPr>
  </w:style>
  <w:style w:type="paragraph" w:customStyle="1" w:styleId="msolistparagraph0">
    <w:name w:val="msolistparagraph"/>
    <w:basedOn w:val="Normal"/>
    <w:rsid w:val="008031D4"/>
    <w:pPr>
      <w:ind w:left="720"/>
    </w:pPr>
    <w:rPr>
      <w:rFonts w:ascii="Calibri" w:hAnsi="Calibri"/>
      <w:lang w:eastAsia="en-GB"/>
    </w:rPr>
  </w:style>
  <w:style w:type="character" w:customStyle="1" w:styleId="apple-converted-space">
    <w:name w:val="apple-converted-space"/>
    <w:basedOn w:val="DefaultParagraphFont"/>
    <w:rsid w:val="00C872FD"/>
  </w:style>
  <w:style w:type="character" w:customStyle="1" w:styleId="FootnoteTextChar">
    <w:name w:val="Footnote Text Char"/>
    <w:basedOn w:val="DefaultParagraphFont"/>
    <w:link w:val="FootnoteText"/>
    <w:uiPriority w:val="99"/>
    <w:semiHidden/>
    <w:rsid w:val="00793D24"/>
    <w:rPr>
      <w:rFonts w:ascii="Arial" w:hAnsi="Arial"/>
      <w:lang w:eastAsia="en-US"/>
    </w:rPr>
  </w:style>
  <w:style w:type="paragraph" w:styleId="Caption">
    <w:name w:val="caption"/>
    <w:basedOn w:val="Normal"/>
    <w:next w:val="Normal"/>
    <w:uiPriority w:val="35"/>
    <w:unhideWhenUsed/>
    <w:qFormat/>
    <w:rsid w:val="00793D2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6245">
      <w:bodyDiv w:val="1"/>
      <w:marLeft w:val="0"/>
      <w:marRight w:val="0"/>
      <w:marTop w:val="0"/>
      <w:marBottom w:val="0"/>
      <w:divBdr>
        <w:top w:val="none" w:sz="0" w:space="0" w:color="auto"/>
        <w:left w:val="none" w:sz="0" w:space="0" w:color="auto"/>
        <w:bottom w:val="none" w:sz="0" w:space="0" w:color="auto"/>
        <w:right w:val="none" w:sz="0" w:space="0" w:color="auto"/>
      </w:divBdr>
    </w:div>
    <w:div w:id="234095025">
      <w:bodyDiv w:val="1"/>
      <w:marLeft w:val="0"/>
      <w:marRight w:val="0"/>
      <w:marTop w:val="0"/>
      <w:marBottom w:val="0"/>
      <w:divBdr>
        <w:top w:val="none" w:sz="0" w:space="0" w:color="auto"/>
        <w:left w:val="none" w:sz="0" w:space="0" w:color="auto"/>
        <w:bottom w:val="none" w:sz="0" w:space="0" w:color="auto"/>
        <w:right w:val="none" w:sz="0" w:space="0" w:color="auto"/>
      </w:divBdr>
    </w:div>
    <w:div w:id="286856415">
      <w:bodyDiv w:val="1"/>
      <w:marLeft w:val="0"/>
      <w:marRight w:val="0"/>
      <w:marTop w:val="0"/>
      <w:marBottom w:val="0"/>
      <w:divBdr>
        <w:top w:val="none" w:sz="0" w:space="0" w:color="auto"/>
        <w:left w:val="none" w:sz="0" w:space="0" w:color="auto"/>
        <w:bottom w:val="none" w:sz="0" w:space="0" w:color="auto"/>
        <w:right w:val="none" w:sz="0" w:space="0" w:color="auto"/>
      </w:divBdr>
      <w:divsChild>
        <w:div w:id="106432156">
          <w:marLeft w:val="0"/>
          <w:marRight w:val="0"/>
          <w:marTop w:val="0"/>
          <w:marBottom w:val="0"/>
          <w:divBdr>
            <w:top w:val="none" w:sz="0" w:space="0" w:color="auto"/>
            <w:left w:val="none" w:sz="0" w:space="0" w:color="auto"/>
            <w:bottom w:val="none" w:sz="0" w:space="0" w:color="auto"/>
            <w:right w:val="none" w:sz="0" w:space="0" w:color="auto"/>
          </w:divBdr>
          <w:divsChild>
            <w:div w:id="1953778693">
              <w:marLeft w:val="0"/>
              <w:marRight w:val="0"/>
              <w:marTop w:val="0"/>
              <w:marBottom w:val="0"/>
              <w:divBdr>
                <w:top w:val="none" w:sz="0" w:space="0" w:color="auto"/>
                <w:left w:val="none" w:sz="0" w:space="0" w:color="auto"/>
                <w:bottom w:val="none" w:sz="0" w:space="0" w:color="auto"/>
                <w:right w:val="none" w:sz="0" w:space="0" w:color="auto"/>
              </w:divBdr>
              <w:divsChild>
                <w:div w:id="1361662374">
                  <w:marLeft w:val="0"/>
                  <w:marRight w:val="0"/>
                  <w:marTop w:val="0"/>
                  <w:marBottom w:val="0"/>
                  <w:divBdr>
                    <w:top w:val="none" w:sz="0" w:space="0" w:color="auto"/>
                    <w:left w:val="none" w:sz="0" w:space="0" w:color="auto"/>
                    <w:bottom w:val="none" w:sz="0" w:space="0" w:color="auto"/>
                    <w:right w:val="none" w:sz="0" w:space="0" w:color="auto"/>
                  </w:divBdr>
                  <w:divsChild>
                    <w:div w:id="821777352">
                      <w:marLeft w:val="0"/>
                      <w:marRight w:val="0"/>
                      <w:marTop w:val="0"/>
                      <w:marBottom w:val="0"/>
                      <w:divBdr>
                        <w:top w:val="none" w:sz="0" w:space="0" w:color="auto"/>
                        <w:left w:val="none" w:sz="0" w:space="0" w:color="auto"/>
                        <w:bottom w:val="none" w:sz="0" w:space="0" w:color="auto"/>
                        <w:right w:val="none" w:sz="0" w:space="0" w:color="auto"/>
                      </w:divBdr>
                      <w:divsChild>
                        <w:div w:id="1746687430">
                          <w:marLeft w:val="0"/>
                          <w:marRight w:val="0"/>
                          <w:marTop w:val="0"/>
                          <w:marBottom w:val="0"/>
                          <w:divBdr>
                            <w:top w:val="none" w:sz="0" w:space="0" w:color="auto"/>
                            <w:left w:val="none" w:sz="0" w:space="0" w:color="auto"/>
                            <w:bottom w:val="none" w:sz="0" w:space="0" w:color="auto"/>
                            <w:right w:val="none" w:sz="0" w:space="0" w:color="auto"/>
                          </w:divBdr>
                          <w:divsChild>
                            <w:div w:id="9529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547791">
      <w:bodyDiv w:val="1"/>
      <w:marLeft w:val="0"/>
      <w:marRight w:val="0"/>
      <w:marTop w:val="0"/>
      <w:marBottom w:val="0"/>
      <w:divBdr>
        <w:top w:val="none" w:sz="0" w:space="0" w:color="auto"/>
        <w:left w:val="none" w:sz="0" w:space="0" w:color="auto"/>
        <w:bottom w:val="none" w:sz="0" w:space="0" w:color="auto"/>
        <w:right w:val="none" w:sz="0" w:space="0" w:color="auto"/>
      </w:divBdr>
      <w:divsChild>
        <w:div w:id="701059171">
          <w:marLeft w:val="0"/>
          <w:marRight w:val="0"/>
          <w:marTop w:val="0"/>
          <w:marBottom w:val="0"/>
          <w:divBdr>
            <w:top w:val="none" w:sz="0" w:space="0" w:color="auto"/>
            <w:left w:val="none" w:sz="0" w:space="0" w:color="auto"/>
            <w:bottom w:val="none" w:sz="0" w:space="0" w:color="auto"/>
            <w:right w:val="none" w:sz="0" w:space="0" w:color="auto"/>
          </w:divBdr>
          <w:divsChild>
            <w:div w:id="1207835097">
              <w:marLeft w:val="100"/>
              <w:marRight w:val="100"/>
              <w:marTop w:val="100"/>
              <w:marBottom w:val="100"/>
              <w:divBdr>
                <w:top w:val="none" w:sz="0" w:space="0" w:color="auto"/>
                <w:left w:val="none" w:sz="0" w:space="0" w:color="auto"/>
                <w:bottom w:val="none" w:sz="0" w:space="0" w:color="auto"/>
                <w:right w:val="none" w:sz="0" w:space="0" w:color="auto"/>
              </w:divBdr>
              <w:divsChild>
                <w:div w:id="194585227">
                  <w:marLeft w:val="0"/>
                  <w:marRight w:val="0"/>
                  <w:marTop w:val="0"/>
                  <w:marBottom w:val="0"/>
                  <w:divBdr>
                    <w:top w:val="none" w:sz="0" w:space="0" w:color="auto"/>
                    <w:left w:val="none" w:sz="0" w:space="0" w:color="auto"/>
                    <w:bottom w:val="none" w:sz="0" w:space="0" w:color="auto"/>
                    <w:right w:val="none" w:sz="0" w:space="0" w:color="auto"/>
                  </w:divBdr>
                </w:div>
              </w:divsChild>
            </w:div>
            <w:div w:id="1807888431">
              <w:marLeft w:val="0"/>
              <w:marRight w:val="0"/>
              <w:marTop w:val="0"/>
              <w:marBottom w:val="0"/>
              <w:divBdr>
                <w:top w:val="none" w:sz="0" w:space="0" w:color="auto"/>
                <w:left w:val="none" w:sz="0" w:space="0" w:color="auto"/>
                <w:bottom w:val="none" w:sz="0" w:space="0" w:color="auto"/>
                <w:right w:val="none" w:sz="0" w:space="0" w:color="auto"/>
              </w:divBdr>
              <w:divsChild>
                <w:div w:id="601255833">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414479109">
      <w:bodyDiv w:val="1"/>
      <w:marLeft w:val="0"/>
      <w:marRight w:val="0"/>
      <w:marTop w:val="0"/>
      <w:marBottom w:val="0"/>
      <w:divBdr>
        <w:top w:val="none" w:sz="0" w:space="0" w:color="auto"/>
        <w:left w:val="none" w:sz="0" w:space="0" w:color="auto"/>
        <w:bottom w:val="none" w:sz="0" w:space="0" w:color="auto"/>
        <w:right w:val="none" w:sz="0" w:space="0" w:color="auto"/>
      </w:divBdr>
    </w:div>
    <w:div w:id="521162589">
      <w:bodyDiv w:val="1"/>
      <w:marLeft w:val="0"/>
      <w:marRight w:val="0"/>
      <w:marTop w:val="0"/>
      <w:marBottom w:val="0"/>
      <w:divBdr>
        <w:top w:val="none" w:sz="0" w:space="0" w:color="auto"/>
        <w:left w:val="none" w:sz="0" w:space="0" w:color="auto"/>
        <w:bottom w:val="none" w:sz="0" w:space="0" w:color="auto"/>
        <w:right w:val="none" w:sz="0" w:space="0" w:color="auto"/>
      </w:divBdr>
      <w:divsChild>
        <w:div w:id="2004887679">
          <w:marLeft w:val="0"/>
          <w:marRight w:val="0"/>
          <w:marTop w:val="0"/>
          <w:marBottom w:val="0"/>
          <w:divBdr>
            <w:top w:val="none" w:sz="0" w:space="0" w:color="auto"/>
            <w:left w:val="none" w:sz="0" w:space="0" w:color="auto"/>
            <w:bottom w:val="none" w:sz="0" w:space="0" w:color="auto"/>
            <w:right w:val="none" w:sz="0" w:space="0" w:color="auto"/>
          </w:divBdr>
          <w:divsChild>
            <w:div w:id="1974826445">
              <w:marLeft w:val="0"/>
              <w:marRight w:val="0"/>
              <w:marTop w:val="0"/>
              <w:marBottom w:val="0"/>
              <w:divBdr>
                <w:top w:val="none" w:sz="0" w:space="0" w:color="auto"/>
                <w:left w:val="none" w:sz="0" w:space="0" w:color="auto"/>
                <w:bottom w:val="none" w:sz="0" w:space="0" w:color="auto"/>
                <w:right w:val="none" w:sz="0" w:space="0" w:color="auto"/>
              </w:divBdr>
              <w:divsChild>
                <w:div w:id="1454901688">
                  <w:marLeft w:val="0"/>
                  <w:marRight w:val="0"/>
                  <w:marTop w:val="0"/>
                  <w:marBottom w:val="0"/>
                  <w:divBdr>
                    <w:top w:val="none" w:sz="0" w:space="0" w:color="auto"/>
                    <w:left w:val="none" w:sz="0" w:space="0" w:color="auto"/>
                    <w:bottom w:val="none" w:sz="0" w:space="0" w:color="auto"/>
                    <w:right w:val="none" w:sz="0" w:space="0" w:color="auto"/>
                  </w:divBdr>
                  <w:divsChild>
                    <w:div w:id="601647851">
                      <w:marLeft w:val="0"/>
                      <w:marRight w:val="0"/>
                      <w:marTop w:val="0"/>
                      <w:marBottom w:val="0"/>
                      <w:divBdr>
                        <w:top w:val="none" w:sz="0" w:space="0" w:color="auto"/>
                        <w:left w:val="none" w:sz="0" w:space="0" w:color="auto"/>
                        <w:bottom w:val="none" w:sz="0" w:space="0" w:color="auto"/>
                        <w:right w:val="none" w:sz="0" w:space="0" w:color="auto"/>
                      </w:divBdr>
                      <w:divsChild>
                        <w:div w:id="560210320">
                          <w:marLeft w:val="0"/>
                          <w:marRight w:val="0"/>
                          <w:marTop w:val="0"/>
                          <w:marBottom w:val="0"/>
                          <w:divBdr>
                            <w:top w:val="none" w:sz="0" w:space="0" w:color="auto"/>
                            <w:left w:val="none" w:sz="0" w:space="0" w:color="auto"/>
                            <w:bottom w:val="none" w:sz="0" w:space="0" w:color="auto"/>
                            <w:right w:val="none" w:sz="0" w:space="0" w:color="auto"/>
                          </w:divBdr>
                          <w:divsChild>
                            <w:div w:id="10420879">
                              <w:marLeft w:val="0"/>
                              <w:marRight w:val="0"/>
                              <w:marTop w:val="0"/>
                              <w:marBottom w:val="0"/>
                              <w:divBdr>
                                <w:top w:val="none" w:sz="0" w:space="0" w:color="auto"/>
                                <w:left w:val="none" w:sz="0" w:space="0" w:color="auto"/>
                                <w:bottom w:val="none" w:sz="0" w:space="0" w:color="auto"/>
                                <w:right w:val="none" w:sz="0" w:space="0" w:color="auto"/>
                              </w:divBdr>
                              <w:divsChild>
                                <w:div w:id="1039091383">
                                  <w:marLeft w:val="0"/>
                                  <w:marRight w:val="0"/>
                                  <w:marTop w:val="0"/>
                                  <w:marBottom w:val="0"/>
                                  <w:divBdr>
                                    <w:top w:val="none" w:sz="0" w:space="0" w:color="auto"/>
                                    <w:left w:val="none" w:sz="0" w:space="0" w:color="auto"/>
                                    <w:bottom w:val="none" w:sz="0" w:space="0" w:color="auto"/>
                                    <w:right w:val="none" w:sz="0" w:space="0" w:color="auto"/>
                                  </w:divBdr>
                                  <w:divsChild>
                                    <w:div w:id="169371794">
                                      <w:marLeft w:val="0"/>
                                      <w:marRight w:val="0"/>
                                      <w:marTop w:val="0"/>
                                      <w:marBottom w:val="0"/>
                                      <w:divBdr>
                                        <w:top w:val="none" w:sz="0" w:space="0" w:color="auto"/>
                                        <w:left w:val="none" w:sz="0" w:space="0" w:color="auto"/>
                                        <w:bottom w:val="none" w:sz="0" w:space="0" w:color="auto"/>
                                        <w:right w:val="none" w:sz="0" w:space="0" w:color="auto"/>
                                      </w:divBdr>
                                      <w:divsChild>
                                        <w:div w:id="546643330">
                                          <w:marLeft w:val="0"/>
                                          <w:marRight w:val="0"/>
                                          <w:marTop w:val="0"/>
                                          <w:marBottom w:val="0"/>
                                          <w:divBdr>
                                            <w:top w:val="none" w:sz="0" w:space="0" w:color="auto"/>
                                            <w:left w:val="none" w:sz="0" w:space="0" w:color="auto"/>
                                            <w:bottom w:val="none" w:sz="0" w:space="0" w:color="auto"/>
                                            <w:right w:val="none" w:sz="0" w:space="0" w:color="auto"/>
                                          </w:divBdr>
                                          <w:divsChild>
                                            <w:div w:id="977950840">
                                              <w:marLeft w:val="0"/>
                                              <w:marRight w:val="0"/>
                                              <w:marTop w:val="0"/>
                                              <w:marBottom w:val="0"/>
                                              <w:divBdr>
                                                <w:top w:val="none" w:sz="0" w:space="0" w:color="auto"/>
                                                <w:left w:val="none" w:sz="0" w:space="0" w:color="auto"/>
                                                <w:bottom w:val="none" w:sz="0" w:space="0" w:color="auto"/>
                                                <w:right w:val="none" w:sz="0" w:space="0" w:color="auto"/>
                                              </w:divBdr>
                                              <w:divsChild>
                                                <w:div w:id="103889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3537738">
      <w:bodyDiv w:val="1"/>
      <w:marLeft w:val="0"/>
      <w:marRight w:val="0"/>
      <w:marTop w:val="0"/>
      <w:marBottom w:val="0"/>
      <w:divBdr>
        <w:top w:val="none" w:sz="0" w:space="0" w:color="auto"/>
        <w:left w:val="none" w:sz="0" w:space="0" w:color="auto"/>
        <w:bottom w:val="none" w:sz="0" w:space="0" w:color="auto"/>
        <w:right w:val="none" w:sz="0" w:space="0" w:color="auto"/>
      </w:divBdr>
    </w:div>
    <w:div w:id="646856067">
      <w:bodyDiv w:val="1"/>
      <w:marLeft w:val="0"/>
      <w:marRight w:val="0"/>
      <w:marTop w:val="0"/>
      <w:marBottom w:val="0"/>
      <w:divBdr>
        <w:top w:val="none" w:sz="0" w:space="0" w:color="auto"/>
        <w:left w:val="none" w:sz="0" w:space="0" w:color="auto"/>
        <w:bottom w:val="none" w:sz="0" w:space="0" w:color="auto"/>
        <w:right w:val="none" w:sz="0" w:space="0" w:color="auto"/>
      </w:divBdr>
      <w:divsChild>
        <w:div w:id="393889548">
          <w:marLeft w:val="0"/>
          <w:marRight w:val="0"/>
          <w:marTop w:val="0"/>
          <w:marBottom w:val="0"/>
          <w:divBdr>
            <w:top w:val="none" w:sz="0" w:space="0" w:color="auto"/>
            <w:left w:val="none" w:sz="0" w:space="0" w:color="auto"/>
            <w:bottom w:val="none" w:sz="0" w:space="0" w:color="auto"/>
            <w:right w:val="none" w:sz="0" w:space="0" w:color="auto"/>
          </w:divBdr>
          <w:divsChild>
            <w:div w:id="268241334">
              <w:marLeft w:val="1050"/>
              <w:marRight w:val="1050"/>
              <w:marTop w:val="0"/>
              <w:marBottom w:val="0"/>
              <w:divBdr>
                <w:top w:val="none" w:sz="0" w:space="0" w:color="auto"/>
                <w:left w:val="none" w:sz="0" w:space="0" w:color="auto"/>
                <w:bottom w:val="none" w:sz="0" w:space="0" w:color="auto"/>
                <w:right w:val="none" w:sz="0" w:space="0" w:color="auto"/>
              </w:divBdr>
              <w:divsChild>
                <w:div w:id="1865896749">
                  <w:marLeft w:val="0"/>
                  <w:marRight w:val="0"/>
                  <w:marTop w:val="0"/>
                  <w:marBottom w:val="0"/>
                  <w:divBdr>
                    <w:top w:val="none" w:sz="0" w:space="0" w:color="auto"/>
                    <w:left w:val="none" w:sz="0" w:space="0" w:color="auto"/>
                    <w:bottom w:val="none" w:sz="0" w:space="0" w:color="auto"/>
                    <w:right w:val="none" w:sz="0" w:space="0" w:color="auto"/>
                  </w:divBdr>
                  <w:divsChild>
                    <w:div w:id="358630958">
                      <w:marLeft w:val="0"/>
                      <w:marRight w:val="0"/>
                      <w:marTop w:val="0"/>
                      <w:marBottom w:val="0"/>
                      <w:divBdr>
                        <w:top w:val="none" w:sz="0" w:space="0" w:color="auto"/>
                        <w:left w:val="none" w:sz="0" w:space="0" w:color="auto"/>
                        <w:bottom w:val="none" w:sz="0" w:space="0" w:color="auto"/>
                        <w:right w:val="none" w:sz="0" w:space="0" w:color="auto"/>
                      </w:divBdr>
                      <w:divsChild>
                        <w:div w:id="1662659891">
                          <w:marLeft w:val="0"/>
                          <w:marRight w:val="0"/>
                          <w:marTop w:val="0"/>
                          <w:marBottom w:val="0"/>
                          <w:divBdr>
                            <w:top w:val="none" w:sz="0" w:space="0" w:color="auto"/>
                            <w:left w:val="none" w:sz="0" w:space="0" w:color="auto"/>
                            <w:bottom w:val="none" w:sz="0" w:space="0" w:color="auto"/>
                            <w:right w:val="none" w:sz="0" w:space="0" w:color="auto"/>
                          </w:divBdr>
                          <w:divsChild>
                            <w:div w:id="1337611643">
                              <w:marLeft w:val="2700"/>
                              <w:marRight w:val="0"/>
                              <w:marTop w:val="0"/>
                              <w:marBottom w:val="0"/>
                              <w:divBdr>
                                <w:top w:val="none" w:sz="0" w:space="0" w:color="auto"/>
                                <w:left w:val="none" w:sz="0" w:space="0" w:color="auto"/>
                                <w:bottom w:val="none" w:sz="0" w:space="0" w:color="auto"/>
                                <w:right w:val="none" w:sz="0" w:space="0" w:color="auto"/>
                              </w:divBdr>
                              <w:divsChild>
                                <w:div w:id="1207177246">
                                  <w:marLeft w:val="0"/>
                                  <w:marRight w:val="0"/>
                                  <w:marTop w:val="0"/>
                                  <w:marBottom w:val="0"/>
                                  <w:divBdr>
                                    <w:top w:val="none" w:sz="0" w:space="0" w:color="auto"/>
                                    <w:left w:val="none" w:sz="0" w:space="0" w:color="auto"/>
                                    <w:bottom w:val="none" w:sz="0" w:space="0" w:color="auto"/>
                                    <w:right w:val="none" w:sz="0" w:space="0" w:color="auto"/>
                                  </w:divBdr>
                                  <w:divsChild>
                                    <w:div w:id="420761127">
                                      <w:marLeft w:val="0"/>
                                      <w:marRight w:val="0"/>
                                      <w:marTop w:val="0"/>
                                      <w:marBottom w:val="0"/>
                                      <w:divBdr>
                                        <w:top w:val="none" w:sz="0" w:space="0" w:color="auto"/>
                                        <w:left w:val="none" w:sz="0" w:space="0" w:color="auto"/>
                                        <w:bottom w:val="none" w:sz="0" w:space="0" w:color="auto"/>
                                        <w:right w:val="none" w:sz="0" w:space="0" w:color="auto"/>
                                      </w:divBdr>
                                      <w:divsChild>
                                        <w:div w:id="922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145872">
      <w:bodyDiv w:val="1"/>
      <w:marLeft w:val="0"/>
      <w:marRight w:val="0"/>
      <w:marTop w:val="0"/>
      <w:marBottom w:val="0"/>
      <w:divBdr>
        <w:top w:val="none" w:sz="0" w:space="0" w:color="auto"/>
        <w:left w:val="none" w:sz="0" w:space="0" w:color="auto"/>
        <w:bottom w:val="none" w:sz="0" w:space="0" w:color="auto"/>
        <w:right w:val="none" w:sz="0" w:space="0" w:color="auto"/>
      </w:divBdr>
    </w:div>
    <w:div w:id="827866147">
      <w:bodyDiv w:val="1"/>
      <w:marLeft w:val="0"/>
      <w:marRight w:val="0"/>
      <w:marTop w:val="0"/>
      <w:marBottom w:val="0"/>
      <w:divBdr>
        <w:top w:val="none" w:sz="0" w:space="0" w:color="auto"/>
        <w:left w:val="none" w:sz="0" w:space="0" w:color="auto"/>
        <w:bottom w:val="none" w:sz="0" w:space="0" w:color="auto"/>
        <w:right w:val="none" w:sz="0" w:space="0" w:color="auto"/>
      </w:divBdr>
    </w:div>
    <w:div w:id="843520231">
      <w:bodyDiv w:val="1"/>
      <w:marLeft w:val="0"/>
      <w:marRight w:val="0"/>
      <w:marTop w:val="0"/>
      <w:marBottom w:val="0"/>
      <w:divBdr>
        <w:top w:val="none" w:sz="0" w:space="0" w:color="auto"/>
        <w:left w:val="none" w:sz="0" w:space="0" w:color="auto"/>
        <w:bottom w:val="none" w:sz="0" w:space="0" w:color="auto"/>
        <w:right w:val="none" w:sz="0" w:space="0" w:color="auto"/>
      </w:divBdr>
    </w:div>
    <w:div w:id="869489003">
      <w:bodyDiv w:val="1"/>
      <w:marLeft w:val="0"/>
      <w:marRight w:val="0"/>
      <w:marTop w:val="0"/>
      <w:marBottom w:val="0"/>
      <w:divBdr>
        <w:top w:val="none" w:sz="0" w:space="0" w:color="auto"/>
        <w:left w:val="none" w:sz="0" w:space="0" w:color="auto"/>
        <w:bottom w:val="none" w:sz="0" w:space="0" w:color="auto"/>
        <w:right w:val="none" w:sz="0" w:space="0" w:color="auto"/>
      </w:divBdr>
      <w:divsChild>
        <w:div w:id="1539512033">
          <w:marLeft w:val="0"/>
          <w:marRight w:val="0"/>
          <w:marTop w:val="0"/>
          <w:marBottom w:val="0"/>
          <w:divBdr>
            <w:top w:val="none" w:sz="0" w:space="0" w:color="auto"/>
            <w:left w:val="none" w:sz="0" w:space="0" w:color="auto"/>
            <w:bottom w:val="none" w:sz="0" w:space="0" w:color="auto"/>
            <w:right w:val="none" w:sz="0" w:space="0" w:color="auto"/>
          </w:divBdr>
          <w:divsChild>
            <w:div w:id="790980564">
              <w:marLeft w:val="0"/>
              <w:marRight w:val="0"/>
              <w:marTop w:val="0"/>
              <w:marBottom w:val="0"/>
              <w:divBdr>
                <w:top w:val="none" w:sz="0" w:space="0" w:color="auto"/>
                <w:left w:val="none" w:sz="0" w:space="0" w:color="auto"/>
                <w:bottom w:val="none" w:sz="0" w:space="0" w:color="auto"/>
                <w:right w:val="none" w:sz="0" w:space="0" w:color="auto"/>
              </w:divBdr>
              <w:divsChild>
                <w:div w:id="1112867805">
                  <w:marLeft w:val="0"/>
                  <w:marRight w:val="0"/>
                  <w:marTop w:val="0"/>
                  <w:marBottom w:val="0"/>
                  <w:divBdr>
                    <w:top w:val="none" w:sz="0" w:space="0" w:color="auto"/>
                    <w:left w:val="none" w:sz="0" w:space="0" w:color="auto"/>
                    <w:bottom w:val="none" w:sz="0" w:space="0" w:color="auto"/>
                    <w:right w:val="none" w:sz="0" w:space="0" w:color="auto"/>
                  </w:divBdr>
                  <w:divsChild>
                    <w:div w:id="1612592420">
                      <w:marLeft w:val="0"/>
                      <w:marRight w:val="0"/>
                      <w:marTop w:val="0"/>
                      <w:marBottom w:val="0"/>
                      <w:divBdr>
                        <w:top w:val="none" w:sz="0" w:space="0" w:color="auto"/>
                        <w:left w:val="none" w:sz="0" w:space="0" w:color="auto"/>
                        <w:bottom w:val="none" w:sz="0" w:space="0" w:color="auto"/>
                        <w:right w:val="none" w:sz="0" w:space="0" w:color="auto"/>
                      </w:divBdr>
                      <w:divsChild>
                        <w:div w:id="2127383899">
                          <w:marLeft w:val="0"/>
                          <w:marRight w:val="0"/>
                          <w:marTop w:val="0"/>
                          <w:marBottom w:val="0"/>
                          <w:divBdr>
                            <w:top w:val="none" w:sz="0" w:space="0" w:color="auto"/>
                            <w:left w:val="none" w:sz="0" w:space="0" w:color="auto"/>
                            <w:bottom w:val="none" w:sz="0" w:space="0" w:color="auto"/>
                            <w:right w:val="none" w:sz="0" w:space="0" w:color="auto"/>
                          </w:divBdr>
                        </w:div>
                        <w:div w:id="10742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356086">
      <w:bodyDiv w:val="1"/>
      <w:marLeft w:val="0"/>
      <w:marRight w:val="0"/>
      <w:marTop w:val="0"/>
      <w:marBottom w:val="0"/>
      <w:divBdr>
        <w:top w:val="none" w:sz="0" w:space="0" w:color="auto"/>
        <w:left w:val="none" w:sz="0" w:space="0" w:color="auto"/>
        <w:bottom w:val="none" w:sz="0" w:space="0" w:color="auto"/>
        <w:right w:val="none" w:sz="0" w:space="0" w:color="auto"/>
      </w:divBdr>
    </w:div>
    <w:div w:id="966550834">
      <w:bodyDiv w:val="1"/>
      <w:marLeft w:val="0"/>
      <w:marRight w:val="0"/>
      <w:marTop w:val="0"/>
      <w:marBottom w:val="0"/>
      <w:divBdr>
        <w:top w:val="none" w:sz="0" w:space="0" w:color="auto"/>
        <w:left w:val="none" w:sz="0" w:space="0" w:color="auto"/>
        <w:bottom w:val="none" w:sz="0" w:space="0" w:color="auto"/>
        <w:right w:val="none" w:sz="0" w:space="0" w:color="auto"/>
      </w:divBdr>
    </w:div>
    <w:div w:id="1076436047">
      <w:bodyDiv w:val="1"/>
      <w:marLeft w:val="0"/>
      <w:marRight w:val="0"/>
      <w:marTop w:val="0"/>
      <w:marBottom w:val="0"/>
      <w:divBdr>
        <w:top w:val="none" w:sz="0" w:space="0" w:color="auto"/>
        <w:left w:val="none" w:sz="0" w:space="0" w:color="auto"/>
        <w:bottom w:val="none" w:sz="0" w:space="0" w:color="auto"/>
        <w:right w:val="none" w:sz="0" w:space="0" w:color="auto"/>
      </w:divBdr>
    </w:div>
    <w:div w:id="1100686922">
      <w:bodyDiv w:val="1"/>
      <w:marLeft w:val="0"/>
      <w:marRight w:val="0"/>
      <w:marTop w:val="0"/>
      <w:marBottom w:val="0"/>
      <w:divBdr>
        <w:top w:val="none" w:sz="0" w:space="0" w:color="auto"/>
        <w:left w:val="none" w:sz="0" w:space="0" w:color="auto"/>
        <w:bottom w:val="none" w:sz="0" w:space="0" w:color="auto"/>
        <w:right w:val="none" w:sz="0" w:space="0" w:color="auto"/>
      </w:divBdr>
    </w:div>
    <w:div w:id="1110972991">
      <w:bodyDiv w:val="1"/>
      <w:marLeft w:val="0"/>
      <w:marRight w:val="0"/>
      <w:marTop w:val="0"/>
      <w:marBottom w:val="0"/>
      <w:divBdr>
        <w:top w:val="none" w:sz="0" w:space="0" w:color="auto"/>
        <w:left w:val="none" w:sz="0" w:space="0" w:color="auto"/>
        <w:bottom w:val="none" w:sz="0" w:space="0" w:color="auto"/>
        <w:right w:val="none" w:sz="0" w:space="0" w:color="auto"/>
      </w:divBdr>
    </w:div>
    <w:div w:id="1210193158">
      <w:bodyDiv w:val="1"/>
      <w:marLeft w:val="0"/>
      <w:marRight w:val="0"/>
      <w:marTop w:val="0"/>
      <w:marBottom w:val="0"/>
      <w:divBdr>
        <w:top w:val="none" w:sz="0" w:space="0" w:color="auto"/>
        <w:left w:val="none" w:sz="0" w:space="0" w:color="auto"/>
        <w:bottom w:val="none" w:sz="0" w:space="0" w:color="auto"/>
        <w:right w:val="none" w:sz="0" w:space="0" w:color="auto"/>
      </w:divBdr>
    </w:div>
    <w:div w:id="1249004504">
      <w:bodyDiv w:val="1"/>
      <w:marLeft w:val="0"/>
      <w:marRight w:val="0"/>
      <w:marTop w:val="0"/>
      <w:marBottom w:val="0"/>
      <w:divBdr>
        <w:top w:val="none" w:sz="0" w:space="0" w:color="auto"/>
        <w:left w:val="none" w:sz="0" w:space="0" w:color="auto"/>
        <w:bottom w:val="none" w:sz="0" w:space="0" w:color="auto"/>
        <w:right w:val="none" w:sz="0" w:space="0" w:color="auto"/>
      </w:divBdr>
      <w:divsChild>
        <w:div w:id="1566329229">
          <w:marLeft w:val="0"/>
          <w:marRight w:val="0"/>
          <w:marTop w:val="0"/>
          <w:marBottom w:val="0"/>
          <w:divBdr>
            <w:top w:val="none" w:sz="0" w:space="0" w:color="auto"/>
            <w:left w:val="none" w:sz="0" w:space="0" w:color="auto"/>
            <w:bottom w:val="none" w:sz="0" w:space="0" w:color="auto"/>
            <w:right w:val="none" w:sz="0" w:space="0" w:color="auto"/>
          </w:divBdr>
          <w:divsChild>
            <w:div w:id="1652633025">
              <w:marLeft w:val="180"/>
              <w:marRight w:val="180"/>
              <w:marTop w:val="0"/>
              <w:marBottom w:val="0"/>
              <w:divBdr>
                <w:top w:val="single" w:sz="6" w:space="8" w:color="CCCACB"/>
                <w:left w:val="single" w:sz="6" w:space="8" w:color="CCCACB"/>
                <w:bottom w:val="single" w:sz="6" w:space="8" w:color="CCCACB"/>
                <w:right w:val="single" w:sz="6" w:space="8" w:color="CCCACB"/>
              </w:divBdr>
            </w:div>
          </w:divsChild>
        </w:div>
      </w:divsChild>
    </w:div>
    <w:div w:id="1288196581">
      <w:bodyDiv w:val="1"/>
      <w:marLeft w:val="0"/>
      <w:marRight w:val="0"/>
      <w:marTop w:val="0"/>
      <w:marBottom w:val="0"/>
      <w:divBdr>
        <w:top w:val="none" w:sz="0" w:space="0" w:color="auto"/>
        <w:left w:val="none" w:sz="0" w:space="0" w:color="auto"/>
        <w:bottom w:val="none" w:sz="0" w:space="0" w:color="auto"/>
        <w:right w:val="none" w:sz="0" w:space="0" w:color="auto"/>
      </w:divBdr>
      <w:divsChild>
        <w:div w:id="1498157059">
          <w:marLeft w:val="0"/>
          <w:marRight w:val="0"/>
          <w:marTop w:val="0"/>
          <w:marBottom w:val="0"/>
          <w:divBdr>
            <w:top w:val="none" w:sz="0" w:space="0" w:color="auto"/>
            <w:left w:val="none" w:sz="0" w:space="0" w:color="auto"/>
            <w:bottom w:val="none" w:sz="0" w:space="0" w:color="auto"/>
            <w:right w:val="none" w:sz="0" w:space="0" w:color="auto"/>
          </w:divBdr>
          <w:divsChild>
            <w:div w:id="1365788973">
              <w:marLeft w:val="0"/>
              <w:marRight w:val="0"/>
              <w:marTop w:val="0"/>
              <w:marBottom w:val="0"/>
              <w:divBdr>
                <w:top w:val="none" w:sz="0" w:space="0" w:color="auto"/>
                <w:left w:val="none" w:sz="0" w:space="0" w:color="auto"/>
                <w:bottom w:val="none" w:sz="0" w:space="0" w:color="auto"/>
                <w:right w:val="none" w:sz="0" w:space="0" w:color="auto"/>
              </w:divBdr>
              <w:divsChild>
                <w:div w:id="607736590">
                  <w:marLeft w:val="0"/>
                  <w:marRight w:val="0"/>
                  <w:marTop w:val="0"/>
                  <w:marBottom w:val="0"/>
                  <w:divBdr>
                    <w:top w:val="none" w:sz="0" w:space="0" w:color="auto"/>
                    <w:left w:val="none" w:sz="0" w:space="0" w:color="auto"/>
                    <w:bottom w:val="none" w:sz="0" w:space="0" w:color="auto"/>
                    <w:right w:val="none" w:sz="0" w:space="0" w:color="auto"/>
                  </w:divBdr>
                  <w:divsChild>
                    <w:div w:id="1539246352">
                      <w:marLeft w:val="0"/>
                      <w:marRight w:val="0"/>
                      <w:marTop w:val="0"/>
                      <w:marBottom w:val="0"/>
                      <w:divBdr>
                        <w:top w:val="none" w:sz="0" w:space="0" w:color="auto"/>
                        <w:left w:val="none" w:sz="0" w:space="0" w:color="auto"/>
                        <w:bottom w:val="none" w:sz="0" w:space="0" w:color="auto"/>
                        <w:right w:val="none" w:sz="0" w:space="0" w:color="auto"/>
                      </w:divBdr>
                      <w:divsChild>
                        <w:div w:id="951713948">
                          <w:marLeft w:val="0"/>
                          <w:marRight w:val="0"/>
                          <w:marTop w:val="0"/>
                          <w:marBottom w:val="0"/>
                          <w:divBdr>
                            <w:top w:val="none" w:sz="0" w:space="0" w:color="auto"/>
                            <w:left w:val="none" w:sz="0" w:space="0" w:color="auto"/>
                            <w:bottom w:val="none" w:sz="0" w:space="0" w:color="auto"/>
                            <w:right w:val="none" w:sz="0" w:space="0" w:color="auto"/>
                          </w:divBdr>
                          <w:divsChild>
                            <w:div w:id="123157636">
                              <w:marLeft w:val="0"/>
                              <w:marRight w:val="0"/>
                              <w:marTop w:val="0"/>
                              <w:marBottom w:val="0"/>
                              <w:divBdr>
                                <w:top w:val="none" w:sz="0" w:space="0" w:color="auto"/>
                                <w:left w:val="none" w:sz="0" w:space="0" w:color="auto"/>
                                <w:bottom w:val="none" w:sz="0" w:space="0" w:color="auto"/>
                                <w:right w:val="none" w:sz="0" w:space="0" w:color="auto"/>
                              </w:divBdr>
                              <w:divsChild>
                                <w:div w:id="1249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814749">
      <w:bodyDiv w:val="1"/>
      <w:marLeft w:val="0"/>
      <w:marRight w:val="0"/>
      <w:marTop w:val="0"/>
      <w:marBottom w:val="0"/>
      <w:divBdr>
        <w:top w:val="none" w:sz="0" w:space="0" w:color="auto"/>
        <w:left w:val="none" w:sz="0" w:space="0" w:color="auto"/>
        <w:bottom w:val="none" w:sz="0" w:space="0" w:color="auto"/>
        <w:right w:val="none" w:sz="0" w:space="0" w:color="auto"/>
      </w:divBdr>
    </w:div>
    <w:div w:id="1419525558">
      <w:bodyDiv w:val="1"/>
      <w:marLeft w:val="0"/>
      <w:marRight w:val="0"/>
      <w:marTop w:val="0"/>
      <w:marBottom w:val="0"/>
      <w:divBdr>
        <w:top w:val="none" w:sz="0" w:space="0" w:color="auto"/>
        <w:left w:val="none" w:sz="0" w:space="0" w:color="auto"/>
        <w:bottom w:val="none" w:sz="0" w:space="0" w:color="auto"/>
        <w:right w:val="none" w:sz="0" w:space="0" w:color="auto"/>
      </w:divBdr>
      <w:divsChild>
        <w:div w:id="1733193865">
          <w:marLeft w:val="0"/>
          <w:marRight w:val="0"/>
          <w:marTop w:val="0"/>
          <w:marBottom w:val="0"/>
          <w:divBdr>
            <w:top w:val="none" w:sz="0" w:space="0" w:color="auto"/>
            <w:left w:val="none" w:sz="0" w:space="0" w:color="auto"/>
            <w:bottom w:val="none" w:sz="0" w:space="0" w:color="auto"/>
            <w:right w:val="none" w:sz="0" w:space="0" w:color="auto"/>
          </w:divBdr>
          <w:divsChild>
            <w:div w:id="1195340047">
              <w:marLeft w:val="1050"/>
              <w:marRight w:val="1050"/>
              <w:marTop w:val="0"/>
              <w:marBottom w:val="0"/>
              <w:divBdr>
                <w:top w:val="none" w:sz="0" w:space="0" w:color="auto"/>
                <w:left w:val="none" w:sz="0" w:space="0" w:color="auto"/>
                <w:bottom w:val="none" w:sz="0" w:space="0" w:color="auto"/>
                <w:right w:val="none" w:sz="0" w:space="0" w:color="auto"/>
              </w:divBdr>
              <w:divsChild>
                <w:div w:id="1936861776">
                  <w:marLeft w:val="0"/>
                  <w:marRight w:val="0"/>
                  <w:marTop w:val="0"/>
                  <w:marBottom w:val="0"/>
                  <w:divBdr>
                    <w:top w:val="none" w:sz="0" w:space="0" w:color="auto"/>
                    <w:left w:val="none" w:sz="0" w:space="0" w:color="auto"/>
                    <w:bottom w:val="none" w:sz="0" w:space="0" w:color="auto"/>
                    <w:right w:val="none" w:sz="0" w:space="0" w:color="auto"/>
                  </w:divBdr>
                  <w:divsChild>
                    <w:div w:id="1607498323">
                      <w:marLeft w:val="0"/>
                      <w:marRight w:val="0"/>
                      <w:marTop w:val="0"/>
                      <w:marBottom w:val="0"/>
                      <w:divBdr>
                        <w:top w:val="none" w:sz="0" w:space="0" w:color="auto"/>
                        <w:left w:val="none" w:sz="0" w:space="0" w:color="auto"/>
                        <w:bottom w:val="none" w:sz="0" w:space="0" w:color="auto"/>
                        <w:right w:val="none" w:sz="0" w:space="0" w:color="auto"/>
                      </w:divBdr>
                      <w:divsChild>
                        <w:div w:id="861167812">
                          <w:marLeft w:val="0"/>
                          <w:marRight w:val="0"/>
                          <w:marTop w:val="0"/>
                          <w:marBottom w:val="0"/>
                          <w:divBdr>
                            <w:top w:val="none" w:sz="0" w:space="0" w:color="auto"/>
                            <w:left w:val="none" w:sz="0" w:space="0" w:color="auto"/>
                            <w:bottom w:val="none" w:sz="0" w:space="0" w:color="auto"/>
                            <w:right w:val="none" w:sz="0" w:space="0" w:color="auto"/>
                          </w:divBdr>
                          <w:divsChild>
                            <w:div w:id="1813792834">
                              <w:marLeft w:val="2700"/>
                              <w:marRight w:val="0"/>
                              <w:marTop w:val="0"/>
                              <w:marBottom w:val="0"/>
                              <w:divBdr>
                                <w:top w:val="none" w:sz="0" w:space="0" w:color="auto"/>
                                <w:left w:val="none" w:sz="0" w:space="0" w:color="auto"/>
                                <w:bottom w:val="none" w:sz="0" w:space="0" w:color="auto"/>
                                <w:right w:val="none" w:sz="0" w:space="0" w:color="auto"/>
                              </w:divBdr>
                              <w:divsChild>
                                <w:div w:id="1816801696">
                                  <w:marLeft w:val="0"/>
                                  <w:marRight w:val="0"/>
                                  <w:marTop w:val="0"/>
                                  <w:marBottom w:val="0"/>
                                  <w:divBdr>
                                    <w:top w:val="none" w:sz="0" w:space="0" w:color="auto"/>
                                    <w:left w:val="none" w:sz="0" w:space="0" w:color="auto"/>
                                    <w:bottom w:val="none" w:sz="0" w:space="0" w:color="auto"/>
                                    <w:right w:val="none" w:sz="0" w:space="0" w:color="auto"/>
                                  </w:divBdr>
                                  <w:divsChild>
                                    <w:div w:id="2032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015127">
      <w:bodyDiv w:val="1"/>
      <w:marLeft w:val="0"/>
      <w:marRight w:val="0"/>
      <w:marTop w:val="0"/>
      <w:marBottom w:val="0"/>
      <w:divBdr>
        <w:top w:val="none" w:sz="0" w:space="0" w:color="auto"/>
        <w:left w:val="none" w:sz="0" w:space="0" w:color="auto"/>
        <w:bottom w:val="none" w:sz="0" w:space="0" w:color="auto"/>
        <w:right w:val="none" w:sz="0" w:space="0" w:color="auto"/>
      </w:divBdr>
      <w:divsChild>
        <w:div w:id="1179781079">
          <w:marLeft w:val="0"/>
          <w:marRight w:val="0"/>
          <w:marTop w:val="0"/>
          <w:marBottom w:val="0"/>
          <w:divBdr>
            <w:top w:val="none" w:sz="0" w:space="0" w:color="auto"/>
            <w:left w:val="none" w:sz="0" w:space="0" w:color="auto"/>
            <w:bottom w:val="none" w:sz="0" w:space="0" w:color="auto"/>
            <w:right w:val="none" w:sz="0" w:space="0" w:color="auto"/>
          </w:divBdr>
          <w:divsChild>
            <w:div w:id="76489482">
              <w:marLeft w:val="1050"/>
              <w:marRight w:val="1050"/>
              <w:marTop w:val="0"/>
              <w:marBottom w:val="0"/>
              <w:divBdr>
                <w:top w:val="none" w:sz="0" w:space="0" w:color="auto"/>
                <w:left w:val="none" w:sz="0" w:space="0" w:color="auto"/>
                <w:bottom w:val="none" w:sz="0" w:space="0" w:color="auto"/>
                <w:right w:val="none" w:sz="0" w:space="0" w:color="auto"/>
              </w:divBdr>
              <w:divsChild>
                <w:div w:id="1987084190">
                  <w:marLeft w:val="0"/>
                  <w:marRight w:val="0"/>
                  <w:marTop w:val="0"/>
                  <w:marBottom w:val="0"/>
                  <w:divBdr>
                    <w:top w:val="none" w:sz="0" w:space="0" w:color="auto"/>
                    <w:left w:val="none" w:sz="0" w:space="0" w:color="auto"/>
                    <w:bottom w:val="none" w:sz="0" w:space="0" w:color="auto"/>
                    <w:right w:val="none" w:sz="0" w:space="0" w:color="auto"/>
                  </w:divBdr>
                  <w:divsChild>
                    <w:div w:id="668140991">
                      <w:marLeft w:val="0"/>
                      <w:marRight w:val="0"/>
                      <w:marTop w:val="0"/>
                      <w:marBottom w:val="0"/>
                      <w:divBdr>
                        <w:top w:val="none" w:sz="0" w:space="0" w:color="auto"/>
                        <w:left w:val="none" w:sz="0" w:space="0" w:color="auto"/>
                        <w:bottom w:val="none" w:sz="0" w:space="0" w:color="auto"/>
                        <w:right w:val="none" w:sz="0" w:space="0" w:color="auto"/>
                      </w:divBdr>
                      <w:divsChild>
                        <w:div w:id="252785495">
                          <w:marLeft w:val="0"/>
                          <w:marRight w:val="0"/>
                          <w:marTop w:val="0"/>
                          <w:marBottom w:val="0"/>
                          <w:divBdr>
                            <w:top w:val="none" w:sz="0" w:space="0" w:color="auto"/>
                            <w:left w:val="none" w:sz="0" w:space="0" w:color="auto"/>
                            <w:bottom w:val="none" w:sz="0" w:space="0" w:color="auto"/>
                            <w:right w:val="none" w:sz="0" w:space="0" w:color="auto"/>
                          </w:divBdr>
                          <w:divsChild>
                            <w:div w:id="908611213">
                              <w:marLeft w:val="150"/>
                              <w:marRight w:val="0"/>
                              <w:marTop w:val="0"/>
                              <w:marBottom w:val="0"/>
                              <w:divBdr>
                                <w:top w:val="none" w:sz="0" w:space="0" w:color="auto"/>
                                <w:left w:val="none" w:sz="0" w:space="0" w:color="auto"/>
                                <w:bottom w:val="none" w:sz="0" w:space="0" w:color="auto"/>
                                <w:right w:val="none" w:sz="0" w:space="0" w:color="auto"/>
                              </w:divBdr>
                              <w:divsChild>
                                <w:div w:id="584610679">
                                  <w:marLeft w:val="0"/>
                                  <w:marRight w:val="0"/>
                                  <w:marTop w:val="0"/>
                                  <w:marBottom w:val="0"/>
                                  <w:divBdr>
                                    <w:top w:val="none" w:sz="0" w:space="0" w:color="auto"/>
                                    <w:left w:val="none" w:sz="0" w:space="0" w:color="auto"/>
                                    <w:bottom w:val="none" w:sz="0" w:space="0" w:color="auto"/>
                                    <w:right w:val="none" w:sz="0" w:space="0" w:color="auto"/>
                                  </w:divBdr>
                                  <w:divsChild>
                                    <w:div w:id="1967395625">
                                      <w:marLeft w:val="0"/>
                                      <w:marRight w:val="0"/>
                                      <w:marTop w:val="0"/>
                                      <w:marBottom w:val="0"/>
                                      <w:divBdr>
                                        <w:top w:val="none" w:sz="0" w:space="0" w:color="auto"/>
                                        <w:left w:val="none" w:sz="0" w:space="0" w:color="auto"/>
                                        <w:bottom w:val="none" w:sz="0" w:space="0" w:color="auto"/>
                                        <w:right w:val="none" w:sz="0" w:space="0" w:color="auto"/>
                                      </w:divBdr>
                                      <w:divsChild>
                                        <w:div w:id="2632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231720">
      <w:bodyDiv w:val="1"/>
      <w:marLeft w:val="0"/>
      <w:marRight w:val="0"/>
      <w:marTop w:val="0"/>
      <w:marBottom w:val="0"/>
      <w:divBdr>
        <w:top w:val="none" w:sz="0" w:space="0" w:color="auto"/>
        <w:left w:val="none" w:sz="0" w:space="0" w:color="auto"/>
        <w:bottom w:val="none" w:sz="0" w:space="0" w:color="auto"/>
        <w:right w:val="none" w:sz="0" w:space="0" w:color="auto"/>
      </w:divBdr>
    </w:div>
    <w:div w:id="1676225210">
      <w:bodyDiv w:val="1"/>
      <w:marLeft w:val="0"/>
      <w:marRight w:val="0"/>
      <w:marTop w:val="0"/>
      <w:marBottom w:val="0"/>
      <w:divBdr>
        <w:top w:val="none" w:sz="0" w:space="0" w:color="auto"/>
        <w:left w:val="none" w:sz="0" w:space="0" w:color="auto"/>
        <w:bottom w:val="none" w:sz="0" w:space="0" w:color="auto"/>
        <w:right w:val="none" w:sz="0" w:space="0" w:color="auto"/>
      </w:divBdr>
    </w:div>
    <w:div w:id="1769160320">
      <w:bodyDiv w:val="1"/>
      <w:marLeft w:val="0"/>
      <w:marRight w:val="0"/>
      <w:marTop w:val="0"/>
      <w:marBottom w:val="0"/>
      <w:divBdr>
        <w:top w:val="none" w:sz="0" w:space="0" w:color="auto"/>
        <w:left w:val="none" w:sz="0" w:space="0" w:color="auto"/>
        <w:bottom w:val="none" w:sz="0" w:space="0" w:color="auto"/>
        <w:right w:val="none" w:sz="0" w:space="0" w:color="auto"/>
      </w:divBdr>
    </w:div>
    <w:div w:id="1844777517">
      <w:bodyDiv w:val="1"/>
      <w:marLeft w:val="0"/>
      <w:marRight w:val="0"/>
      <w:marTop w:val="0"/>
      <w:marBottom w:val="0"/>
      <w:divBdr>
        <w:top w:val="none" w:sz="0" w:space="0" w:color="auto"/>
        <w:left w:val="none" w:sz="0" w:space="0" w:color="auto"/>
        <w:bottom w:val="none" w:sz="0" w:space="0" w:color="auto"/>
        <w:right w:val="none" w:sz="0" w:space="0" w:color="auto"/>
      </w:divBdr>
      <w:divsChild>
        <w:div w:id="207305368">
          <w:marLeft w:val="0"/>
          <w:marRight w:val="0"/>
          <w:marTop w:val="0"/>
          <w:marBottom w:val="0"/>
          <w:divBdr>
            <w:top w:val="none" w:sz="0" w:space="0" w:color="auto"/>
            <w:left w:val="none" w:sz="0" w:space="0" w:color="auto"/>
            <w:bottom w:val="none" w:sz="0" w:space="0" w:color="auto"/>
            <w:right w:val="none" w:sz="0" w:space="0" w:color="auto"/>
          </w:divBdr>
          <w:divsChild>
            <w:div w:id="346756465">
              <w:marLeft w:val="1050"/>
              <w:marRight w:val="1050"/>
              <w:marTop w:val="0"/>
              <w:marBottom w:val="0"/>
              <w:divBdr>
                <w:top w:val="none" w:sz="0" w:space="0" w:color="auto"/>
                <w:left w:val="none" w:sz="0" w:space="0" w:color="auto"/>
                <w:bottom w:val="none" w:sz="0" w:space="0" w:color="auto"/>
                <w:right w:val="none" w:sz="0" w:space="0" w:color="auto"/>
              </w:divBdr>
              <w:divsChild>
                <w:div w:id="382103727">
                  <w:marLeft w:val="0"/>
                  <w:marRight w:val="0"/>
                  <w:marTop w:val="0"/>
                  <w:marBottom w:val="0"/>
                  <w:divBdr>
                    <w:top w:val="none" w:sz="0" w:space="0" w:color="auto"/>
                    <w:left w:val="none" w:sz="0" w:space="0" w:color="auto"/>
                    <w:bottom w:val="none" w:sz="0" w:space="0" w:color="auto"/>
                    <w:right w:val="none" w:sz="0" w:space="0" w:color="auto"/>
                  </w:divBdr>
                  <w:divsChild>
                    <w:div w:id="2036273030">
                      <w:marLeft w:val="0"/>
                      <w:marRight w:val="0"/>
                      <w:marTop w:val="0"/>
                      <w:marBottom w:val="0"/>
                      <w:divBdr>
                        <w:top w:val="none" w:sz="0" w:space="0" w:color="auto"/>
                        <w:left w:val="none" w:sz="0" w:space="0" w:color="auto"/>
                        <w:bottom w:val="none" w:sz="0" w:space="0" w:color="auto"/>
                        <w:right w:val="none" w:sz="0" w:space="0" w:color="auto"/>
                      </w:divBdr>
                      <w:divsChild>
                        <w:div w:id="159077912">
                          <w:marLeft w:val="0"/>
                          <w:marRight w:val="0"/>
                          <w:marTop w:val="0"/>
                          <w:marBottom w:val="0"/>
                          <w:divBdr>
                            <w:top w:val="none" w:sz="0" w:space="0" w:color="auto"/>
                            <w:left w:val="none" w:sz="0" w:space="0" w:color="auto"/>
                            <w:bottom w:val="none" w:sz="0" w:space="0" w:color="auto"/>
                            <w:right w:val="none" w:sz="0" w:space="0" w:color="auto"/>
                          </w:divBdr>
                          <w:divsChild>
                            <w:div w:id="1097403063">
                              <w:marLeft w:val="2700"/>
                              <w:marRight w:val="0"/>
                              <w:marTop w:val="0"/>
                              <w:marBottom w:val="0"/>
                              <w:divBdr>
                                <w:top w:val="none" w:sz="0" w:space="0" w:color="auto"/>
                                <w:left w:val="none" w:sz="0" w:space="0" w:color="auto"/>
                                <w:bottom w:val="none" w:sz="0" w:space="0" w:color="auto"/>
                                <w:right w:val="none" w:sz="0" w:space="0" w:color="auto"/>
                              </w:divBdr>
                              <w:divsChild>
                                <w:div w:id="680205989">
                                  <w:marLeft w:val="0"/>
                                  <w:marRight w:val="0"/>
                                  <w:marTop w:val="0"/>
                                  <w:marBottom w:val="0"/>
                                  <w:divBdr>
                                    <w:top w:val="none" w:sz="0" w:space="0" w:color="auto"/>
                                    <w:left w:val="none" w:sz="0" w:space="0" w:color="auto"/>
                                    <w:bottom w:val="none" w:sz="0" w:space="0" w:color="auto"/>
                                    <w:right w:val="none" w:sz="0" w:space="0" w:color="auto"/>
                                  </w:divBdr>
                                  <w:divsChild>
                                    <w:div w:id="14895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743571">
      <w:bodyDiv w:val="1"/>
      <w:marLeft w:val="0"/>
      <w:marRight w:val="0"/>
      <w:marTop w:val="0"/>
      <w:marBottom w:val="0"/>
      <w:divBdr>
        <w:top w:val="none" w:sz="0" w:space="0" w:color="auto"/>
        <w:left w:val="none" w:sz="0" w:space="0" w:color="auto"/>
        <w:bottom w:val="none" w:sz="0" w:space="0" w:color="auto"/>
        <w:right w:val="none" w:sz="0" w:space="0" w:color="auto"/>
      </w:divBdr>
    </w:div>
    <w:div w:id="1965576061">
      <w:bodyDiv w:val="1"/>
      <w:marLeft w:val="0"/>
      <w:marRight w:val="0"/>
      <w:marTop w:val="0"/>
      <w:marBottom w:val="0"/>
      <w:divBdr>
        <w:top w:val="none" w:sz="0" w:space="0" w:color="auto"/>
        <w:left w:val="none" w:sz="0" w:space="0" w:color="auto"/>
        <w:bottom w:val="none" w:sz="0" w:space="0" w:color="auto"/>
        <w:right w:val="none" w:sz="0" w:space="0" w:color="auto"/>
      </w:divBdr>
    </w:div>
    <w:div w:id="1992639257">
      <w:bodyDiv w:val="1"/>
      <w:marLeft w:val="0"/>
      <w:marRight w:val="0"/>
      <w:marTop w:val="0"/>
      <w:marBottom w:val="0"/>
      <w:divBdr>
        <w:top w:val="none" w:sz="0" w:space="0" w:color="auto"/>
        <w:left w:val="none" w:sz="0" w:space="0" w:color="auto"/>
        <w:bottom w:val="none" w:sz="0" w:space="0" w:color="auto"/>
        <w:right w:val="none" w:sz="0" w:space="0" w:color="auto"/>
      </w:divBdr>
    </w:div>
    <w:div w:id="2038769772">
      <w:bodyDiv w:val="1"/>
      <w:marLeft w:val="0"/>
      <w:marRight w:val="0"/>
      <w:marTop w:val="0"/>
      <w:marBottom w:val="0"/>
      <w:divBdr>
        <w:top w:val="none" w:sz="0" w:space="0" w:color="auto"/>
        <w:left w:val="none" w:sz="0" w:space="0" w:color="auto"/>
        <w:bottom w:val="none" w:sz="0" w:space="0" w:color="auto"/>
        <w:right w:val="none" w:sz="0" w:space="0" w:color="auto"/>
      </w:divBdr>
      <w:divsChild>
        <w:div w:id="1558738648">
          <w:marLeft w:val="0"/>
          <w:marRight w:val="0"/>
          <w:marTop w:val="0"/>
          <w:marBottom w:val="0"/>
          <w:divBdr>
            <w:top w:val="none" w:sz="0" w:space="0" w:color="auto"/>
            <w:left w:val="none" w:sz="0" w:space="0" w:color="auto"/>
            <w:bottom w:val="none" w:sz="0" w:space="0" w:color="auto"/>
            <w:right w:val="none" w:sz="0" w:space="0" w:color="auto"/>
          </w:divBdr>
          <w:divsChild>
            <w:div w:id="693045331">
              <w:marLeft w:val="0"/>
              <w:marRight w:val="0"/>
              <w:marTop w:val="0"/>
              <w:marBottom w:val="0"/>
              <w:divBdr>
                <w:top w:val="none" w:sz="0" w:space="0" w:color="auto"/>
                <w:left w:val="none" w:sz="0" w:space="0" w:color="auto"/>
                <w:bottom w:val="none" w:sz="0" w:space="0" w:color="auto"/>
                <w:right w:val="none" w:sz="0" w:space="0" w:color="auto"/>
              </w:divBdr>
              <w:divsChild>
                <w:div w:id="1256014670">
                  <w:marLeft w:val="0"/>
                  <w:marRight w:val="0"/>
                  <w:marTop w:val="0"/>
                  <w:marBottom w:val="0"/>
                  <w:divBdr>
                    <w:top w:val="none" w:sz="0" w:space="0" w:color="auto"/>
                    <w:left w:val="none" w:sz="0" w:space="0" w:color="auto"/>
                    <w:bottom w:val="none" w:sz="0" w:space="0" w:color="auto"/>
                    <w:right w:val="none" w:sz="0" w:space="0" w:color="auto"/>
                  </w:divBdr>
                  <w:divsChild>
                    <w:div w:id="1981878268">
                      <w:marLeft w:val="0"/>
                      <w:marRight w:val="0"/>
                      <w:marTop w:val="0"/>
                      <w:marBottom w:val="0"/>
                      <w:divBdr>
                        <w:top w:val="none" w:sz="0" w:space="0" w:color="auto"/>
                        <w:left w:val="none" w:sz="0" w:space="0" w:color="auto"/>
                        <w:bottom w:val="none" w:sz="0" w:space="0" w:color="auto"/>
                        <w:right w:val="none" w:sz="0" w:space="0" w:color="auto"/>
                      </w:divBdr>
                      <w:divsChild>
                        <w:div w:id="1166672609">
                          <w:marLeft w:val="0"/>
                          <w:marRight w:val="0"/>
                          <w:marTop w:val="0"/>
                          <w:marBottom w:val="0"/>
                          <w:divBdr>
                            <w:top w:val="none" w:sz="0" w:space="0" w:color="auto"/>
                            <w:left w:val="none" w:sz="0" w:space="0" w:color="auto"/>
                            <w:bottom w:val="none" w:sz="0" w:space="0" w:color="auto"/>
                            <w:right w:val="none" w:sz="0" w:space="0" w:color="auto"/>
                          </w:divBdr>
                          <w:divsChild>
                            <w:div w:id="17339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429933">
      <w:bodyDiv w:val="1"/>
      <w:marLeft w:val="0"/>
      <w:marRight w:val="0"/>
      <w:marTop w:val="0"/>
      <w:marBottom w:val="0"/>
      <w:divBdr>
        <w:top w:val="none" w:sz="0" w:space="0" w:color="auto"/>
        <w:left w:val="none" w:sz="0" w:space="0" w:color="auto"/>
        <w:bottom w:val="none" w:sz="0" w:space="0" w:color="auto"/>
        <w:right w:val="none" w:sz="0" w:space="0" w:color="auto"/>
      </w:divBdr>
    </w:div>
    <w:div w:id="2081783662">
      <w:bodyDiv w:val="1"/>
      <w:marLeft w:val="0"/>
      <w:marRight w:val="0"/>
      <w:marTop w:val="0"/>
      <w:marBottom w:val="0"/>
      <w:divBdr>
        <w:top w:val="none" w:sz="0" w:space="0" w:color="auto"/>
        <w:left w:val="none" w:sz="0" w:space="0" w:color="auto"/>
        <w:bottom w:val="none" w:sz="0" w:space="0" w:color="auto"/>
        <w:right w:val="none" w:sz="0" w:space="0" w:color="auto"/>
      </w:divBdr>
      <w:divsChild>
        <w:div w:id="1998878228">
          <w:marLeft w:val="0"/>
          <w:marRight w:val="0"/>
          <w:marTop w:val="0"/>
          <w:marBottom w:val="0"/>
          <w:divBdr>
            <w:top w:val="none" w:sz="0" w:space="0" w:color="auto"/>
            <w:left w:val="none" w:sz="0" w:space="0" w:color="auto"/>
            <w:bottom w:val="single" w:sz="8" w:space="0" w:color="FFFFFF"/>
            <w:right w:val="none" w:sz="0" w:space="0" w:color="auto"/>
          </w:divBdr>
          <w:divsChild>
            <w:div w:id="587930806">
              <w:marLeft w:val="0"/>
              <w:marRight w:val="0"/>
              <w:marTop w:val="0"/>
              <w:marBottom w:val="0"/>
              <w:divBdr>
                <w:top w:val="none" w:sz="0" w:space="0" w:color="auto"/>
                <w:left w:val="none" w:sz="0" w:space="0" w:color="auto"/>
                <w:bottom w:val="none" w:sz="0" w:space="0" w:color="auto"/>
                <w:right w:val="none" w:sz="0" w:space="0" w:color="auto"/>
              </w:divBdr>
              <w:divsChild>
                <w:div w:id="1084185774">
                  <w:marLeft w:val="0"/>
                  <w:marRight w:val="0"/>
                  <w:marTop w:val="0"/>
                  <w:marBottom w:val="0"/>
                  <w:divBdr>
                    <w:top w:val="none" w:sz="0" w:space="0" w:color="auto"/>
                    <w:left w:val="none" w:sz="0" w:space="0" w:color="auto"/>
                    <w:bottom w:val="none" w:sz="0" w:space="0" w:color="auto"/>
                    <w:right w:val="none" w:sz="0" w:space="0" w:color="auto"/>
                  </w:divBdr>
                  <w:divsChild>
                    <w:div w:id="309678244">
                      <w:marLeft w:val="0"/>
                      <w:marRight w:val="0"/>
                      <w:marTop w:val="0"/>
                      <w:marBottom w:val="0"/>
                      <w:divBdr>
                        <w:top w:val="none" w:sz="0" w:space="0" w:color="auto"/>
                        <w:left w:val="none" w:sz="0" w:space="0" w:color="auto"/>
                        <w:bottom w:val="none" w:sz="0" w:space="0" w:color="auto"/>
                        <w:right w:val="none" w:sz="0" w:space="0" w:color="auto"/>
                      </w:divBdr>
                      <w:divsChild>
                        <w:div w:id="369765339">
                          <w:marLeft w:val="0"/>
                          <w:marRight w:val="0"/>
                          <w:marTop w:val="0"/>
                          <w:marBottom w:val="0"/>
                          <w:divBdr>
                            <w:top w:val="none" w:sz="0" w:space="0" w:color="auto"/>
                            <w:left w:val="none" w:sz="0" w:space="0" w:color="auto"/>
                            <w:bottom w:val="none" w:sz="0" w:space="0" w:color="auto"/>
                            <w:right w:val="none" w:sz="0" w:space="0" w:color="auto"/>
                          </w:divBdr>
                          <w:divsChild>
                            <w:div w:id="14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Katharina.winbeck@londoncounci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4A2E4-F6DF-4AB0-8F16-9D50EE20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834</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London Councils Housing Forum Executive Meeting</vt:lpstr>
    </vt:vector>
  </TitlesOfParts>
  <Company>Association Of London Government</Company>
  <LinksUpToDate>false</LinksUpToDate>
  <CharactersWithSpaces>5698</CharactersWithSpaces>
  <SharedDoc>false</SharedDoc>
  <HLinks>
    <vt:vector size="30" baseType="variant">
      <vt:variant>
        <vt:i4>7929914</vt:i4>
      </vt:variant>
      <vt:variant>
        <vt:i4>12</vt:i4>
      </vt:variant>
      <vt:variant>
        <vt:i4>0</vt:i4>
      </vt:variant>
      <vt:variant>
        <vt:i4>5</vt:i4>
      </vt:variant>
      <vt:variant>
        <vt:lpwstr>http://www.london.gov.uk/moderngov/documents/s25080/Work Programme.pdf</vt:lpwstr>
      </vt:variant>
      <vt:variant>
        <vt:lpwstr/>
      </vt:variant>
      <vt:variant>
        <vt:i4>3735653</vt:i4>
      </vt:variant>
      <vt:variant>
        <vt:i4>9</vt:i4>
      </vt:variant>
      <vt:variant>
        <vt:i4>0</vt:i4>
      </vt:variant>
      <vt:variant>
        <vt:i4>5</vt:i4>
      </vt:variant>
      <vt:variant>
        <vt:lpwstr>http://www.londoncouncils.gov.uk/policylobbying/transport/aviation/nightflyingrestrictions.htm</vt:lpwstr>
      </vt:variant>
      <vt:variant>
        <vt:lpwstr/>
      </vt:variant>
      <vt:variant>
        <vt:i4>262209</vt:i4>
      </vt:variant>
      <vt:variant>
        <vt:i4>6</vt:i4>
      </vt:variant>
      <vt:variant>
        <vt:i4>0</vt:i4>
      </vt:variant>
      <vt:variant>
        <vt:i4>5</vt:i4>
      </vt:variant>
      <vt:variant>
        <vt:lpwstr>http://www.londoncouncils.gov.uk/policylobbying/transport/aviation/aviationshortmediumoptions.htm</vt:lpwstr>
      </vt:variant>
      <vt:variant>
        <vt:lpwstr/>
      </vt:variant>
      <vt:variant>
        <vt:i4>1835083</vt:i4>
      </vt:variant>
      <vt:variant>
        <vt:i4>3</vt:i4>
      </vt:variant>
      <vt:variant>
        <vt:i4>0</vt:i4>
      </vt:variant>
      <vt:variant>
        <vt:i4>5</vt:i4>
      </vt:variant>
      <vt:variant>
        <vt:lpwstr>http://www.londoncouncils.gov.uk/policylobbying/transport/aviation/criteriaairportscommission.htm</vt:lpwstr>
      </vt:variant>
      <vt:variant>
        <vt:lpwstr/>
      </vt:variant>
      <vt:variant>
        <vt:i4>4718594</vt:i4>
      </vt:variant>
      <vt:variant>
        <vt:i4>0</vt:i4>
      </vt:variant>
      <vt:variant>
        <vt:i4>0</vt:i4>
      </vt:variant>
      <vt:variant>
        <vt:i4>5</vt:i4>
      </vt:variant>
      <vt:variant>
        <vt:lpwstr>http://www.londoncouncils.gov.uk/policylobbying/environment/waste/wasteprevention.htm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Councils Housing Forum Executive Meeting</dc:title>
  <dc:creator>Philip Clifford</dc:creator>
  <cp:lastModifiedBy>Alan Edwards</cp:lastModifiedBy>
  <cp:revision>5</cp:revision>
  <cp:lastPrinted>2014-12-01T10:17:00Z</cp:lastPrinted>
  <dcterms:created xsi:type="dcterms:W3CDTF">2014-12-01T10:05:00Z</dcterms:created>
  <dcterms:modified xsi:type="dcterms:W3CDTF">2014-12-01T10:27:00Z</dcterms:modified>
</cp:coreProperties>
</file>