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Tr="00AC4090">
        <w:trPr>
          <w:cantSplit/>
          <w:trHeight w:val="624"/>
        </w:trPr>
        <w:sdt>
          <w:sdtPr>
            <w:id w:val="-360744209"/>
            <w:placeholder>
              <w:docPart w:val="8F69A48DCF1345CF9F44A89FFF6C7D27"/>
            </w:placeholder>
            <w:date w:fullDate="2016-11-02T00:00:00Z">
              <w:dateFormat w:val="dddd dd MMMM yyyy"/>
              <w:lid w:val="en-GB"/>
              <w:storeMappedDataAs w:val="dateTime"/>
              <w:calendar w:val="gregorian"/>
            </w:date>
          </w:sdtPr>
          <w:sdtContent>
            <w:tc>
              <w:tcPr>
                <w:tcW w:w="10148" w:type="dxa"/>
                <w:shd w:val="clear" w:color="auto" w:fill="522380" w:themeFill="accent1"/>
                <w:vAlign w:val="bottom"/>
              </w:tcPr>
              <w:p w:rsidR="00AC4090" w:rsidRPr="00514B1B" w:rsidRDefault="003B7DF7" w:rsidP="00B75D51">
                <w:pPr>
                  <w:pStyle w:val="DocDate"/>
                </w:pPr>
                <w:r>
                  <w:t>Wednesday 02 November 2016</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Tr="00514B1B">
        <w:trPr>
          <w:cantSplit/>
          <w:trHeight w:hRule="exact" w:val="709"/>
        </w:trPr>
        <w:tc>
          <w:tcPr>
            <w:tcW w:w="397" w:type="dxa"/>
            <w:tcBorders>
              <w:bottom w:val="single" w:sz="48" w:space="0" w:color="522380" w:themeColor="accent1"/>
            </w:tcBorders>
            <w:tcMar>
              <w:bottom w:w="425" w:type="dxa"/>
            </w:tcMar>
          </w:tcPr>
          <w:p w:rsidR="00EB21F3" w:rsidRPr="00F114E9" w:rsidRDefault="00FD093E" w:rsidP="00514B1B">
            <w:pPr>
              <w:pStyle w:val="Draft"/>
            </w:pPr>
            <w:r>
              <w:rPr>
                <w:noProof/>
                <w:lang w:eastAsia="en-GB"/>
              </w:rPr>
              <mc:AlternateContent>
                <mc:Choice Requires="wps">
                  <w:drawing>
                    <wp:inline distT="0" distB="0" distL="0" distR="0" wp14:anchorId="50DD24A3" wp14:editId="4ED35E33">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rsidR="00EB21F3" w:rsidRPr="00F114E9" w:rsidRDefault="00D85BBF" w:rsidP="00514B1B">
            <w:pPr>
              <w:pStyle w:val="DocType"/>
              <w:framePr w:hSpace="0" w:wrap="auto" w:vAnchor="margin" w:yAlign="inline"/>
              <w:suppressOverlap w:val="0"/>
            </w:pPr>
            <w:r>
              <w:t>Briefing</w:t>
            </w:r>
          </w:p>
        </w:tc>
      </w:tr>
      <w:tr w:rsidR="00EB21F3"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rsidR="00EB21F3" w:rsidRPr="00EB21F3" w:rsidRDefault="00B84B8B" w:rsidP="00514B1B">
            <w:pPr>
              <w:pStyle w:val="GraphicLeft"/>
            </w:pPr>
            <w:r>
              <w:rPr>
                <w:noProof/>
                <w:lang w:eastAsia="en-GB"/>
              </w:rPr>
              <mc:AlternateContent>
                <mc:Choice Requires="wps">
                  <w:drawing>
                    <wp:inline distT="0" distB="0" distL="0" distR="0" wp14:anchorId="1DD1B454" wp14:editId="10FFC047">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rsidR="00514B1B" w:rsidRPr="00EB21F3" w:rsidRDefault="00ED0A5B" w:rsidP="00D020FC">
            <w:pPr>
              <w:pStyle w:val="DocTitle"/>
            </w:pPr>
            <w:r>
              <w:t xml:space="preserve">Apprenticeship Levy: </w:t>
            </w:r>
            <w:r w:rsidR="00D020FC">
              <w:t>Update on Final Funding Policy</w:t>
            </w:r>
          </w:p>
        </w:tc>
      </w:tr>
    </w:tbl>
    <w:p w:rsidR="00D020FC" w:rsidRDefault="00D020FC" w:rsidP="00391134">
      <w:pPr>
        <w:spacing w:after="200" w:line="276" w:lineRule="auto"/>
        <w:rPr>
          <w:rFonts w:ascii="Arial" w:hAnsi="Arial"/>
        </w:rPr>
      </w:pPr>
    </w:p>
    <w:p w:rsidR="00D020FC" w:rsidRPr="00D020FC" w:rsidRDefault="00D020FC" w:rsidP="00391134">
      <w:pPr>
        <w:spacing w:after="200" w:line="276" w:lineRule="auto"/>
        <w:rPr>
          <w:rFonts w:ascii="Arial" w:hAnsi="Arial"/>
          <w:sz w:val="22"/>
          <w:szCs w:val="22"/>
        </w:rPr>
      </w:pPr>
      <w:r w:rsidRPr="00D020FC">
        <w:rPr>
          <w:rFonts w:ascii="Arial" w:hAnsi="Arial"/>
          <w:sz w:val="22"/>
          <w:szCs w:val="22"/>
        </w:rPr>
        <w:t xml:space="preserve">On Tuesday 25 October 2016, the government published their </w:t>
      </w:r>
      <w:r>
        <w:rPr>
          <w:rFonts w:ascii="Arial" w:hAnsi="Arial"/>
          <w:sz w:val="22"/>
          <w:szCs w:val="22"/>
        </w:rPr>
        <w:t xml:space="preserve">final funding policy for </w:t>
      </w:r>
      <w:r w:rsidRPr="00D020FC">
        <w:rPr>
          <w:rFonts w:ascii="Arial" w:hAnsi="Arial"/>
          <w:sz w:val="22"/>
          <w:szCs w:val="22"/>
        </w:rPr>
        <w:t>the Apprenticeship levy. This was a follow-up to th</w:t>
      </w:r>
      <w:r>
        <w:rPr>
          <w:rFonts w:ascii="Arial" w:hAnsi="Arial"/>
          <w:sz w:val="22"/>
          <w:szCs w:val="22"/>
        </w:rPr>
        <w:t>e guidance published in August for consultation</w:t>
      </w:r>
      <w:r w:rsidRPr="00D020FC">
        <w:rPr>
          <w:rFonts w:ascii="Arial" w:hAnsi="Arial"/>
          <w:sz w:val="22"/>
          <w:szCs w:val="22"/>
        </w:rPr>
        <w:t xml:space="preserve">. The </w:t>
      </w:r>
      <w:r>
        <w:rPr>
          <w:rFonts w:ascii="Arial" w:hAnsi="Arial"/>
          <w:sz w:val="22"/>
          <w:szCs w:val="22"/>
        </w:rPr>
        <w:t>final funding policy</w:t>
      </w:r>
      <w:r w:rsidRPr="00D020FC">
        <w:rPr>
          <w:rFonts w:ascii="Arial" w:hAnsi="Arial"/>
          <w:sz w:val="22"/>
          <w:szCs w:val="22"/>
        </w:rPr>
        <w:t xml:space="preserve"> addresses a number of the concerns raised during the consultation process and confirms how the government intends to proceed.</w:t>
      </w:r>
    </w:p>
    <w:p w:rsidR="00D020FC" w:rsidRPr="00D020FC" w:rsidRDefault="00D020FC" w:rsidP="00391134">
      <w:pPr>
        <w:spacing w:after="200" w:line="276" w:lineRule="auto"/>
        <w:rPr>
          <w:rFonts w:ascii="Arial" w:hAnsi="Arial"/>
          <w:b/>
          <w:sz w:val="22"/>
          <w:szCs w:val="22"/>
        </w:rPr>
      </w:pPr>
      <w:r w:rsidRPr="00D020FC">
        <w:rPr>
          <w:rFonts w:ascii="Arial" w:hAnsi="Arial"/>
          <w:b/>
          <w:sz w:val="22"/>
          <w:szCs w:val="22"/>
        </w:rPr>
        <w:t>Funding for younger apprenticeships</w:t>
      </w:r>
    </w:p>
    <w:p w:rsidR="00D020FC" w:rsidRPr="00D020FC" w:rsidRDefault="00D020FC" w:rsidP="00391134">
      <w:pPr>
        <w:spacing w:after="200" w:line="276" w:lineRule="auto"/>
        <w:rPr>
          <w:rFonts w:ascii="Arial" w:hAnsi="Arial"/>
          <w:sz w:val="22"/>
          <w:szCs w:val="22"/>
        </w:rPr>
      </w:pPr>
      <w:r w:rsidRPr="00D020FC">
        <w:rPr>
          <w:rFonts w:ascii="Arial" w:hAnsi="Arial"/>
          <w:sz w:val="22"/>
          <w:szCs w:val="22"/>
        </w:rPr>
        <w:t xml:space="preserve">The government has confirmed that in addition to the price that the employer and provider agree for training 16-18 year olds on a framework, the provider will also receive an additional payment from government. This will be equivalent to 20% of the funding band maximum for that framework (so in </w:t>
      </w:r>
      <w:r>
        <w:rPr>
          <w:rFonts w:ascii="Arial" w:hAnsi="Arial"/>
          <w:sz w:val="22"/>
          <w:szCs w:val="22"/>
        </w:rPr>
        <w:t>B</w:t>
      </w:r>
      <w:r w:rsidRPr="00D020FC">
        <w:rPr>
          <w:rFonts w:ascii="Arial" w:hAnsi="Arial"/>
          <w:sz w:val="22"/>
          <w:szCs w:val="22"/>
        </w:rPr>
        <w:t>and 1, for example, where the upper limit is £1,500, t</w:t>
      </w:r>
      <w:bookmarkStart w:id="0" w:name="_GoBack"/>
      <w:bookmarkEnd w:id="0"/>
      <w:r w:rsidRPr="00D020FC">
        <w:rPr>
          <w:rFonts w:ascii="Arial" w:hAnsi="Arial"/>
          <w:sz w:val="22"/>
          <w:szCs w:val="22"/>
        </w:rPr>
        <w:t>he provider would receive an additional payment of £300). This is intended as a transitional measure and will be kept under review.</w:t>
      </w:r>
    </w:p>
    <w:p w:rsidR="00D020FC" w:rsidRPr="00D020FC" w:rsidRDefault="00D020FC" w:rsidP="00391134">
      <w:pPr>
        <w:spacing w:after="200" w:line="276" w:lineRule="auto"/>
        <w:rPr>
          <w:rFonts w:ascii="Arial" w:hAnsi="Arial"/>
          <w:sz w:val="22"/>
          <w:szCs w:val="22"/>
        </w:rPr>
      </w:pPr>
      <w:r w:rsidRPr="00D020FC">
        <w:rPr>
          <w:rFonts w:ascii="Arial" w:hAnsi="Arial"/>
          <w:sz w:val="22"/>
          <w:szCs w:val="22"/>
        </w:rPr>
        <w:t xml:space="preserve">The government has </w:t>
      </w:r>
      <w:r>
        <w:rPr>
          <w:rFonts w:ascii="Arial" w:hAnsi="Arial"/>
          <w:sz w:val="22"/>
          <w:szCs w:val="22"/>
        </w:rPr>
        <w:t xml:space="preserve">confirmed that </w:t>
      </w:r>
      <w:r w:rsidR="001C1EE5">
        <w:rPr>
          <w:rFonts w:ascii="Arial" w:hAnsi="Arial"/>
          <w:sz w:val="22"/>
          <w:szCs w:val="22"/>
        </w:rPr>
        <w:t>it will introduce</w:t>
      </w:r>
      <w:r w:rsidRPr="00D020FC">
        <w:rPr>
          <w:rFonts w:ascii="Arial" w:hAnsi="Arial"/>
          <w:sz w:val="22"/>
          <w:szCs w:val="22"/>
        </w:rPr>
        <w:t xml:space="preserve"> £1,000 payments to both employers and providers for taking on a 16-18 year old on an apprenticeship framework or standard, as well as 19-24 year-olds who were formerly in care or who have an Education and Health Care plan.</w:t>
      </w:r>
    </w:p>
    <w:p w:rsidR="00D020FC" w:rsidRPr="00D020FC" w:rsidRDefault="00D020FC" w:rsidP="00391134">
      <w:pPr>
        <w:spacing w:after="200" w:line="276" w:lineRule="auto"/>
        <w:rPr>
          <w:rFonts w:ascii="Arial" w:hAnsi="Arial"/>
          <w:b/>
          <w:color w:val="000000"/>
          <w:sz w:val="22"/>
          <w:szCs w:val="22"/>
        </w:rPr>
      </w:pPr>
      <w:r w:rsidRPr="00D020FC">
        <w:rPr>
          <w:rFonts w:ascii="Arial" w:hAnsi="Arial"/>
          <w:b/>
          <w:color w:val="000000"/>
          <w:sz w:val="22"/>
          <w:szCs w:val="22"/>
        </w:rPr>
        <w:t>Area Cost Adjustment</w:t>
      </w:r>
    </w:p>
    <w:p w:rsidR="00D020FC" w:rsidRPr="00D020FC" w:rsidRDefault="00D020FC" w:rsidP="00391134">
      <w:pPr>
        <w:spacing w:after="200" w:line="276" w:lineRule="auto"/>
        <w:rPr>
          <w:rFonts w:ascii="Arial" w:hAnsi="Arial"/>
          <w:sz w:val="22"/>
          <w:szCs w:val="22"/>
        </w:rPr>
      </w:pPr>
      <w:r w:rsidRPr="00D020FC">
        <w:rPr>
          <w:rFonts w:ascii="Arial" w:hAnsi="Arial"/>
          <w:sz w:val="22"/>
          <w:szCs w:val="22"/>
        </w:rPr>
        <w:t>The government’s final funding policy confirms the removal of the Area Cost Adjustment previously available for London and the South East</w:t>
      </w:r>
      <w:r>
        <w:rPr>
          <w:rFonts w:ascii="Arial" w:hAnsi="Arial"/>
          <w:sz w:val="22"/>
          <w:szCs w:val="22"/>
        </w:rPr>
        <w:t>. This had been provided</w:t>
      </w:r>
      <w:r w:rsidRPr="00D020FC">
        <w:rPr>
          <w:rFonts w:ascii="Arial" w:hAnsi="Arial"/>
          <w:sz w:val="22"/>
          <w:szCs w:val="22"/>
        </w:rPr>
        <w:t xml:space="preserve"> in recognition that the cost of delivering an apprenticeship in London is higher than in other parts of the UK. </w:t>
      </w:r>
      <w:r>
        <w:rPr>
          <w:rFonts w:ascii="Arial" w:hAnsi="Arial"/>
          <w:sz w:val="22"/>
          <w:szCs w:val="22"/>
        </w:rPr>
        <w:t>Despite more positive changes to the funding policy elsewhere, this change is still likely to have a negative effect in London.</w:t>
      </w:r>
    </w:p>
    <w:p w:rsidR="00D020FC" w:rsidRPr="00D020FC" w:rsidRDefault="00D020FC" w:rsidP="00391134">
      <w:pPr>
        <w:spacing w:after="200" w:line="276" w:lineRule="auto"/>
        <w:rPr>
          <w:rFonts w:ascii="Arial" w:hAnsi="Arial"/>
          <w:b/>
          <w:sz w:val="22"/>
          <w:szCs w:val="22"/>
        </w:rPr>
      </w:pPr>
      <w:r w:rsidRPr="00D020FC">
        <w:rPr>
          <w:rFonts w:ascii="Arial" w:hAnsi="Arial"/>
          <w:b/>
          <w:sz w:val="22"/>
          <w:szCs w:val="22"/>
        </w:rPr>
        <w:t>Disadvantage Uplift</w:t>
      </w:r>
    </w:p>
    <w:p w:rsidR="00D020FC" w:rsidRPr="00D020FC" w:rsidRDefault="00D020FC" w:rsidP="00391134">
      <w:pPr>
        <w:spacing w:after="200" w:line="276" w:lineRule="auto"/>
        <w:rPr>
          <w:rFonts w:ascii="Arial" w:hAnsi="Arial"/>
          <w:sz w:val="22"/>
          <w:szCs w:val="22"/>
        </w:rPr>
      </w:pPr>
      <w:r>
        <w:rPr>
          <w:rFonts w:ascii="Arial" w:hAnsi="Arial"/>
          <w:sz w:val="22"/>
          <w:szCs w:val="22"/>
        </w:rPr>
        <w:t>The disadvantage uplift</w:t>
      </w:r>
      <w:r w:rsidRPr="00D020FC">
        <w:rPr>
          <w:rFonts w:ascii="Arial" w:hAnsi="Arial"/>
          <w:sz w:val="22"/>
          <w:szCs w:val="22"/>
        </w:rPr>
        <w:t xml:space="preserve"> was also removed in the government’s original proposals. In the revised guidance, the government has announced that they will retain a simplified version of the current system and provide at least the same level of funding to support those from disadvantaged areas. Providers will receive an additional £600 for training for an apprentice who lives in the top 10% of deprived areas (as per the Index of Multiple Deprivation), £300 for apprentices who live in the next 10% most deprived areas (the 10% - 20% range) and £200 for those in the next 7% (the 20-27% range).</w:t>
      </w:r>
      <w:r w:rsidRPr="00D020FC">
        <w:rPr>
          <w:rFonts w:ascii="Arial" w:hAnsi="Arial"/>
          <w:color w:val="000000"/>
          <w:sz w:val="22"/>
          <w:szCs w:val="22"/>
        </w:rPr>
        <w:t xml:space="preserve"> These payments will come direct from the government and will not be deducted from an employer’s digital account.</w:t>
      </w:r>
      <w:r w:rsidR="003B7DF7">
        <w:rPr>
          <w:rFonts w:ascii="Arial" w:hAnsi="Arial"/>
          <w:color w:val="000000"/>
          <w:sz w:val="22"/>
          <w:szCs w:val="22"/>
        </w:rPr>
        <w:t xml:space="preserve"> Please see the appendix at the end of this document for more information on the number of super output areas in each borough that fall into each of the three funding brackets.</w:t>
      </w:r>
    </w:p>
    <w:p w:rsidR="00D020FC" w:rsidRPr="00D020FC" w:rsidRDefault="00D020FC" w:rsidP="00391134">
      <w:pPr>
        <w:spacing w:after="200" w:line="276" w:lineRule="auto"/>
        <w:rPr>
          <w:rFonts w:ascii="Arial" w:hAnsi="Arial"/>
          <w:color w:val="000000"/>
          <w:sz w:val="22"/>
          <w:szCs w:val="22"/>
        </w:rPr>
      </w:pPr>
      <w:r w:rsidRPr="00D020FC">
        <w:rPr>
          <w:rFonts w:ascii="Arial" w:hAnsi="Arial"/>
          <w:sz w:val="22"/>
          <w:szCs w:val="22"/>
        </w:rPr>
        <w:t xml:space="preserve">However, this proposal will only be available for apprenticeship frameworks (which are being phased out) and not for apprenticeship standards. This system will also only be in place for one year while the government conducts a fuller review into the best way to support individuals from all backgrounds into </w:t>
      </w:r>
      <w:r w:rsidRPr="00D020FC">
        <w:rPr>
          <w:rFonts w:ascii="Arial" w:hAnsi="Arial"/>
          <w:sz w:val="22"/>
          <w:szCs w:val="22"/>
        </w:rPr>
        <w:lastRenderedPageBreak/>
        <w:t>an apprenticeship.</w:t>
      </w:r>
      <w:r w:rsidRPr="00D020FC">
        <w:rPr>
          <w:rFonts w:ascii="Arial" w:hAnsi="Arial"/>
          <w:color w:val="000000"/>
          <w:sz w:val="22"/>
          <w:szCs w:val="22"/>
        </w:rPr>
        <w:t xml:space="preserve"> This review will look at the role of employers, as well as training providers, and the differences in approach that may be needed in different parts of the country.</w:t>
      </w:r>
    </w:p>
    <w:p w:rsidR="00D020FC" w:rsidRPr="00D020FC" w:rsidRDefault="00D020FC" w:rsidP="00391134">
      <w:pPr>
        <w:spacing w:after="200" w:line="276" w:lineRule="auto"/>
        <w:rPr>
          <w:rFonts w:ascii="Arial" w:hAnsi="Arial"/>
          <w:b/>
          <w:sz w:val="22"/>
          <w:szCs w:val="22"/>
        </w:rPr>
      </w:pPr>
      <w:r w:rsidRPr="00D020FC">
        <w:rPr>
          <w:rFonts w:ascii="Arial" w:hAnsi="Arial"/>
          <w:b/>
          <w:sz w:val="22"/>
          <w:szCs w:val="22"/>
        </w:rPr>
        <w:t>Expiry Period of Levy Funds</w:t>
      </w:r>
    </w:p>
    <w:p w:rsidR="00D020FC" w:rsidRPr="00D020FC" w:rsidRDefault="00D020FC" w:rsidP="00391134">
      <w:pPr>
        <w:spacing w:after="200" w:line="276" w:lineRule="auto"/>
        <w:rPr>
          <w:rFonts w:ascii="Arial" w:hAnsi="Arial"/>
          <w:sz w:val="22"/>
          <w:szCs w:val="22"/>
        </w:rPr>
      </w:pPr>
      <w:r w:rsidRPr="00D020FC">
        <w:rPr>
          <w:rFonts w:ascii="Arial" w:hAnsi="Arial"/>
          <w:sz w:val="22"/>
          <w:szCs w:val="22"/>
        </w:rPr>
        <w:t>Following feedback from employers the government is extending the expiry period so that funds in digital accounts, including top-ups, will expire after 24 months (up from 18) unless they are spent on apprenticeship training.</w:t>
      </w:r>
    </w:p>
    <w:p w:rsidR="00D020FC" w:rsidRPr="00D020FC" w:rsidRDefault="00D020FC" w:rsidP="00391134">
      <w:pPr>
        <w:spacing w:after="200" w:line="276" w:lineRule="auto"/>
        <w:rPr>
          <w:rFonts w:ascii="Arial" w:hAnsi="Arial"/>
          <w:b/>
          <w:sz w:val="22"/>
          <w:szCs w:val="22"/>
        </w:rPr>
      </w:pPr>
      <w:r w:rsidRPr="00D020FC">
        <w:rPr>
          <w:rFonts w:ascii="Arial" w:hAnsi="Arial"/>
          <w:b/>
          <w:sz w:val="22"/>
          <w:szCs w:val="22"/>
        </w:rPr>
        <w:t>Supply Chains</w:t>
      </w:r>
    </w:p>
    <w:p w:rsidR="00D020FC" w:rsidRPr="00D020FC" w:rsidRDefault="00D020FC" w:rsidP="00391134">
      <w:pPr>
        <w:spacing w:after="200" w:line="276" w:lineRule="auto"/>
        <w:rPr>
          <w:rFonts w:ascii="Arial" w:hAnsi="Arial"/>
          <w:sz w:val="22"/>
          <w:szCs w:val="22"/>
        </w:rPr>
      </w:pPr>
      <w:r w:rsidRPr="00D020FC">
        <w:rPr>
          <w:rFonts w:ascii="Arial" w:hAnsi="Arial"/>
          <w:sz w:val="22"/>
          <w:szCs w:val="22"/>
        </w:rPr>
        <w:t xml:space="preserve">The government has confirmed its proposals to allow employers to transfer up to 10% of the annual value of the funds entering their digital accounts to other employers or ATAs will go ahead from 2018. However, </w:t>
      </w:r>
      <w:r w:rsidR="001C1EE5">
        <w:rPr>
          <w:rFonts w:ascii="Arial" w:hAnsi="Arial"/>
          <w:sz w:val="22"/>
          <w:szCs w:val="22"/>
        </w:rPr>
        <w:t>it</w:t>
      </w:r>
      <w:r w:rsidRPr="00D020FC">
        <w:rPr>
          <w:rFonts w:ascii="Arial" w:hAnsi="Arial"/>
          <w:sz w:val="22"/>
          <w:szCs w:val="22"/>
        </w:rPr>
        <w:t xml:space="preserve"> recognise</w:t>
      </w:r>
      <w:r w:rsidR="001C1EE5">
        <w:rPr>
          <w:rFonts w:ascii="Arial" w:hAnsi="Arial"/>
          <w:sz w:val="22"/>
          <w:szCs w:val="22"/>
        </w:rPr>
        <w:t>s</w:t>
      </w:r>
      <w:r w:rsidRPr="00D020FC">
        <w:rPr>
          <w:rFonts w:ascii="Arial" w:hAnsi="Arial"/>
          <w:sz w:val="22"/>
          <w:szCs w:val="22"/>
        </w:rPr>
        <w:t xml:space="preserve"> that there is significant appetite to go further in this area, so </w:t>
      </w:r>
      <w:r w:rsidR="001C1EE5">
        <w:rPr>
          <w:rFonts w:ascii="Arial" w:hAnsi="Arial"/>
          <w:sz w:val="22"/>
          <w:szCs w:val="22"/>
        </w:rPr>
        <w:t>it</w:t>
      </w:r>
      <w:r w:rsidRPr="00D020FC">
        <w:rPr>
          <w:rFonts w:ascii="Arial" w:hAnsi="Arial"/>
          <w:sz w:val="22"/>
          <w:szCs w:val="22"/>
        </w:rPr>
        <w:t xml:space="preserve"> ha</w:t>
      </w:r>
      <w:r w:rsidR="001C1EE5">
        <w:rPr>
          <w:rFonts w:ascii="Arial" w:hAnsi="Arial"/>
          <w:sz w:val="22"/>
          <w:szCs w:val="22"/>
        </w:rPr>
        <w:t>s</w:t>
      </w:r>
      <w:r w:rsidRPr="00D020FC">
        <w:rPr>
          <w:rFonts w:ascii="Arial" w:hAnsi="Arial"/>
          <w:sz w:val="22"/>
          <w:szCs w:val="22"/>
        </w:rPr>
        <w:t xml:space="preserve"> created a new employer working group to help develop proposals further for a transfer system that works for employers. This group will help the government design how transfers should work, the level of funds that could be transferred and what controls are needed to protect the integrity of the apprenticeship system.</w:t>
      </w:r>
    </w:p>
    <w:p w:rsidR="00D020FC" w:rsidRPr="00D020FC" w:rsidRDefault="00D020FC" w:rsidP="00391134">
      <w:pPr>
        <w:spacing w:after="200" w:line="276" w:lineRule="auto"/>
        <w:rPr>
          <w:rFonts w:ascii="Arial" w:hAnsi="Arial"/>
          <w:b/>
          <w:sz w:val="22"/>
          <w:szCs w:val="22"/>
        </w:rPr>
      </w:pPr>
      <w:r w:rsidRPr="00D020FC">
        <w:rPr>
          <w:rFonts w:ascii="Arial" w:hAnsi="Arial"/>
          <w:b/>
          <w:sz w:val="22"/>
          <w:szCs w:val="22"/>
        </w:rPr>
        <w:t>Timing of Payments to Providers</w:t>
      </w:r>
    </w:p>
    <w:p w:rsidR="00D020FC" w:rsidRPr="00ED0A5B" w:rsidRDefault="00D020FC" w:rsidP="00391134">
      <w:pPr>
        <w:spacing w:after="200" w:line="276" w:lineRule="auto"/>
        <w:rPr>
          <w:rFonts w:ascii="Arial" w:hAnsi="Arial"/>
          <w:sz w:val="22"/>
          <w:szCs w:val="22"/>
        </w:rPr>
      </w:pPr>
      <w:r>
        <w:rPr>
          <w:rFonts w:ascii="Arial" w:hAnsi="Arial"/>
          <w:sz w:val="22"/>
          <w:szCs w:val="22"/>
        </w:rPr>
        <w:t xml:space="preserve">The government will pay providers monthly, with 80% of the total negotiated price being paid this way, spread evenly across the period of the apprenticeship. </w:t>
      </w:r>
      <w:r w:rsidRPr="006E6BB7">
        <w:rPr>
          <w:rFonts w:ascii="Arial" w:hAnsi="Arial"/>
          <w:sz w:val="22"/>
          <w:szCs w:val="22"/>
        </w:rPr>
        <w:t>The remaining 20% will be paid at the end of the apprenticeship. This is similar to the arrangements that have been in place for frameworks where 20% is retained to be paid on successful completion by the apprentice and will now be extended to cover apprenticeship standar</w:t>
      </w:r>
      <w:r>
        <w:rPr>
          <w:rFonts w:ascii="Arial" w:hAnsi="Arial"/>
          <w:sz w:val="22"/>
          <w:szCs w:val="22"/>
        </w:rPr>
        <w:t>ds</w:t>
      </w:r>
      <w:r w:rsidRPr="006E6BB7">
        <w:rPr>
          <w:rFonts w:ascii="Arial" w:hAnsi="Arial"/>
          <w:sz w:val="22"/>
          <w:szCs w:val="22"/>
        </w:rPr>
        <w:t>.</w:t>
      </w:r>
    </w:p>
    <w:p w:rsidR="00D020FC" w:rsidRDefault="00D020FC" w:rsidP="00D020FC">
      <w:pPr>
        <w:spacing w:after="200" w:line="276" w:lineRule="auto"/>
        <w:contextualSpacing/>
        <w:rPr>
          <w:rFonts w:ascii="Arial" w:hAnsi="Arial"/>
          <w:b/>
          <w:sz w:val="22"/>
          <w:szCs w:val="22"/>
        </w:rPr>
      </w:pPr>
    </w:p>
    <w:p w:rsidR="00D020FC" w:rsidRPr="00D020FC" w:rsidRDefault="00D020FC" w:rsidP="00D020FC">
      <w:pPr>
        <w:spacing w:after="200" w:line="276" w:lineRule="auto"/>
        <w:contextualSpacing/>
        <w:rPr>
          <w:rFonts w:ascii="Arial" w:hAnsi="Arial"/>
          <w:sz w:val="22"/>
          <w:szCs w:val="22"/>
        </w:rPr>
      </w:pPr>
      <w:r w:rsidRPr="00D020FC">
        <w:rPr>
          <w:rFonts w:ascii="Arial" w:hAnsi="Arial"/>
          <w:b/>
          <w:sz w:val="22"/>
          <w:szCs w:val="22"/>
        </w:rPr>
        <w:t>Author:</w:t>
      </w:r>
      <w:r w:rsidRPr="00D020FC">
        <w:rPr>
          <w:rFonts w:ascii="Arial" w:hAnsi="Arial"/>
          <w:sz w:val="22"/>
          <w:szCs w:val="22"/>
        </w:rPr>
        <w:t xml:space="preserve"> Jamie Saddler, Policy and Projects Officer</w:t>
      </w:r>
      <w:r>
        <w:rPr>
          <w:rFonts w:ascii="Arial" w:hAnsi="Arial"/>
          <w:sz w:val="22"/>
          <w:szCs w:val="22"/>
        </w:rPr>
        <w:t>:</w:t>
      </w:r>
      <w:r w:rsidRPr="00D020FC">
        <w:rPr>
          <w:rFonts w:ascii="Arial" w:hAnsi="Arial"/>
          <w:sz w:val="22"/>
          <w:szCs w:val="22"/>
        </w:rPr>
        <w:t xml:space="preserve"> Economy, Culture and Tourism </w:t>
      </w:r>
    </w:p>
    <w:p w:rsidR="00D020FC" w:rsidRPr="00D020FC" w:rsidRDefault="00D020FC" w:rsidP="00D020FC">
      <w:pPr>
        <w:spacing w:after="200" w:line="276" w:lineRule="auto"/>
        <w:rPr>
          <w:rFonts w:ascii="Arial" w:hAnsi="Arial"/>
          <w:sz w:val="22"/>
          <w:szCs w:val="22"/>
        </w:rPr>
      </w:pPr>
      <w:r w:rsidRPr="00D020FC">
        <w:rPr>
          <w:rFonts w:ascii="Arial" w:hAnsi="Arial"/>
          <w:sz w:val="22"/>
          <w:szCs w:val="22"/>
        </w:rPr>
        <w:t xml:space="preserve">(T: 020 7934 9916 e: </w:t>
      </w:r>
      <w:hyperlink r:id="rId9" w:history="1">
        <w:r w:rsidRPr="00B34163">
          <w:rPr>
            <w:rStyle w:val="Hyperlink"/>
            <w:rFonts w:ascii="Arial" w:hAnsi="Arial"/>
            <w:color w:val="002060"/>
            <w:sz w:val="22"/>
            <w:szCs w:val="22"/>
          </w:rPr>
          <w:t>jamie.saddler@londoncouncils.gov.uk</w:t>
        </w:r>
      </w:hyperlink>
      <w:r w:rsidRPr="00D020FC">
        <w:rPr>
          <w:rFonts w:ascii="Arial" w:hAnsi="Arial"/>
          <w:sz w:val="22"/>
          <w:szCs w:val="22"/>
        </w:rPr>
        <w:t>)</w:t>
      </w:r>
    </w:p>
    <w:p w:rsidR="00D020FC" w:rsidRDefault="00D020FC"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Default="00506278" w:rsidP="00D020FC">
      <w:pPr>
        <w:spacing w:after="200" w:line="276" w:lineRule="auto"/>
        <w:rPr>
          <w:rFonts w:ascii="Arial" w:hAnsi="Arial"/>
        </w:rPr>
      </w:pPr>
    </w:p>
    <w:p w:rsidR="00506278" w:rsidRPr="003B7DF7" w:rsidRDefault="00506278" w:rsidP="00D020FC">
      <w:pPr>
        <w:spacing w:after="200" w:line="276" w:lineRule="auto"/>
        <w:rPr>
          <w:rFonts w:ascii="Arial" w:hAnsi="Arial"/>
          <w:b/>
          <w:sz w:val="24"/>
          <w:szCs w:val="24"/>
        </w:rPr>
      </w:pPr>
      <w:r w:rsidRPr="003B7DF7">
        <w:rPr>
          <w:rFonts w:ascii="Arial" w:hAnsi="Arial"/>
          <w:b/>
          <w:sz w:val="24"/>
          <w:szCs w:val="24"/>
        </w:rPr>
        <w:t xml:space="preserve">Appendix </w:t>
      </w:r>
      <w:r w:rsidR="003B7DF7" w:rsidRPr="003B7DF7">
        <w:rPr>
          <w:rFonts w:ascii="Arial" w:hAnsi="Arial"/>
          <w:b/>
          <w:sz w:val="24"/>
          <w:szCs w:val="24"/>
        </w:rPr>
        <w:t>– Number of Super Output Areas in each borough eligible for Disadvantage Uplift</w:t>
      </w:r>
    </w:p>
    <w:tbl>
      <w:tblPr>
        <w:tblW w:w="9371" w:type="dxa"/>
        <w:tblInd w:w="93" w:type="dxa"/>
        <w:tblLook w:val="04A0" w:firstRow="1" w:lastRow="0" w:firstColumn="1" w:lastColumn="0" w:noHBand="0" w:noVBand="1"/>
      </w:tblPr>
      <w:tblGrid>
        <w:gridCol w:w="2992"/>
        <w:gridCol w:w="2126"/>
        <w:gridCol w:w="2127"/>
        <w:gridCol w:w="2126"/>
      </w:tblGrid>
      <w:tr w:rsidR="003B7DF7" w:rsidRPr="003B7DF7" w:rsidTr="003B7DF7">
        <w:trPr>
          <w:trHeight w:val="88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DF7" w:rsidRPr="003B7DF7" w:rsidRDefault="003B7DF7" w:rsidP="003B7DF7">
            <w:pPr>
              <w:spacing w:line="240" w:lineRule="auto"/>
              <w:rPr>
                <w:rFonts w:ascii="Arial" w:eastAsia="Times New Roman" w:hAnsi="Arial"/>
                <w:b/>
                <w:bCs/>
                <w:color w:val="000000"/>
                <w:sz w:val="22"/>
                <w:szCs w:val="22"/>
                <w:lang w:eastAsia="en-GB"/>
              </w:rPr>
            </w:pPr>
            <w:r w:rsidRPr="003B7DF7">
              <w:rPr>
                <w:rFonts w:ascii="Arial" w:eastAsia="Times New Roman" w:hAnsi="Arial"/>
                <w:b/>
                <w:bCs/>
                <w:color w:val="000000"/>
                <w:sz w:val="22"/>
                <w:szCs w:val="22"/>
                <w:lang w:eastAsia="en-GB"/>
              </w:rPr>
              <w:t>Borough</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3B7DF7" w:rsidRPr="003B7DF7" w:rsidRDefault="003B7DF7" w:rsidP="003B7DF7">
            <w:pPr>
              <w:spacing w:line="240" w:lineRule="auto"/>
              <w:rPr>
                <w:rFonts w:ascii="Arial" w:eastAsia="Times New Roman" w:hAnsi="Arial"/>
                <w:b/>
                <w:bCs/>
                <w:color w:val="000000"/>
                <w:sz w:val="22"/>
                <w:szCs w:val="22"/>
                <w:lang w:eastAsia="en-GB"/>
              </w:rPr>
            </w:pPr>
            <w:r w:rsidRPr="003B7DF7">
              <w:rPr>
                <w:rFonts w:ascii="Arial" w:eastAsia="Times New Roman" w:hAnsi="Arial"/>
                <w:b/>
                <w:bCs/>
                <w:color w:val="000000"/>
                <w:sz w:val="22"/>
                <w:szCs w:val="22"/>
                <w:lang w:eastAsia="en-GB"/>
              </w:rPr>
              <w:t>Number of SOAs in 1%-10% bracket on IMD (£600)</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3B7DF7" w:rsidRPr="003B7DF7" w:rsidRDefault="003B7DF7" w:rsidP="003B7DF7">
            <w:pPr>
              <w:spacing w:line="240" w:lineRule="auto"/>
              <w:rPr>
                <w:rFonts w:ascii="Arial" w:eastAsia="Times New Roman" w:hAnsi="Arial"/>
                <w:b/>
                <w:bCs/>
                <w:color w:val="000000"/>
                <w:sz w:val="22"/>
                <w:szCs w:val="22"/>
                <w:lang w:eastAsia="en-GB"/>
              </w:rPr>
            </w:pPr>
            <w:r w:rsidRPr="003B7DF7">
              <w:rPr>
                <w:rFonts w:ascii="Arial" w:eastAsia="Times New Roman" w:hAnsi="Arial"/>
                <w:b/>
                <w:bCs/>
                <w:color w:val="000000"/>
                <w:sz w:val="22"/>
                <w:szCs w:val="22"/>
                <w:lang w:eastAsia="en-GB"/>
              </w:rPr>
              <w:t>Number of SOAs in 11%-20% bracket on IMD (£300)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3B7DF7" w:rsidRPr="003B7DF7" w:rsidRDefault="003B7DF7" w:rsidP="003B7DF7">
            <w:pPr>
              <w:spacing w:line="240" w:lineRule="auto"/>
              <w:rPr>
                <w:rFonts w:ascii="Arial" w:eastAsia="Times New Roman" w:hAnsi="Arial"/>
                <w:b/>
                <w:bCs/>
                <w:color w:val="000000"/>
                <w:sz w:val="22"/>
                <w:szCs w:val="22"/>
                <w:lang w:eastAsia="en-GB"/>
              </w:rPr>
            </w:pPr>
            <w:r w:rsidRPr="003B7DF7">
              <w:rPr>
                <w:rFonts w:ascii="Arial" w:eastAsia="Times New Roman" w:hAnsi="Arial"/>
                <w:b/>
                <w:bCs/>
                <w:color w:val="000000"/>
                <w:sz w:val="22"/>
                <w:szCs w:val="22"/>
                <w:lang w:eastAsia="en-GB"/>
              </w:rPr>
              <w:t>Number of SOAs in 21%-27% bracket on IMD (£200)</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Barking &amp; Dagenham</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60</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24</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Barnet</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16</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16</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Bexley</w:t>
            </w:r>
          </w:p>
        </w:tc>
        <w:tc>
          <w:tcPr>
            <w:tcW w:w="2126" w:type="dxa"/>
            <w:tcBorders>
              <w:top w:val="nil"/>
              <w:left w:val="nil"/>
              <w:bottom w:val="nil"/>
              <w:right w:val="nil"/>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10</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Brent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14</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22</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18</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Bromley</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6</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11</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11</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Camden</w:t>
            </w:r>
          </w:p>
        </w:tc>
        <w:tc>
          <w:tcPr>
            <w:tcW w:w="2126" w:type="dxa"/>
            <w:tcBorders>
              <w:top w:val="nil"/>
              <w:left w:val="nil"/>
              <w:bottom w:val="nil"/>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7</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29</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14</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Croydon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6</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41</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24</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Ealing</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8</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27</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28</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Enfield</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20</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36</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26</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Greenwich</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35</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14</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Hackney</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25</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55</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30</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Hammersmith &amp; Fulham</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8</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17</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12</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Haringey</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27</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31</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22</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Harrow</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 xml:space="preserve">Havering </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12</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8</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Hillingdon</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21</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Hounslow</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14</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12</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Islington</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18</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36</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21</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Kensington &amp; Chelsea</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11</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14</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Kingston</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Lambeth</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13</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46</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26</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Lewisham</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8</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55</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23</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Merton</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8</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Newham</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13</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54</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52</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Redbridge</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12</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Richmond</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0</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Southwark</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8</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57</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31</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Sutton</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Tower Hamlets</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34</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50</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20</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Waltham Forest</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14</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32</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29</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proofErr w:type="spellStart"/>
            <w:r w:rsidRPr="003B7DF7">
              <w:rPr>
                <w:rFonts w:ascii="Arial" w:eastAsia="Times New Roman" w:hAnsi="Arial"/>
                <w:color w:val="auto"/>
                <w:sz w:val="22"/>
                <w:szCs w:val="22"/>
                <w:lang w:eastAsia="en-GB"/>
              </w:rPr>
              <w:t>Wandsworth</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10</w:t>
            </w:r>
          </w:p>
        </w:tc>
      </w:tr>
      <w:tr w:rsidR="003B7DF7" w:rsidRPr="003B7DF7" w:rsidTr="003B7DF7">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rPr>
                <w:rFonts w:ascii="Arial" w:eastAsia="Times New Roman" w:hAnsi="Arial"/>
                <w:color w:val="auto"/>
                <w:sz w:val="22"/>
                <w:szCs w:val="22"/>
                <w:lang w:eastAsia="en-GB"/>
              </w:rPr>
            </w:pPr>
            <w:r w:rsidRPr="003B7DF7">
              <w:rPr>
                <w:rFonts w:ascii="Arial" w:eastAsia="Times New Roman" w:hAnsi="Arial"/>
                <w:color w:val="auto"/>
                <w:sz w:val="22"/>
                <w:szCs w:val="22"/>
                <w:lang w:eastAsia="en-GB"/>
              </w:rPr>
              <w:t>Westminster</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18</w:t>
            </w:r>
          </w:p>
        </w:tc>
        <w:tc>
          <w:tcPr>
            <w:tcW w:w="2127"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17</w:t>
            </w:r>
          </w:p>
        </w:tc>
        <w:tc>
          <w:tcPr>
            <w:tcW w:w="2126" w:type="dxa"/>
            <w:tcBorders>
              <w:top w:val="nil"/>
              <w:left w:val="nil"/>
              <w:bottom w:val="single" w:sz="4" w:space="0" w:color="auto"/>
              <w:right w:val="single" w:sz="4" w:space="0" w:color="auto"/>
            </w:tcBorders>
            <w:shd w:val="clear" w:color="auto" w:fill="auto"/>
            <w:noWrap/>
            <w:vAlign w:val="bottom"/>
            <w:hideMark/>
          </w:tcPr>
          <w:p w:rsidR="003B7DF7" w:rsidRPr="003B7DF7" w:rsidRDefault="003B7DF7" w:rsidP="003B7DF7">
            <w:pPr>
              <w:spacing w:line="240" w:lineRule="auto"/>
              <w:jc w:val="right"/>
              <w:rPr>
                <w:rFonts w:ascii="Arial" w:eastAsia="Times New Roman" w:hAnsi="Arial"/>
                <w:color w:val="000000"/>
                <w:sz w:val="22"/>
                <w:szCs w:val="22"/>
                <w:lang w:eastAsia="en-GB"/>
              </w:rPr>
            </w:pPr>
            <w:r w:rsidRPr="003B7DF7">
              <w:rPr>
                <w:rFonts w:ascii="Arial" w:eastAsia="Times New Roman" w:hAnsi="Arial"/>
                <w:color w:val="000000"/>
                <w:sz w:val="22"/>
                <w:szCs w:val="22"/>
                <w:lang w:eastAsia="en-GB"/>
              </w:rPr>
              <w:t>17</w:t>
            </w:r>
          </w:p>
        </w:tc>
      </w:tr>
    </w:tbl>
    <w:p w:rsidR="003B7DF7" w:rsidRDefault="003B7DF7" w:rsidP="003B7DF7"/>
    <w:p w:rsidR="003B7DF7" w:rsidRPr="003B7DF7" w:rsidRDefault="003B7DF7" w:rsidP="003B7DF7">
      <w:r>
        <w:t xml:space="preserve">Source: Index of Multiple Deprivation 2015 - </w:t>
      </w:r>
      <w:hyperlink r:id="rId10" w:history="1">
        <w:r w:rsidRPr="00753606">
          <w:rPr>
            <w:rStyle w:val="Hyperlink"/>
          </w:rPr>
          <w:t>https://www.gov.uk/government/statistics/english-indices-of-deprivation-2015</w:t>
        </w:r>
      </w:hyperlink>
      <w:r>
        <w:t xml:space="preserve"> </w:t>
      </w:r>
    </w:p>
    <w:sectPr w:rsidR="003B7DF7" w:rsidRPr="003B7DF7" w:rsidSect="00873023">
      <w:headerReference w:type="default" r:id="rId11"/>
      <w:footerReference w:type="default" r:id="rId12"/>
      <w:headerReference w:type="first" r:id="rId13"/>
      <w:footerReference w:type="first" r:id="rId14"/>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78" w:rsidRDefault="00506278" w:rsidP="00BA3ADD">
      <w:pPr>
        <w:spacing w:line="240" w:lineRule="auto"/>
      </w:pPr>
      <w:r>
        <w:separator/>
      </w:r>
    </w:p>
  </w:endnote>
  <w:endnote w:type="continuationSeparator" w:id="0">
    <w:p w:rsidR="00506278" w:rsidRDefault="00506278"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Next LT Pro">
    <w:altName w:val="Avenir Next LT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506278" w:rsidTr="006062EB">
      <w:trPr>
        <w:cantSplit/>
        <w:trHeight w:hRule="exact" w:val="907"/>
      </w:trPr>
      <w:tc>
        <w:tcPr>
          <w:tcW w:w="7943" w:type="dxa"/>
          <w:vAlign w:val="bottom"/>
        </w:tcPr>
        <w:p w:rsidR="00506278" w:rsidRPr="00B91EA0" w:rsidRDefault="00506278"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3B7DF7">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3B7DF7">
            <w:rPr>
              <w:b/>
              <w:noProof/>
              <w:color w:val="522380" w:themeColor="accent1"/>
              <w:sz w:val="22"/>
            </w:rPr>
            <w:t>3</w:t>
          </w:r>
          <w:r>
            <w:rPr>
              <w:b/>
              <w:noProof/>
              <w:color w:val="522380" w:themeColor="accent1"/>
              <w:sz w:val="22"/>
            </w:rPr>
            <w:fldChar w:fldCharType="end"/>
          </w:r>
        </w:p>
      </w:tc>
      <w:tc>
        <w:tcPr>
          <w:tcW w:w="2375" w:type="dxa"/>
          <w:vAlign w:val="bottom"/>
        </w:tcPr>
        <w:p w:rsidR="00506278" w:rsidRPr="00B91EA0" w:rsidRDefault="00506278" w:rsidP="006062EB">
          <w:pPr>
            <w:pStyle w:val="Footer"/>
            <w:jc w:val="right"/>
            <w:rPr>
              <w:b/>
              <w:color w:val="522380" w:themeColor="accent1"/>
              <w:sz w:val="22"/>
            </w:rPr>
          </w:pPr>
          <w:r>
            <w:rPr>
              <w:b/>
              <w:noProof/>
              <w:color w:val="522380" w:themeColor="accent1"/>
              <w:sz w:val="22"/>
              <w:lang w:eastAsia="en-GB"/>
            </w:rPr>
            <w:drawing>
              <wp:inline distT="0" distB="0" distL="0" distR="0" wp14:anchorId="7D658900" wp14:editId="3B45CAE6">
                <wp:extent cx="1130177"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506278" w:rsidRDefault="00506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506278" w:rsidTr="00BD4118">
      <w:trPr>
        <w:cantSplit/>
        <w:trHeight w:hRule="exact" w:val="907"/>
      </w:trPr>
      <w:tc>
        <w:tcPr>
          <w:tcW w:w="7943" w:type="dxa"/>
          <w:vAlign w:val="bottom"/>
        </w:tcPr>
        <w:p w:rsidR="00506278" w:rsidRPr="00B91EA0" w:rsidRDefault="00506278" w:rsidP="00BD4118">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3B7DF7">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3B7DF7">
            <w:rPr>
              <w:b/>
              <w:noProof/>
              <w:color w:val="522380" w:themeColor="accent1"/>
              <w:sz w:val="22"/>
            </w:rPr>
            <w:t>3</w:t>
          </w:r>
          <w:r>
            <w:rPr>
              <w:b/>
              <w:noProof/>
              <w:color w:val="522380" w:themeColor="accent1"/>
              <w:sz w:val="22"/>
            </w:rPr>
            <w:fldChar w:fldCharType="end"/>
          </w:r>
        </w:p>
      </w:tc>
      <w:tc>
        <w:tcPr>
          <w:tcW w:w="2375" w:type="dxa"/>
          <w:vAlign w:val="bottom"/>
        </w:tcPr>
        <w:p w:rsidR="00506278" w:rsidRPr="00B91EA0" w:rsidRDefault="00506278" w:rsidP="00BD4118">
          <w:pPr>
            <w:pStyle w:val="Footer"/>
            <w:jc w:val="right"/>
            <w:rPr>
              <w:b/>
              <w:color w:val="522380" w:themeColor="accent1"/>
              <w:sz w:val="22"/>
            </w:rPr>
          </w:pPr>
          <w:r>
            <w:rPr>
              <w:b/>
              <w:noProof/>
              <w:color w:val="522380" w:themeColor="accent1"/>
              <w:sz w:val="22"/>
              <w:lang w:eastAsia="en-GB"/>
            </w:rPr>
            <w:drawing>
              <wp:inline distT="0" distB="0" distL="0" distR="0" wp14:anchorId="736247D8" wp14:editId="1C6B2507">
                <wp:extent cx="1130177"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506278" w:rsidRDefault="00506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78" w:rsidRPr="002C64EC" w:rsidRDefault="00506278" w:rsidP="00BA3ADD">
      <w:pPr>
        <w:spacing w:line="240" w:lineRule="auto"/>
        <w:rPr>
          <w:color w:val="E1DCEB" w:themeColor="accent2"/>
        </w:rPr>
      </w:pPr>
      <w:r w:rsidRPr="002C64EC">
        <w:rPr>
          <w:color w:val="E1DCEB" w:themeColor="accent2"/>
        </w:rPr>
        <w:separator/>
      </w:r>
    </w:p>
  </w:footnote>
  <w:footnote w:type="continuationSeparator" w:id="0">
    <w:p w:rsidR="00506278" w:rsidRPr="002C64EC" w:rsidRDefault="00506278" w:rsidP="00BA3ADD">
      <w:pPr>
        <w:spacing w:line="240" w:lineRule="auto"/>
        <w:rPr>
          <w:color w:val="E1DCEB" w:themeColor="accent2"/>
        </w:rPr>
      </w:pPr>
      <w:r w:rsidRPr="002C64EC">
        <w:rPr>
          <w:color w:val="E1DCEB" w:themeColor="accent2"/>
        </w:rPr>
        <w:continuationSeparator/>
      </w:r>
    </w:p>
  </w:footnote>
  <w:footnote w:type="continuationNotice" w:id="1">
    <w:p w:rsidR="00506278" w:rsidRDefault="0050627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506278" w:rsidTr="00E253CF">
      <w:trPr>
        <w:cantSplit/>
        <w:trHeight w:val="624"/>
      </w:trPr>
      <w:tc>
        <w:tcPr>
          <w:tcW w:w="10148" w:type="dxa"/>
          <w:gridSpan w:val="2"/>
          <w:shd w:val="clear" w:color="auto" w:fill="522380" w:themeFill="accent1"/>
          <w:vAlign w:val="bottom"/>
        </w:tcPr>
        <w:p w:rsidR="00506278" w:rsidRPr="004F1C42" w:rsidRDefault="00506278"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3B7DF7">
            <w:rPr>
              <w:noProof/>
              <w:color w:val="FFFFFF" w:themeColor="background1"/>
              <w:sz w:val="22"/>
            </w:rPr>
            <w:t>Friday 28 October 2016</w:t>
          </w:r>
          <w:r>
            <w:rPr>
              <w:color w:val="FFFFFF" w:themeColor="background1"/>
              <w:sz w:val="22"/>
            </w:rPr>
            <w:fldChar w:fldCharType="end"/>
          </w:r>
        </w:p>
      </w:tc>
    </w:tr>
    <w:tr w:rsidR="00506278" w:rsidTr="00554B6B">
      <w:trPr>
        <w:cantSplit/>
        <w:trHeight w:val="312"/>
      </w:trPr>
      <w:tc>
        <w:tcPr>
          <w:tcW w:w="8080" w:type="dxa"/>
          <w:vAlign w:val="bottom"/>
        </w:tcPr>
        <w:p w:rsidR="00506278" w:rsidRPr="005373FE" w:rsidRDefault="00506278"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3B7DF7">
            <w:rPr>
              <w:b/>
              <w:noProof/>
              <w:color w:val="EC098D" w:themeColor="accent3"/>
              <w:sz w:val="24"/>
            </w:rPr>
            <w:t>Briefing</w:t>
          </w:r>
          <w:r w:rsidRPr="005373FE">
            <w:rPr>
              <w:b/>
              <w:color w:val="EC098D" w:themeColor="accent3"/>
              <w:sz w:val="24"/>
            </w:rPr>
            <w:fldChar w:fldCharType="end"/>
          </w:r>
        </w:p>
      </w:tc>
      <w:tc>
        <w:tcPr>
          <w:tcW w:w="2068" w:type="dxa"/>
          <w:vAlign w:val="bottom"/>
        </w:tcPr>
        <w:p w:rsidR="00506278" w:rsidRPr="005373FE" w:rsidRDefault="00506278" w:rsidP="005373FE">
          <w:pPr>
            <w:pStyle w:val="Header"/>
            <w:jc w:val="right"/>
            <w:rPr>
              <w:b/>
              <w:color w:val="522380" w:themeColor="accent1"/>
              <w:sz w:val="24"/>
            </w:rPr>
          </w:pPr>
          <w:r w:rsidRPr="005373FE">
            <w:rPr>
              <w:b/>
              <w:color w:val="522380" w:themeColor="accent1"/>
              <w:sz w:val="24"/>
            </w:rPr>
            <w:t>London Councils</w:t>
          </w:r>
        </w:p>
      </w:tc>
    </w:tr>
    <w:tr w:rsidR="00506278" w:rsidTr="00800479">
      <w:trPr>
        <w:cantSplit/>
        <w:trHeight w:hRule="exact" w:val="200"/>
      </w:trPr>
      <w:tc>
        <w:tcPr>
          <w:tcW w:w="10148" w:type="dxa"/>
          <w:gridSpan w:val="2"/>
          <w:vAlign w:val="bottom"/>
        </w:tcPr>
        <w:p w:rsidR="00506278" w:rsidRPr="005373FE" w:rsidRDefault="00506278" w:rsidP="00C13F09">
          <w:pPr>
            <w:pStyle w:val="NoSpacing"/>
            <w:rPr>
              <w:color w:val="522380" w:themeColor="accent1"/>
            </w:rPr>
          </w:pPr>
        </w:p>
      </w:tc>
    </w:tr>
  </w:tbl>
  <w:p w:rsidR="00506278" w:rsidRDefault="00506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506278" w:rsidTr="00E253CF">
      <w:trPr>
        <w:cantSplit/>
        <w:trHeight w:val="624"/>
      </w:trPr>
      <w:tc>
        <w:tcPr>
          <w:tcW w:w="10148" w:type="dxa"/>
          <w:gridSpan w:val="2"/>
          <w:shd w:val="clear" w:color="auto" w:fill="522380" w:themeFill="accent1"/>
          <w:vAlign w:val="bottom"/>
        </w:tcPr>
        <w:p w:rsidR="00506278" w:rsidRPr="004F1C42" w:rsidRDefault="00506278" w:rsidP="00BD4118">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3B7DF7">
            <w:rPr>
              <w:noProof/>
              <w:color w:val="FFFFFF" w:themeColor="background1"/>
              <w:sz w:val="22"/>
            </w:rPr>
            <w:t>Wednesday 02 November 2016</w:t>
          </w:r>
          <w:r>
            <w:rPr>
              <w:color w:val="FFFFFF" w:themeColor="background1"/>
              <w:sz w:val="22"/>
            </w:rPr>
            <w:fldChar w:fldCharType="end"/>
          </w:r>
        </w:p>
      </w:tc>
    </w:tr>
    <w:tr w:rsidR="00506278" w:rsidTr="00514B1B">
      <w:trPr>
        <w:cantSplit/>
        <w:trHeight w:hRule="exact" w:val="312"/>
      </w:trPr>
      <w:tc>
        <w:tcPr>
          <w:tcW w:w="8080" w:type="dxa"/>
          <w:vAlign w:val="bottom"/>
        </w:tcPr>
        <w:p w:rsidR="00506278" w:rsidRPr="005373FE" w:rsidRDefault="00506278" w:rsidP="00BD4118">
          <w:pPr>
            <w:pStyle w:val="Header"/>
            <w:rPr>
              <w:b/>
              <w:color w:val="EC098D" w:themeColor="accent3"/>
              <w:sz w:val="24"/>
            </w:rPr>
          </w:pPr>
        </w:p>
      </w:tc>
      <w:tc>
        <w:tcPr>
          <w:tcW w:w="2063" w:type="dxa"/>
          <w:vAlign w:val="bottom"/>
        </w:tcPr>
        <w:p w:rsidR="00506278" w:rsidRPr="005373FE" w:rsidRDefault="00506278" w:rsidP="00BD4118">
          <w:pPr>
            <w:pStyle w:val="Header"/>
            <w:jc w:val="right"/>
            <w:rPr>
              <w:b/>
              <w:color w:val="522380" w:themeColor="accent1"/>
              <w:sz w:val="24"/>
            </w:rPr>
          </w:pPr>
          <w:r w:rsidRPr="005373FE">
            <w:rPr>
              <w:b/>
              <w:color w:val="522380" w:themeColor="accent1"/>
              <w:sz w:val="24"/>
            </w:rPr>
            <w:t>London Councils</w:t>
          </w:r>
        </w:p>
      </w:tc>
    </w:tr>
  </w:tbl>
  <w:p w:rsidR="00506278" w:rsidRDefault="00506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04D"/>
    <w:multiLevelType w:val="hybridMultilevel"/>
    <w:tmpl w:val="3CF8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C68B5"/>
    <w:multiLevelType w:val="hybridMultilevel"/>
    <w:tmpl w:val="6C54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22688"/>
    <w:multiLevelType w:val="multilevel"/>
    <w:tmpl w:val="03A8BE70"/>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3">
    <w:nsid w:val="076270D3"/>
    <w:multiLevelType w:val="hybridMultilevel"/>
    <w:tmpl w:val="60BC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1B65F7"/>
    <w:multiLevelType w:val="hybridMultilevel"/>
    <w:tmpl w:val="E15C14E6"/>
    <w:lvl w:ilvl="0" w:tplc="8E5A9FF6">
      <w:start w:val="1"/>
      <w:numFmt w:val="bullet"/>
      <w:lvlText w:val="►"/>
      <w:lvlJc w:val="left"/>
      <w:pPr>
        <w:ind w:left="720" w:hanging="360"/>
      </w:pPr>
      <w:rPr>
        <w:rFonts w:ascii="Arial" w:hAnsi="Arial"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E20E9"/>
    <w:multiLevelType w:val="hybridMultilevel"/>
    <w:tmpl w:val="8D4883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446FE"/>
    <w:multiLevelType w:val="multilevel"/>
    <w:tmpl w:val="47F4C1CA"/>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7">
    <w:nsid w:val="15B86FD1"/>
    <w:multiLevelType w:val="multilevel"/>
    <w:tmpl w:val="AE1279A4"/>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8">
    <w:nsid w:val="17E13B06"/>
    <w:multiLevelType w:val="hybridMultilevel"/>
    <w:tmpl w:val="4800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319B1"/>
    <w:multiLevelType w:val="hybridMultilevel"/>
    <w:tmpl w:val="9E5CDB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A6E1A"/>
    <w:multiLevelType w:val="multilevel"/>
    <w:tmpl w:val="E15C14E6"/>
    <w:lvl w:ilvl="0">
      <w:start w:val="1"/>
      <w:numFmt w:val="bullet"/>
      <w:lvlText w:val="►"/>
      <w:lvlJc w:val="left"/>
      <w:pPr>
        <w:ind w:left="720" w:hanging="360"/>
      </w:pPr>
      <w:rPr>
        <w:rFonts w:ascii="Arial" w:hAnsi="Arial" w:hint="default"/>
        <w:color w:val="EC098D"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49D629D"/>
    <w:multiLevelType w:val="hybridMultilevel"/>
    <w:tmpl w:val="8076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1B207E"/>
    <w:multiLevelType w:val="multilevel"/>
    <w:tmpl w:val="AAD2AC2C"/>
    <w:lvl w:ilvl="0">
      <w:start w:val="1"/>
      <w:numFmt w:val="bullet"/>
      <w:lvlText w:val=""/>
      <w:lvlJc w:val="left"/>
      <w:pPr>
        <w:tabs>
          <w:tab w:val="num" w:pos="340"/>
        </w:tabs>
        <w:ind w:left="340" w:hanging="340"/>
      </w:pPr>
      <w:rPr>
        <w:rFonts w:ascii="Symbol" w:hAnsi="Symbol" w:hint="default"/>
        <w:color w:val="EC098D" w:themeColor="accent3"/>
      </w:rPr>
    </w:lvl>
    <w:lvl w:ilvl="1">
      <w:start w:val="1"/>
      <w:numFmt w:val="bullet"/>
      <w:lvlText w:val="–"/>
      <w:lvlJc w:val="left"/>
      <w:pPr>
        <w:tabs>
          <w:tab w:val="num" w:pos="680"/>
        </w:tabs>
        <w:ind w:left="680" w:hanging="340"/>
      </w:pPr>
      <w:rPr>
        <w:rFonts w:ascii="(none)" w:hAnsi="(none)" w:hint="default"/>
        <w:color w:val="EC098D" w:themeColor="accent3"/>
      </w:rPr>
    </w:lvl>
    <w:lvl w:ilvl="2">
      <w:start w:val="1"/>
      <w:numFmt w:val="bullet"/>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nsid w:val="298B6D63"/>
    <w:multiLevelType w:val="hybridMultilevel"/>
    <w:tmpl w:val="65DC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D76ED3"/>
    <w:multiLevelType w:val="hybridMultilevel"/>
    <w:tmpl w:val="3828D10A"/>
    <w:lvl w:ilvl="0" w:tplc="009A6B82">
      <w:start w:val="1"/>
      <w:numFmt w:val="bullet"/>
      <w:lvlText w:val=""/>
      <w:lvlJc w:val="left"/>
      <w:pPr>
        <w:ind w:left="720" w:hanging="360"/>
      </w:pPr>
      <w:rPr>
        <w:rFonts w:ascii="Wingdings 3" w:hAnsi="Wingdings 3"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6B1E"/>
    <w:multiLevelType w:val="hybridMultilevel"/>
    <w:tmpl w:val="CD24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7608C"/>
    <w:multiLevelType w:val="hybridMultilevel"/>
    <w:tmpl w:val="457E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6922B9"/>
    <w:multiLevelType w:val="hybridMultilevel"/>
    <w:tmpl w:val="5CFCCB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0E75C3"/>
    <w:multiLevelType w:val="hybridMultilevel"/>
    <w:tmpl w:val="2F7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50453"/>
    <w:multiLevelType w:val="hybridMultilevel"/>
    <w:tmpl w:val="318E6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AF0719"/>
    <w:multiLevelType w:val="hybridMultilevel"/>
    <w:tmpl w:val="2862C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F03FF3"/>
    <w:multiLevelType w:val="hybridMultilevel"/>
    <w:tmpl w:val="129E79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83665F"/>
    <w:multiLevelType w:val="hybridMultilevel"/>
    <w:tmpl w:val="11D6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E530BF"/>
    <w:multiLevelType w:val="hybridMultilevel"/>
    <w:tmpl w:val="93D61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6">
    <w:nsid w:val="4FDE2AFD"/>
    <w:multiLevelType w:val="hybridMultilevel"/>
    <w:tmpl w:val="D384E53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27">
    <w:nsid w:val="527462F2"/>
    <w:multiLevelType w:val="hybridMultilevel"/>
    <w:tmpl w:val="75E8C4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E42B81"/>
    <w:multiLevelType w:val="hybridMultilevel"/>
    <w:tmpl w:val="541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4D9D"/>
    <w:multiLevelType w:val="hybridMultilevel"/>
    <w:tmpl w:val="7C8C93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31">
    <w:nsid w:val="55821A55"/>
    <w:multiLevelType w:val="hybridMultilevel"/>
    <w:tmpl w:val="D0A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B35DB5"/>
    <w:multiLevelType w:val="hybridMultilevel"/>
    <w:tmpl w:val="C75E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1A77C4"/>
    <w:multiLevelType w:val="hybridMultilevel"/>
    <w:tmpl w:val="F356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9E4F11"/>
    <w:multiLevelType w:val="hybridMultilevel"/>
    <w:tmpl w:val="830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783DF1"/>
    <w:multiLevelType w:val="hybridMultilevel"/>
    <w:tmpl w:val="D94023D2"/>
    <w:lvl w:ilvl="0" w:tplc="0809000F">
      <w:start w:val="1"/>
      <w:numFmt w:val="decimal"/>
      <w:lvlText w:val="%1."/>
      <w:lvlJc w:val="left"/>
      <w:pPr>
        <w:ind w:left="720" w:hanging="360"/>
      </w:pPr>
      <w:rPr>
        <w:rFonts w:hint="default"/>
      </w:rPr>
    </w:lvl>
    <w:lvl w:ilvl="1" w:tplc="08090001">
      <w:start w:val="1"/>
      <w:numFmt w:val="bullet"/>
      <w:lvlText w:val=""/>
      <w:lvlJc w:val="left"/>
      <w:pPr>
        <w:ind w:left="1636"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F564C1"/>
    <w:multiLevelType w:val="hybridMultilevel"/>
    <w:tmpl w:val="90C42E92"/>
    <w:lvl w:ilvl="0" w:tplc="1AB84C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F3061A"/>
    <w:multiLevelType w:val="hybridMultilevel"/>
    <w:tmpl w:val="659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9">
    <w:nsid w:val="70431BF1"/>
    <w:multiLevelType w:val="hybridMultilevel"/>
    <w:tmpl w:val="50EC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6945B77"/>
    <w:multiLevelType w:val="hybridMultilevel"/>
    <w:tmpl w:val="4C4ED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8680F2F"/>
    <w:multiLevelType w:val="hybridMultilevel"/>
    <w:tmpl w:val="420AF92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nsid w:val="7D2D7D12"/>
    <w:multiLevelType w:val="hybridMultilevel"/>
    <w:tmpl w:val="E8942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264C1B"/>
    <w:multiLevelType w:val="hybridMultilevel"/>
    <w:tmpl w:val="E0B4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2"/>
  </w:num>
  <w:num w:numId="3">
    <w:abstractNumId w:val="36"/>
  </w:num>
  <w:num w:numId="4">
    <w:abstractNumId w:val="2"/>
  </w:num>
  <w:num w:numId="5">
    <w:abstractNumId w:val="38"/>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5"/>
  </w:num>
  <w:num w:numId="9">
    <w:abstractNumId w:val="42"/>
  </w:num>
  <w:num w:numId="10">
    <w:abstractNumId w:val="38"/>
  </w:num>
  <w:num w:numId="11">
    <w:abstractNumId w:val="11"/>
  </w:num>
  <w:num w:numId="12">
    <w:abstractNumId w:val="30"/>
  </w:num>
  <w:num w:numId="13">
    <w:abstractNumId w:val="37"/>
  </w:num>
  <w:num w:numId="14">
    <w:abstractNumId w:val="4"/>
  </w:num>
  <w:num w:numId="15">
    <w:abstractNumId w:val="10"/>
  </w:num>
  <w:num w:numId="16">
    <w:abstractNumId w:val="15"/>
  </w:num>
  <w:num w:numId="17">
    <w:abstractNumId w:val="6"/>
  </w:num>
  <w:num w:numId="18">
    <w:abstractNumId w:val="7"/>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0"/>
  </w:num>
  <w:num w:numId="22">
    <w:abstractNumId w:val="31"/>
  </w:num>
  <w:num w:numId="23">
    <w:abstractNumId w:val="3"/>
  </w:num>
  <w:num w:numId="24">
    <w:abstractNumId w:val="24"/>
  </w:num>
  <w:num w:numId="25">
    <w:abstractNumId w:val="44"/>
  </w:num>
  <w:num w:numId="26">
    <w:abstractNumId w:val="35"/>
  </w:num>
  <w:num w:numId="27">
    <w:abstractNumId w:val="8"/>
  </w:num>
  <w:num w:numId="28">
    <w:abstractNumId w:val="14"/>
  </w:num>
  <w:num w:numId="29">
    <w:abstractNumId w:val="28"/>
  </w:num>
  <w:num w:numId="30">
    <w:abstractNumId w:val="17"/>
  </w:num>
  <w:num w:numId="31">
    <w:abstractNumId w:val="5"/>
  </w:num>
  <w:num w:numId="32">
    <w:abstractNumId w:val="22"/>
  </w:num>
  <w:num w:numId="33">
    <w:abstractNumId w:val="33"/>
  </w:num>
  <w:num w:numId="34">
    <w:abstractNumId w:val="43"/>
  </w:num>
  <w:num w:numId="35">
    <w:abstractNumId w:val="0"/>
  </w:num>
  <w:num w:numId="36">
    <w:abstractNumId w:val="29"/>
  </w:num>
  <w:num w:numId="37">
    <w:abstractNumId w:val="23"/>
  </w:num>
  <w:num w:numId="38">
    <w:abstractNumId w:val="18"/>
  </w:num>
  <w:num w:numId="39">
    <w:abstractNumId w:val="20"/>
  </w:num>
  <w:num w:numId="40">
    <w:abstractNumId w:val="26"/>
  </w:num>
  <w:num w:numId="41">
    <w:abstractNumId w:val="16"/>
  </w:num>
  <w:num w:numId="42">
    <w:abstractNumId w:val="1"/>
  </w:num>
  <w:num w:numId="43">
    <w:abstractNumId w:val="27"/>
  </w:num>
  <w:num w:numId="44">
    <w:abstractNumId w:val="41"/>
    <w:lvlOverride w:ilvl="0">
      <w:startOverride w:val="1"/>
    </w:lvlOverride>
    <w:lvlOverride w:ilvl="1"/>
    <w:lvlOverride w:ilvl="2"/>
    <w:lvlOverride w:ilvl="3"/>
    <w:lvlOverride w:ilvl="4"/>
    <w:lvlOverride w:ilvl="5"/>
    <w:lvlOverride w:ilvl="6"/>
    <w:lvlOverride w:ilvl="7"/>
    <w:lvlOverride w:ilvl="8"/>
  </w:num>
  <w:num w:numId="45">
    <w:abstractNumId w:val="34"/>
  </w:num>
  <w:num w:numId="46">
    <w:abstractNumId w:val="39"/>
  </w:num>
  <w:num w:numId="47">
    <w:abstractNumId w:val="9"/>
  </w:num>
  <w:num w:numId="48">
    <w:abstractNumId w:val="12"/>
  </w:num>
  <w:num w:numId="49">
    <w:abstractNumId w:val="21"/>
  </w:num>
  <w:num w:numId="5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BF"/>
    <w:rsid w:val="00012D11"/>
    <w:rsid w:val="0001482A"/>
    <w:rsid w:val="00021C86"/>
    <w:rsid w:val="0002522A"/>
    <w:rsid w:val="0004067C"/>
    <w:rsid w:val="0004144B"/>
    <w:rsid w:val="0004188F"/>
    <w:rsid w:val="000436A0"/>
    <w:rsid w:val="00045A24"/>
    <w:rsid w:val="00061435"/>
    <w:rsid w:val="00062035"/>
    <w:rsid w:val="00065E35"/>
    <w:rsid w:val="00075B43"/>
    <w:rsid w:val="0008022B"/>
    <w:rsid w:val="00080794"/>
    <w:rsid w:val="00090871"/>
    <w:rsid w:val="00091279"/>
    <w:rsid w:val="00096CAE"/>
    <w:rsid w:val="000B3DFB"/>
    <w:rsid w:val="000B6410"/>
    <w:rsid w:val="000B6434"/>
    <w:rsid w:val="000C2625"/>
    <w:rsid w:val="000D4280"/>
    <w:rsid w:val="000D5C83"/>
    <w:rsid w:val="000E4D92"/>
    <w:rsid w:val="000F0B51"/>
    <w:rsid w:val="000F7FB9"/>
    <w:rsid w:val="00100D00"/>
    <w:rsid w:val="00104840"/>
    <w:rsid w:val="00117998"/>
    <w:rsid w:val="00134DCC"/>
    <w:rsid w:val="0013598A"/>
    <w:rsid w:val="001368D5"/>
    <w:rsid w:val="0014146A"/>
    <w:rsid w:val="00144483"/>
    <w:rsid w:val="00146ACD"/>
    <w:rsid w:val="0016210E"/>
    <w:rsid w:val="00175F65"/>
    <w:rsid w:val="00196B98"/>
    <w:rsid w:val="001A51F3"/>
    <w:rsid w:val="001A6534"/>
    <w:rsid w:val="001B37CB"/>
    <w:rsid w:val="001C088F"/>
    <w:rsid w:val="001C1EE5"/>
    <w:rsid w:val="001C4302"/>
    <w:rsid w:val="001D3BB2"/>
    <w:rsid w:val="001D45C3"/>
    <w:rsid w:val="001E29E2"/>
    <w:rsid w:val="001E55BA"/>
    <w:rsid w:val="001E65D6"/>
    <w:rsid w:val="001E7DE4"/>
    <w:rsid w:val="001F141E"/>
    <w:rsid w:val="001F38AE"/>
    <w:rsid w:val="001F5A79"/>
    <w:rsid w:val="001F5E3A"/>
    <w:rsid w:val="001F662D"/>
    <w:rsid w:val="0021493E"/>
    <w:rsid w:val="00214BAA"/>
    <w:rsid w:val="00215A02"/>
    <w:rsid w:val="002215E0"/>
    <w:rsid w:val="00224281"/>
    <w:rsid w:val="00225EC2"/>
    <w:rsid w:val="00246075"/>
    <w:rsid w:val="00252509"/>
    <w:rsid w:val="00253ABA"/>
    <w:rsid w:val="002575C6"/>
    <w:rsid w:val="00257FA0"/>
    <w:rsid w:val="00260B8A"/>
    <w:rsid w:val="0027112D"/>
    <w:rsid w:val="00271513"/>
    <w:rsid w:val="00274C4E"/>
    <w:rsid w:val="002766AD"/>
    <w:rsid w:val="00277139"/>
    <w:rsid w:val="0027754F"/>
    <w:rsid w:val="002839CE"/>
    <w:rsid w:val="00284B13"/>
    <w:rsid w:val="00290A28"/>
    <w:rsid w:val="002A05CC"/>
    <w:rsid w:val="002A3188"/>
    <w:rsid w:val="002A367D"/>
    <w:rsid w:val="002A47D9"/>
    <w:rsid w:val="002B271F"/>
    <w:rsid w:val="002C64EC"/>
    <w:rsid w:val="002D1E75"/>
    <w:rsid w:val="002D46EA"/>
    <w:rsid w:val="002E51CE"/>
    <w:rsid w:val="002E735F"/>
    <w:rsid w:val="002F0E5A"/>
    <w:rsid w:val="002F3CC9"/>
    <w:rsid w:val="0030062C"/>
    <w:rsid w:val="00302F2B"/>
    <w:rsid w:val="003063AF"/>
    <w:rsid w:val="003075E3"/>
    <w:rsid w:val="00310E7E"/>
    <w:rsid w:val="00326FF5"/>
    <w:rsid w:val="00327CB8"/>
    <w:rsid w:val="0034003C"/>
    <w:rsid w:val="00347B7E"/>
    <w:rsid w:val="0035486E"/>
    <w:rsid w:val="00356FD1"/>
    <w:rsid w:val="00361B9A"/>
    <w:rsid w:val="00361E83"/>
    <w:rsid w:val="003670EE"/>
    <w:rsid w:val="00367F1D"/>
    <w:rsid w:val="00370DEA"/>
    <w:rsid w:val="003747C5"/>
    <w:rsid w:val="00380BF9"/>
    <w:rsid w:val="00386746"/>
    <w:rsid w:val="003876CA"/>
    <w:rsid w:val="00391134"/>
    <w:rsid w:val="00397E5B"/>
    <w:rsid w:val="003A09D2"/>
    <w:rsid w:val="003A4ADC"/>
    <w:rsid w:val="003B1AA4"/>
    <w:rsid w:val="003B62D4"/>
    <w:rsid w:val="003B7DF7"/>
    <w:rsid w:val="003C656B"/>
    <w:rsid w:val="003D1171"/>
    <w:rsid w:val="003D59BA"/>
    <w:rsid w:val="003E104E"/>
    <w:rsid w:val="003E1350"/>
    <w:rsid w:val="003F7EE7"/>
    <w:rsid w:val="0041072E"/>
    <w:rsid w:val="00414E24"/>
    <w:rsid w:val="00415F4F"/>
    <w:rsid w:val="00422E95"/>
    <w:rsid w:val="00430B03"/>
    <w:rsid w:val="0043213F"/>
    <w:rsid w:val="00433360"/>
    <w:rsid w:val="0044453C"/>
    <w:rsid w:val="00454872"/>
    <w:rsid w:val="00462388"/>
    <w:rsid w:val="00462696"/>
    <w:rsid w:val="00463AC9"/>
    <w:rsid w:val="00464F16"/>
    <w:rsid w:val="0047543F"/>
    <w:rsid w:val="00481913"/>
    <w:rsid w:val="004832C2"/>
    <w:rsid w:val="0048351F"/>
    <w:rsid w:val="00485B13"/>
    <w:rsid w:val="00494844"/>
    <w:rsid w:val="004A0DBE"/>
    <w:rsid w:val="004A4C3B"/>
    <w:rsid w:val="004B1A8A"/>
    <w:rsid w:val="004B513B"/>
    <w:rsid w:val="004B5CE4"/>
    <w:rsid w:val="004C0184"/>
    <w:rsid w:val="004C441A"/>
    <w:rsid w:val="004C49C9"/>
    <w:rsid w:val="004D680E"/>
    <w:rsid w:val="004E2AED"/>
    <w:rsid w:val="004E4550"/>
    <w:rsid w:val="004F1C42"/>
    <w:rsid w:val="004F39E5"/>
    <w:rsid w:val="004F4E59"/>
    <w:rsid w:val="00504F62"/>
    <w:rsid w:val="00506278"/>
    <w:rsid w:val="00514AE6"/>
    <w:rsid w:val="00514B1B"/>
    <w:rsid w:val="00517593"/>
    <w:rsid w:val="00526D74"/>
    <w:rsid w:val="00533AF8"/>
    <w:rsid w:val="00535EAF"/>
    <w:rsid w:val="005373FE"/>
    <w:rsid w:val="005418AC"/>
    <w:rsid w:val="00545671"/>
    <w:rsid w:val="0054568A"/>
    <w:rsid w:val="00554B6B"/>
    <w:rsid w:val="005567DA"/>
    <w:rsid w:val="005607B4"/>
    <w:rsid w:val="00564544"/>
    <w:rsid w:val="00566077"/>
    <w:rsid w:val="005708E6"/>
    <w:rsid w:val="00571FBE"/>
    <w:rsid w:val="00575368"/>
    <w:rsid w:val="00575414"/>
    <w:rsid w:val="00577609"/>
    <w:rsid w:val="0059677B"/>
    <w:rsid w:val="005A43C1"/>
    <w:rsid w:val="005A7BA6"/>
    <w:rsid w:val="005C4347"/>
    <w:rsid w:val="005C6304"/>
    <w:rsid w:val="005E4160"/>
    <w:rsid w:val="005F28D9"/>
    <w:rsid w:val="005F36A3"/>
    <w:rsid w:val="005F5C81"/>
    <w:rsid w:val="006062EB"/>
    <w:rsid w:val="00614968"/>
    <w:rsid w:val="006247E2"/>
    <w:rsid w:val="0063448E"/>
    <w:rsid w:val="00635355"/>
    <w:rsid w:val="00641681"/>
    <w:rsid w:val="00644CAE"/>
    <w:rsid w:val="006511BB"/>
    <w:rsid w:val="00652555"/>
    <w:rsid w:val="00656F4A"/>
    <w:rsid w:val="006604F9"/>
    <w:rsid w:val="00661C9C"/>
    <w:rsid w:val="00664E10"/>
    <w:rsid w:val="006655E7"/>
    <w:rsid w:val="00665601"/>
    <w:rsid w:val="00667AF0"/>
    <w:rsid w:val="00673813"/>
    <w:rsid w:val="006769B3"/>
    <w:rsid w:val="006906A6"/>
    <w:rsid w:val="006940D4"/>
    <w:rsid w:val="00695326"/>
    <w:rsid w:val="006A19FC"/>
    <w:rsid w:val="006A282E"/>
    <w:rsid w:val="006A56AC"/>
    <w:rsid w:val="006A76DE"/>
    <w:rsid w:val="006B0242"/>
    <w:rsid w:val="006C43CB"/>
    <w:rsid w:val="006D0551"/>
    <w:rsid w:val="006D1AEB"/>
    <w:rsid w:val="006D3EAF"/>
    <w:rsid w:val="006E4ABA"/>
    <w:rsid w:val="006E6BB7"/>
    <w:rsid w:val="006E7AC8"/>
    <w:rsid w:val="006F772F"/>
    <w:rsid w:val="00706C89"/>
    <w:rsid w:val="00732213"/>
    <w:rsid w:val="00732A29"/>
    <w:rsid w:val="00733F76"/>
    <w:rsid w:val="00737683"/>
    <w:rsid w:val="00742166"/>
    <w:rsid w:val="00742739"/>
    <w:rsid w:val="00742AA4"/>
    <w:rsid w:val="0074373F"/>
    <w:rsid w:val="00744D36"/>
    <w:rsid w:val="00745716"/>
    <w:rsid w:val="0075498A"/>
    <w:rsid w:val="00755B65"/>
    <w:rsid w:val="00756F93"/>
    <w:rsid w:val="00760B46"/>
    <w:rsid w:val="00761DB9"/>
    <w:rsid w:val="007629B5"/>
    <w:rsid w:val="00772A1E"/>
    <w:rsid w:val="00781DC7"/>
    <w:rsid w:val="007837C1"/>
    <w:rsid w:val="00783E70"/>
    <w:rsid w:val="00785A1B"/>
    <w:rsid w:val="00786187"/>
    <w:rsid w:val="00791481"/>
    <w:rsid w:val="00797E69"/>
    <w:rsid w:val="007A0EC6"/>
    <w:rsid w:val="007A3930"/>
    <w:rsid w:val="007A3A60"/>
    <w:rsid w:val="007B31BB"/>
    <w:rsid w:val="007B7EB5"/>
    <w:rsid w:val="007C61D0"/>
    <w:rsid w:val="007E0D34"/>
    <w:rsid w:val="007E3442"/>
    <w:rsid w:val="007F2CBD"/>
    <w:rsid w:val="007F57CD"/>
    <w:rsid w:val="007F68E7"/>
    <w:rsid w:val="00800479"/>
    <w:rsid w:val="0080524D"/>
    <w:rsid w:val="008202B4"/>
    <w:rsid w:val="0082054E"/>
    <w:rsid w:val="00822F71"/>
    <w:rsid w:val="0083244F"/>
    <w:rsid w:val="00851A49"/>
    <w:rsid w:val="00856A55"/>
    <w:rsid w:val="0086553B"/>
    <w:rsid w:val="0086566F"/>
    <w:rsid w:val="00873023"/>
    <w:rsid w:val="0088034B"/>
    <w:rsid w:val="0088069B"/>
    <w:rsid w:val="008840E6"/>
    <w:rsid w:val="008906E3"/>
    <w:rsid w:val="00893BFC"/>
    <w:rsid w:val="008A60C0"/>
    <w:rsid w:val="008A7EAA"/>
    <w:rsid w:val="008B267E"/>
    <w:rsid w:val="008B54C5"/>
    <w:rsid w:val="008C19D4"/>
    <w:rsid w:val="008C37E1"/>
    <w:rsid w:val="008D59E3"/>
    <w:rsid w:val="008D72FC"/>
    <w:rsid w:val="008E2E60"/>
    <w:rsid w:val="008F1716"/>
    <w:rsid w:val="00900444"/>
    <w:rsid w:val="00904E4A"/>
    <w:rsid w:val="009145C8"/>
    <w:rsid w:val="0091659B"/>
    <w:rsid w:val="00917FDB"/>
    <w:rsid w:val="00924B55"/>
    <w:rsid w:val="00932443"/>
    <w:rsid w:val="009431B9"/>
    <w:rsid w:val="00946F94"/>
    <w:rsid w:val="00951A54"/>
    <w:rsid w:val="00967AFC"/>
    <w:rsid w:val="00970972"/>
    <w:rsid w:val="00971409"/>
    <w:rsid w:val="00971775"/>
    <w:rsid w:val="00976093"/>
    <w:rsid w:val="00981C41"/>
    <w:rsid w:val="00983A7B"/>
    <w:rsid w:val="00992C1B"/>
    <w:rsid w:val="00997D7C"/>
    <w:rsid w:val="009A2CC1"/>
    <w:rsid w:val="009A6EE6"/>
    <w:rsid w:val="009A74CD"/>
    <w:rsid w:val="009A7A9F"/>
    <w:rsid w:val="009B6848"/>
    <w:rsid w:val="009C73D2"/>
    <w:rsid w:val="009C7BC5"/>
    <w:rsid w:val="009D11F9"/>
    <w:rsid w:val="009D29BD"/>
    <w:rsid w:val="009D59A9"/>
    <w:rsid w:val="00A025BC"/>
    <w:rsid w:val="00A11B1B"/>
    <w:rsid w:val="00A13998"/>
    <w:rsid w:val="00A14299"/>
    <w:rsid w:val="00A15241"/>
    <w:rsid w:val="00A226BC"/>
    <w:rsid w:val="00A345C6"/>
    <w:rsid w:val="00A35742"/>
    <w:rsid w:val="00A405F0"/>
    <w:rsid w:val="00A42CEC"/>
    <w:rsid w:val="00A46692"/>
    <w:rsid w:val="00A46D6E"/>
    <w:rsid w:val="00A63FBA"/>
    <w:rsid w:val="00A64C94"/>
    <w:rsid w:val="00A7067A"/>
    <w:rsid w:val="00A81BF3"/>
    <w:rsid w:val="00A8485F"/>
    <w:rsid w:val="00A86A24"/>
    <w:rsid w:val="00A92C1F"/>
    <w:rsid w:val="00A92F30"/>
    <w:rsid w:val="00AA21BF"/>
    <w:rsid w:val="00AA285C"/>
    <w:rsid w:val="00AA2CBB"/>
    <w:rsid w:val="00AA6DAD"/>
    <w:rsid w:val="00AC139D"/>
    <w:rsid w:val="00AC4090"/>
    <w:rsid w:val="00AC54D6"/>
    <w:rsid w:val="00AD5C41"/>
    <w:rsid w:val="00AE2FEC"/>
    <w:rsid w:val="00AE38F2"/>
    <w:rsid w:val="00AE5EE3"/>
    <w:rsid w:val="00AF3740"/>
    <w:rsid w:val="00B03F7A"/>
    <w:rsid w:val="00B22CB0"/>
    <w:rsid w:val="00B26E6A"/>
    <w:rsid w:val="00B30F14"/>
    <w:rsid w:val="00B34163"/>
    <w:rsid w:val="00B40BCB"/>
    <w:rsid w:val="00B465C5"/>
    <w:rsid w:val="00B46A99"/>
    <w:rsid w:val="00B62844"/>
    <w:rsid w:val="00B65A1D"/>
    <w:rsid w:val="00B66C62"/>
    <w:rsid w:val="00B6709C"/>
    <w:rsid w:val="00B729E0"/>
    <w:rsid w:val="00B7412D"/>
    <w:rsid w:val="00B75D51"/>
    <w:rsid w:val="00B82FAA"/>
    <w:rsid w:val="00B84B8B"/>
    <w:rsid w:val="00B91EA0"/>
    <w:rsid w:val="00B91EA5"/>
    <w:rsid w:val="00B9328E"/>
    <w:rsid w:val="00BA37DC"/>
    <w:rsid w:val="00BA3ADD"/>
    <w:rsid w:val="00BB073D"/>
    <w:rsid w:val="00BB19EE"/>
    <w:rsid w:val="00BB1D09"/>
    <w:rsid w:val="00BC2246"/>
    <w:rsid w:val="00BC3E2E"/>
    <w:rsid w:val="00BC7A9C"/>
    <w:rsid w:val="00BD4118"/>
    <w:rsid w:val="00BD4DF8"/>
    <w:rsid w:val="00BF2D2E"/>
    <w:rsid w:val="00BF2ED7"/>
    <w:rsid w:val="00C014EF"/>
    <w:rsid w:val="00C043A5"/>
    <w:rsid w:val="00C05292"/>
    <w:rsid w:val="00C06749"/>
    <w:rsid w:val="00C13F09"/>
    <w:rsid w:val="00C1404E"/>
    <w:rsid w:val="00C17B5E"/>
    <w:rsid w:val="00C21570"/>
    <w:rsid w:val="00C22656"/>
    <w:rsid w:val="00C232DD"/>
    <w:rsid w:val="00C36C83"/>
    <w:rsid w:val="00C36F58"/>
    <w:rsid w:val="00C426D9"/>
    <w:rsid w:val="00C47CDF"/>
    <w:rsid w:val="00C52167"/>
    <w:rsid w:val="00C66625"/>
    <w:rsid w:val="00C70302"/>
    <w:rsid w:val="00C734A7"/>
    <w:rsid w:val="00C73F78"/>
    <w:rsid w:val="00C76CA2"/>
    <w:rsid w:val="00C84AAE"/>
    <w:rsid w:val="00C85AEE"/>
    <w:rsid w:val="00C94E0B"/>
    <w:rsid w:val="00C9717A"/>
    <w:rsid w:val="00C97D03"/>
    <w:rsid w:val="00CB389B"/>
    <w:rsid w:val="00CB54D1"/>
    <w:rsid w:val="00CC497D"/>
    <w:rsid w:val="00CD1F01"/>
    <w:rsid w:val="00CD4613"/>
    <w:rsid w:val="00CD7FF5"/>
    <w:rsid w:val="00CE668E"/>
    <w:rsid w:val="00D020FC"/>
    <w:rsid w:val="00D113DB"/>
    <w:rsid w:val="00D22920"/>
    <w:rsid w:val="00D22B9B"/>
    <w:rsid w:val="00D32342"/>
    <w:rsid w:val="00D34487"/>
    <w:rsid w:val="00D35945"/>
    <w:rsid w:val="00D40352"/>
    <w:rsid w:val="00D45835"/>
    <w:rsid w:val="00D47316"/>
    <w:rsid w:val="00D50428"/>
    <w:rsid w:val="00D60FAB"/>
    <w:rsid w:val="00D62688"/>
    <w:rsid w:val="00D6482A"/>
    <w:rsid w:val="00D64C39"/>
    <w:rsid w:val="00D73A35"/>
    <w:rsid w:val="00D809DE"/>
    <w:rsid w:val="00D82104"/>
    <w:rsid w:val="00D833CA"/>
    <w:rsid w:val="00D85BBF"/>
    <w:rsid w:val="00D90E9F"/>
    <w:rsid w:val="00D92B02"/>
    <w:rsid w:val="00D966D3"/>
    <w:rsid w:val="00D97B27"/>
    <w:rsid w:val="00DA1032"/>
    <w:rsid w:val="00DA2D9F"/>
    <w:rsid w:val="00DA387F"/>
    <w:rsid w:val="00DA5EA2"/>
    <w:rsid w:val="00DB1903"/>
    <w:rsid w:val="00DB35A5"/>
    <w:rsid w:val="00DB4B61"/>
    <w:rsid w:val="00DC2B83"/>
    <w:rsid w:val="00DC323D"/>
    <w:rsid w:val="00DD7BAB"/>
    <w:rsid w:val="00DE0CDB"/>
    <w:rsid w:val="00DE4848"/>
    <w:rsid w:val="00DF025E"/>
    <w:rsid w:val="00E001C9"/>
    <w:rsid w:val="00E05E80"/>
    <w:rsid w:val="00E077C6"/>
    <w:rsid w:val="00E12C98"/>
    <w:rsid w:val="00E1424C"/>
    <w:rsid w:val="00E17A57"/>
    <w:rsid w:val="00E22734"/>
    <w:rsid w:val="00E253CF"/>
    <w:rsid w:val="00E34DCF"/>
    <w:rsid w:val="00E37FCC"/>
    <w:rsid w:val="00E544E6"/>
    <w:rsid w:val="00E904F5"/>
    <w:rsid w:val="00E91D6B"/>
    <w:rsid w:val="00E93510"/>
    <w:rsid w:val="00E93DE1"/>
    <w:rsid w:val="00E96239"/>
    <w:rsid w:val="00EA0D68"/>
    <w:rsid w:val="00EA1534"/>
    <w:rsid w:val="00EA3C90"/>
    <w:rsid w:val="00EA414C"/>
    <w:rsid w:val="00EA438F"/>
    <w:rsid w:val="00EB21F3"/>
    <w:rsid w:val="00EB2F42"/>
    <w:rsid w:val="00EB6D4F"/>
    <w:rsid w:val="00ED0A5B"/>
    <w:rsid w:val="00ED1A71"/>
    <w:rsid w:val="00EE184E"/>
    <w:rsid w:val="00EE5CAF"/>
    <w:rsid w:val="00EE64AA"/>
    <w:rsid w:val="00EF1560"/>
    <w:rsid w:val="00EF34EA"/>
    <w:rsid w:val="00EF39D0"/>
    <w:rsid w:val="00EF5482"/>
    <w:rsid w:val="00F06093"/>
    <w:rsid w:val="00F114E9"/>
    <w:rsid w:val="00F17E31"/>
    <w:rsid w:val="00F23067"/>
    <w:rsid w:val="00F271F8"/>
    <w:rsid w:val="00F32513"/>
    <w:rsid w:val="00F3305D"/>
    <w:rsid w:val="00F40B80"/>
    <w:rsid w:val="00F42DB3"/>
    <w:rsid w:val="00F435CC"/>
    <w:rsid w:val="00F6141B"/>
    <w:rsid w:val="00F7162D"/>
    <w:rsid w:val="00F71FBA"/>
    <w:rsid w:val="00F77152"/>
    <w:rsid w:val="00F96FCE"/>
    <w:rsid w:val="00FA3D4E"/>
    <w:rsid w:val="00FA65A2"/>
    <w:rsid w:val="00FB7158"/>
    <w:rsid w:val="00FC1559"/>
    <w:rsid w:val="00FC63A4"/>
    <w:rsid w:val="00FD093E"/>
    <w:rsid w:val="00FD174D"/>
    <w:rsid w:val="00FD1C48"/>
    <w:rsid w:val="00FD5D24"/>
    <w:rsid w:val="00FE78AF"/>
    <w:rsid w:val="00FF171A"/>
    <w:rsid w:val="00FF65FB"/>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EA414C"/>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3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EF5482"/>
    <w:pPr>
      <w:ind w:left="720"/>
      <w:contextualSpacing/>
    </w:pPr>
  </w:style>
  <w:style w:type="paragraph" w:customStyle="1" w:styleId="Default">
    <w:name w:val="Default"/>
    <w:rsid w:val="00BF2ED7"/>
    <w:pPr>
      <w:autoSpaceDE w:val="0"/>
      <w:autoSpaceDN w:val="0"/>
      <w:adjustRightInd w:val="0"/>
      <w:spacing w:after="0" w:line="240" w:lineRule="auto"/>
    </w:pPr>
    <w:rPr>
      <w:rFonts w:ascii="Avenir Next LT Pro" w:hAnsi="Avenir Next LT Pro" w:cs="Avenir Next LT Pro"/>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257FA0"/>
  </w:style>
  <w:style w:type="table" w:customStyle="1" w:styleId="GridTable4Accent1">
    <w:name w:val="Grid Table 4 Accent 1"/>
    <w:basedOn w:val="TableNormal"/>
    <w:uiPriority w:val="49"/>
    <w:rsid w:val="0088034B"/>
    <w:pPr>
      <w:spacing w:after="0" w:line="240" w:lineRule="auto"/>
    </w:pPr>
    <w:rPr>
      <w:rFonts w:cstheme="minorBidi"/>
      <w:color w:val="auto"/>
      <w:sz w:val="22"/>
      <w:szCs w:val="22"/>
    </w:rPr>
    <w:tblPr>
      <w:tblStyleRowBandSize w:val="1"/>
      <w:tblStyleColBandSize w:val="1"/>
      <w:tblInd w:w="0" w:type="nil"/>
      <w:tblBorders>
        <w:top w:val="single" w:sz="4" w:space="0" w:color="975BD2" w:themeColor="accent1" w:themeTint="99"/>
        <w:left w:val="single" w:sz="4" w:space="0" w:color="975BD2" w:themeColor="accent1" w:themeTint="99"/>
        <w:bottom w:val="single" w:sz="4" w:space="0" w:color="975BD2" w:themeColor="accent1" w:themeTint="99"/>
        <w:right w:val="single" w:sz="4" w:space="0" w:color="975BD2" w:themeColor="accent1" w:themeTint="99"/>
        <w:insideH w:val="single" w:sz="4" w:space="0" w:color="975BD2" w:themeColor="accent1" w:themeTint="99"/>
        <w:insideV w:val="single" w:sz="4" w:space="0" w:color="975BD2" w:themeColor="accent1" w:themeTint="99"/>
      </w:tblBorders>
    </w:tblPr>
    <w:tblStylePr w:type="firstRow">
      <w:rPr>
        <w:b/>
        <w:bCs/>
        <w:color w:val="FFFFFF" w:themeColor="background1"/>
      </w:rPr>
      <w:tblPr/>
      <w:tcPr>
        <w:tcBorders>
          <w:top w:val="single" w:sz="4" w:space="0" w:color="522380" w:themeColor="accent1"/>
          <w:left w:val="single" w:sz="4" w:space="0" w:color="522380" w:themeColor="accent1"/>
          <w:bottom w:val="single" w:sz="4" w:space="0" w:color="522380" w:themeColor="accent1"/>
          <w:right w:val="single" w:sz="4" w:space="0" w:color="522380" w:themeColor="accent1"/>
          <w:insideH w:val="nil"/>
          <w:insideV w:val="nil"/>
        </w:tcBorders>
        <w:shd w:val="clear" w:color="auto" w:fill="522380" w:themeFill="accent1"/>
      </w:tcPr>
    </w:tblStylePr>
    <w:tblStylePr w:type="lastRow">
      <w:rPr>
        <w:b/>
        <w:bCs/>
      </w:rPr>
      <w:tblPr/>
      <w:tcPr>
        <w:tcBorders>
          <w:top w:val="double" w:sz="4" w:space="0" w:color="522380" w:themeColor="accent1"/>
        </w:tcBorders>
      </w:tcPr>
    </w:tblStylePr>
    <w:tblStylePr w:type="firstCol">
      <w:rPr>
        <w:b/>
        <w:bCs/>
      </w:rPr>
    </w:tblStylePr>
    <w:tblStylePr w:type="lastCol">
      <w:rPr>
        <w:b/>
        <w:bCs/>
      </w:rPr>
    </w:tblStylePr>
    <w:tblStylePr w:type="band1Vert">
      <w:tblPr/>
      <w:tcPr>
        <w:shd w:val="clear" w:color="auto" w:fill="DCC8F0" w:themeFill="accent1" w:themeFillTint="33"/>
      </w:tcPr>
    </w:tblStylePr>
    <w:tblStylePr w:type="band1Horz">
      <w:tblPr/>
      <w:tcPr>
        <w:shd w:val="clear" w:color="auto" w:fill="DCC8F0" w:themeFill="accent1" w:themeFillTint="33"/>
      </w:tcPr>
    </w:tblStylePr>
  </w:style>
  <w:style w:type="character" w:customStyle="1" w:styleId="apple-converted-space">
    <w:name w:val="apple-converted-space"/>
    <w:basedOn w:val="DefaultParagraphFont"/>
    <w:rsid w:val="006E6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EA414C"/>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3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EF5482"/>
    <w:pPr>
      <w:ind w:left="720"/>
      <w:contextualSpacing/>
    </w:pPr>
  </w:style>
  <w:style w:type="paragraph" w:customStyle="1" w:styleId="Default">
    <w:name w:val="Default"/>
    <w:rsid w:val="00BF2ED7"/>
    <w:pPr>
      <w:autoSpaceDE w:val="0"/>
      <w:autoSpaceDN w:val="0"/>
      <w:adjustRightInd w:val="0"/>
      <w:spacing w:after="0" w:line="240" w:lineRule="auto"/>
    </w:pPr>
    <w:rPr>
      <w:rFonts w:ascii="Avenir Next LT Pro" w:hAnsi="Avenir Next LT Pro" w:cs="Avenir Next LT Pro"/>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257FA0"/>
  </w:style>
  <w:style w:type="table" w:customStyle="1" w:styleId="GridTable4Accent1">
    <w:name w:val="Grid Table 4 Accent 1"/>
    <w:basedOn w:val="TableNormal"/>
    <w:uiPriority w:val="49"/>
    <w:rsid w:val="0088034B"/>
    <w:pPr>
      <w:spacing w:after="0" w:line="240" w:lineRule="auto"/>
    </w:pPr>
    <w:rPr>
      <w:rFonts w:cstheme="minorBidi"/>
      <w:color w:val="auto"/>
      <w:sz w:val="22"/>
      <w:szCs w:val="22"/>
    </w:rPr>
    <w:tblPr>
      <w:tblStyleRowBandSize w:val="1"/>
      <w:tblStyleColBandSize w:val="1"/>
      <w:tblInd w:w="0" w:type="nil"/>
      <w:tblBorders>
        <w:top w:val="single" w:sz="4" w:space="0" w:color="975BD2" w:themeColor="accent1" w:themeTint="99"/>
        <w:left w:val="single" w:sz="4" w:space="0" w:color="975BD2" w:themeColor="accent1" w:themeTint="99"/>
        <w:bottom w:val="single" w:sz="4" w:space="0" w:color="975BD2" w:themeColor="accent1" w:themeTint="99"/>
        <w:right w:val="single" w:sz="4" w:space="0" w:color="975BD2" w:themeColor="accent1" w:themeTint="99"/>
        <w:insideH w:val="single" w:sz="4" w:space="0" w:color="975BD2" w:themeColor="accent1" w:themeTint="99"/>
        <w:insideV w:val="single" w:sz="4" w:space="0" w:color="975BD2" w:themeColor="accent1" w:themeTint="99"/>
      </w:tblBorders>
    </w:tblPr>
    <w:tblStylePr w:type="firstRow">
      <w:rPr>
        <w:b/>
        <w:bCs/>
        <w:color w:val="FFFFFF" w:themeColor="background1"/>
      </w:rPr>
      <w:tblPr/>
      <w:tcPr>
        <w:tcBorders>
          <w:top w:val="single" w:sz="4" w:space="0" w:color="522380" w:themeColor="accent1"/>
          <w:left w:val="single" w:sz="4" w:space="0" w:color="522380" w:themeColor="accent1"/>
          <w:bottom w:val="single" w:sz="4" w:space="0" w:color="522380" w:themeColor="accent1"/>
          <w:right w:val="single" w:sz="4" w:space="0" w:color="522380" w:themeColor="accent1"/>
          <w:insideH w:val="nil"/>
          <w:insideV w:val="nil"/>
        </w:tcBorders>
        <w:shd w:val="clear" w:color="auto" w:fill="522380" w:themeFill="accent1"/>
      </w:tcPr>
    </w:tblStylePr>
    <w:tblStylePr w:type="lastRow">
      <w:rPr>
        <w:b/>
        <w:bCs/>
      </w:rPr>
      <w:tblPr/>
      <w:tcPr>
        <w:tcBorders>
          <w:top w:val="double" w:sz="4" w:space="0" w:color="522380" w:themeColor="accent1"/>
        </w:tcBorders>
      </w:tcPr>
    </w:tblStylePr>
    <w:tblStylePr w:type="firstCol">
      <w:rPr>
        <w:b/>
        <w:bCs/>
      </w:rPr>
    </w:tblStylePr>
    <w:tblStylePr w:type="lastCol">
      <w:rPr>
        <w:b/>
        <w:bCs/>
      </w:rPr>
    </w:tblStylePr>
    <w:tblStylePr w:type="band1Vert">
      <w:tblPr/>
      <w:tcPr>
        <w:shd w:val="clear" w:color="auto" w:fill="DCC8F0" w:themeFill="accent1" w:themeFillTint="33"/>
      </w:tcPr>
    </w:tblStylePr>
    <w:tblStylePr w:type="band1Horz">
      <w:tblPr/>
      <w:tcPr>
        <w:shd w:val="clear" w:color="auto" w:fill="DCC8F0" w:themeFill="accent1" w:themeFillTint="33"/>
      </w:tcPr>
    </w:tblStylePr>
  </w:style>
  <w:style w:type="character" w:customStyle="1" w:styleId="apple-converted-space">
    <w:name w:val="apple-converted-space"/>
    <w:basedOn w:val="DefaultParagraphFont"/>
    <w:rsid w:val="006E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09638">
      <w:bodyDiv w:val="1"/>
      <w:marLeft w:val="0"/>
      <w:marRight w:val="0"/>
      <w:marTop w:val="0"/>
      <w:marBottom w:val="0"/>
      <w:divBdr>
        <w:top w:val="none" w:sz="0" w:space="0" w:color="auto"/>
        <w:left w:val="none" w:sz="0" w:space="0" w:color="auto"/>
        <w:bottom w:val="none" w:sz="0" w:space="0" w:color="auto"/>
        <w:right w:val="none" w:sz="0" w:space="0" w:color="auto"/>
      </w:divBdr>
    </w:div>
    <w:div w:id="922489282">
      <w:bodyDiv w:val="1"/>
      <w:marLeft w:val="0"/>
      <w:marRight w:val="0"/>
      <w:marTop w:val="0"/>
      <w:marBottom w:val="0"/>
      <w:divBdr>
        <w:top w:val="none" w:sz="0" w:space="0" w:color="auto"/>
        <w:left w:val="none" w:sz="0" w:space="0" w:color="auto"/>
        <w:bottom w:val="none" w:sz="0" w:space="0" w:color="auto"/>
        <w:right w:val="none" w:sz="0" w:space="0" w:color="auto"/>
      </w:divBdr>
    </w:div>
    <w:div w:id="1146973150">
      <w:bodyDiv w:val="1"/>
      <w:marLeft w:val="0"/>
      <w:marRight w:val="0"/>
      <w:marTop w:val="0"/>
      <w:marBottom w:val="0"/>
      <w:divBdr>
        <w:top w:val="none" w:sz="0" w:space="0" w:color="auto"/>
        <w:left w:val="none" w:sz="0" w:space="0" w:color="auto"/>
        <w:bottom w:val="none" w:sz="0" w:space="0" w:color="auto"/>
        <w:right w:val="none" w:sz="0" w:space="0" w:color="auto"/>
      </w:divBdr>
    </w:div>
    <w:div w:id="202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statistics/english-indices-of-deprivation-2015" TargetMode="External"/><Relationship Id="rId4" Type="http://schemas.microsoft.com/office/2007/relationships/stylesWithEffects" Target="stylesWithEffects.xml"/><Relationship Id="rId9" Type="http://schemas.openxmlformats.org/officeDocument/2006/relationships/hyperlink" Target="mailto:jamie.saddler@londoncouncils.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PUBLISHING%20TEAM\2014\Portfolio%20briefings%20template\Template\revised%20template%2029%20May\London%20Council%20Briefing%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69A48DCF1345CF9F44A89FFF6C7D27"/>
        <w:category>
          <w:name w:val="General"/>
          <w:gallery w:val="placeholder"/>
        </w:category>
        <w:types>
          <w:type w:val="bbPlcHdr"/>
        </w:types>
        <w:behaviors>
          <w:behavior w:val="content"/>
        </w:behaviors>
        <w:guid w:val="{DA628B6F-42C9-4E61-A33C-734D6B5F23D8}"/>
      </w:docPartPr>
      <w:docPartBody>
        <w:p w:rsidR="00806F29" w:rsidRDefault="00680517">
          <w:pPr>
            <w:pStyle w:val="8F69A48DCF1345CF9F44A89FFF6C7D27"/>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Next LT Pro">
    <w:altName w:val="Avenir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29"/>
    <w:rsid w:val="0009188D"/>
    <w:rsid w:val="000B61F8"/>
    <w:rsid w:val="00680517"/>
    <w:rsid w:val="006873B6"/>
    <w:rsid w:val="00712799"/>
    <w:rsid w:val="00806F29"/>
    <w:rsid w:val="008862C9"/>
    <w:rsid w:val="009354F1"/>
    <w:rsid w:val="009D3E50"/>
    <w:rsid w:val="00A63ED1"/>
    <w:rsid w:val="00D2089B"/>
    <w:rsid w:val="00D85701"/>
    <w:rsid w:val="00DF7C8E"/>
    <w:rsid w:val="00E357F0"/>
    <w:rsid w:val="00E70178"/>
    <w:rsid w:val="00EF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178"/>
    <w:rPr>
      <w:color w:val="808080"/>
    </w:rPr>
  </w:style>
  <w:style w:type="paragraph" w:customStyle="1" w:styleId="8F69A48DCF1345CF9F44A89FFF6C7D27">
    <w:name w:val="8F69A48DCF1345CF9F44A89FFF6C7D27"/>
  </w:style>
  <w:style w:type="paragraph" w:customStyle="1" w:styleId="ED1B1100A2244F28BE603ED0E76B77D1">
    <w:name w:val="ED1B1100A2244F28BE603ED0E76B77D1"/>
    <w:rsid w:val="00E70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178"/>
    <w:rPr>
      <w:color w:val="808080"/>
    </w:rPr>
  </w:style>
  <w:style w:type="paragraph" w:customStyle="1" w:styleId="8F69A48DCF1345CF9F44A89FFF6C7D27">
    <w:name w:val="8F69A48DCF1345CF9F44A89FFF6C7D27"/>
  </w:style>
  <w:style w:type="paragraph" w:customStyle="1" w:styleId="ED1B1100A2244F28BE603ED0E76B77D1">
    <w:name w:val="ED1B1100A2244F28BE603ED0E76B77D1"/>
    <w:rsid w:val="00E70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AD32-E83E-4929-8555-F2BDA092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Briefing Word Template</Template>
  <TotalTime>48</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London Council Briefing Word Template</vt:lpstr>
    </vt:vector>
  </TitlesOfParts>
  <Company>Creative Template Solutions Limited</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Briefing Word Template</dc:title>
  <dc:creator>Ian Mitchell</dc:creator>
  <cp:lastModifiedBy>Jamie Saddler</cp:lastModifiedBy>
  <cp:revision>3</cp:revision>
  <cp:lastPrinted>2016-11-02T09:55:00Z</cp:lastPrinted>
  <dcterms:created xsi:type="dcterms:W3CDTF">2016-10-31T14:53:00Z</dcterms:created>
  <dcterms:modified xsi:type="dcterms:W3CDTF">2016-11-02T15:49:00Z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May 2014</vt:lpwstr>
  </property>
</Properties>
</file>