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Ind w:w="93" w:type="dxa"/>
        <w:tblLayout w:type="fixed"/>
        <w:tblLook w:val="04A0" w:firstRow="1" w:lastRow="0" w:firstColumn="1" w:lastColumn="0" w:noHBand="0" w:noVBand="1"/>
      </w:tblPr>
      <w:tblGrid>
        <w:gridCol w:w="2567"/>
        <w:gridCol w:w="2977"/>
        <w:gridCol w:w="3969"/>
      </w:tblGrid>
      <w:tr w:rsidR="0050289B" w:rsidRPr="00BB35A2" w:rsidTr="00232DB5">
        <w:trPr>
          <w:trHeight w:val="336"/>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A03B04">
            <w:pPr>
              <w:ind w:left="567" w:hanging="567"/>
              <w:jc w:val="both"/>
              <w:rPr>
                <w:rFonts w:cs="Arial"/>
                <w:b/>
                <w:bCs/>
                <w:sz w:val="20"/>
                <w:szCs w:val="20"/>
                <w:lang w:eastAsia="en-GB"/>
              </w:rPr>
            </w:pPr>
            <w:r>
              <w:rPr>
                <w:rFonts w:cs="Arial"/>
                <w:b/>
                <w:bCs/>
                <w:sz w:val="20"/>
                <w:szCs w:val="20"/>
                <w:lang w:eastAsia="en-GB"/>
              </w:rPr>
              <w:t>Borough name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9F0FEA" w:rsidP="00232DB5">
            <w:pPr>
              <w:rPr>
                <w:rFonts w:cs="Arial"/>
                <w:b/>
                <w:bCs/>
                <w:sz w:val="16"/>
                <w:szCs w:val="16"/>
                <w:lang w:eastAsia="en-GB"/>
              </w:rPr>
            </w:pPr>
            <w:r w:rsidRPr="009F0FEA">
              <w:rPr>
                <w:rFonts w:cs="Arial"/>
                <w:b/>
                <w:bCs/>
                <w:sz w:val="20"/>
                <w:szCs w:val="16"/>
                <w:lang w:eastAsia="en-GB"/>
              </w:rPr>
              <w:t>Repeat incidents of domestic violence cases reviewed</w:t>
            </w:r>
            <w:r w:rsidR="00232DB5">
              <w:rPr>
                <w:rFonts w:cs="Arial"/>
                <w:b/>
                <w:bCs/>
                <w:sz w:val="20"/>
                <w:szCs w:val="16"/>
                <w:lang w:eastAsia="en-GB"/>
              </w:rPr>
              <w:t xml:space="preserve"> </w:t>
            </w:r>
            <w:r w:rsidRPr="009F0FEA">
              <w:rPr>
                <w:rFonts w:cs="Arial"/>
                <w:b/>
                <w:bCs/>
                <w:sz w:val="20"/>
                <w:szCs w:val="16"/>
                <w:lang w:eastAsia="en-GB"/>
              </w:rPr>
              <w:t xml:space="preserve">at MARAC </w:t>
            </w:r>
            <w:r>
              <w:rPr>
                <w:rFonts w:cs="Arial"/>
                <w:b/>
                <w:bCs/>
                <w:sz w:val="20"/>
                <w:szCs w:val="16"/>
                <w:lang w:eastAsia="en-GB"/>
              </w:rPr>
              <w:t>(</w:t>
            </w:r>
            <w:r w:rsidRPr="009F0FEA">
              <w:rPr>
                <w:rFonts w:cs="Arial"/>
                <w:b/>
                <w:bCs/>
                <w:sz w:val="20"/>
                <w:szCs w:val="16"/>
                <w:lang w:eastAsia="en-GB"/>
              </w:rPr>
              <w:t>NI 32</w:t>
            </w:r>
            <w:r>
              <w:rPr>
                <w:rFonts w:cs="Arial"/>
                <w:b/>
                <w:bCs/>
                <w:sz w:val="20"/>
                <w:szCs w:val="16"/>
                <w:lang w:eastAsia="en-GB"/>
              </w:rPr>
              <w:t>)</w:t>
            </w:r>
          </w:p>
        </w:tc>
        <w:tc>
          <w:tcPr>
            <w:tcW w:w="3969" w:type="dxa"/>
            <w:tcBorders>
              <w:top w:val="single" w:sz="4" w:space="0" w:color="auto"/>
              <w:left w:val="single" w:sz="4" w:space="0" w:color="auto"/>
              <w:bottom w:val="single" w:sz="4" w:space="0" w:color="auto"/>
              <w:right w:val="single" w:sz="4" w:space="0" w:color="auto"/>
            </w:tcBorders>
          </w:tcPr>
          <w:p w:rsidR="0050289B" w:rsidRPr="00F43E84" w:rsidRDefault="0050289B" w:rsidP="00A03B04">
            <w:pPr>
              <w:rPr>
                <w:rFonts w:cs="Arial"/>
                <w:b/>
                <w:bCs/>
                <w:sz w:val="20"/>
                <w:szCs w:val="16"/>
                <w:lang w:eastAsia="en-GB"/>
              </w:rPr>
            </w:pPr>
            <w:r>
              <w:rPr>
                <w:rFonts w:cs="Arial"/>
                <w:b/>
                <w:bCs/>
                <w:sz w:val="20"/>
                <w:szCs w:val="16"/>
                <w:lang w:eastAsia="en-GB"/>
              </w:rPr>
              <w:t>Link to authorities website for further information</w:t>
            </w:r>
            <w:r w:rsidR="00232DB5">
              <w:rPr>
                <w:rFonts w:cs="Arial"/>
                <w:b/>
                <w:bCs/>
                <w:sz w:val="20"/>
                <w:szCs w:val="16"/>
                <w:lang w:eastAsia="en-GB"/>
              </w:rPr>
              <w:t xml:space="preserve"> – If provided</w:t>
            </w: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Barnet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8.5</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5B412A" w:rsidP="005B412A">
            <w:pPr>
              <w:ind w:left="567" w:hanging="567"/>
              <w:rPr>
                <w:rFonts w:cs="Arial"/>
                <w:sz w:val="20"/>
                <w:szCs w:val="20"/>
                <w:lang w:eastAsia="en-GB"/>
              </w:rPr>
            </w:pPr>
            <w:r>
              <w:rPr>
                <w:rFonts w:cs="Arial"/>
                <w:sz w:val="18"/>
                <w:szCs w:val="20"/>
                <w:lang w:eastAsia="en-GB"/>
              </w:rPr>
              <w:t>www.barnet.gov.uk/performance</w:t>
            </w:r>
            <w:bookmarkStart w:id="0" w:name="_GoBack"/>
            <w:bookmarkEnd w:id="0"/>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Ealing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21.0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Royal Greenwich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17.3</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Hackney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15.0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Hammersmith &amp; Fulham</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24.0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Harrow</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12.0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Havering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15.7</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Hounslow</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8.0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Lambeth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23.0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Newham</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Sutton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30.5</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44E0" w:rsidRDefault="008F44E0">
            <w:pPr>
              <w:rPr>
                <w:rFonts w:cs="Arial"/>
                <w:sz w:val="20"/>
                <w:szCs w:val="20"/>
              </w:rPr>
            </w:pPr>
            <w:r>
              <w:rPr>
                <w:rFonts w:cs="Arial"/>
                <w:sz w:val="20"/>
                <w:szCs w:val="20"/>
              </w:rPr>
              <w:t>Tower Hamlets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A03B04">
            <w:pPr>
              <w:ind w:left="567" w:hanging="567"/>
              <w:jc w:val="center"/>
              <w:rPr>
                <w:rFonts w:cs="Arial"/>
                <w:sz w:val="20"/>
                <w:szCs w:val="20"/>
                <w:lang w:eastAsia="en-GB"/>
              </w:rPr>
            </w:pPr>
          </w:p>
        </w:tc>
      </w:tr>
      <w:tr w:rsidR="008F44E0" w:rsidRPr="00BB35A2" w:rsidTr="00232DB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Wandsworth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23.0</w:t>
            </w:r>
          </w:p>
        </w:tc>
        <w:tc>
          <w:tcPr>
            <w:tcW w:w="3969" w:type="dxa"/>
            <w:tcBorders>
              <w:top w:val="single" w:sz="4" w:space="0" w:color="auto"/>
              <w:left w:val="single" w:sz="4" w:space="0" w:color="auto"/>
              <w:bottom w:val="single" w:sz="4" w:space="0" w:color="auto"/>
              <w:right w:val="single" w:sz="4" w:space="0" w:color="auto"/>
            </w:tcBorders>
          </w:tcPr>
          <w:p w:rsidR="008F44E0" w:rsidRPr="008C3E14" w:rsidRDefault="008F44E0" w:rsidP="008F44E0">
            <w:pPr>
              <w:ind w:left="33" w:hanging="33"/>
              <w:jc w:val="center"/>
              <w:rPr>
                <w:rFonts w:cs="Arial"/>
                <w:sz w:val="20"/>
                <w:szCs w:val="20"/>
                <w:lang w:eastAsia="en-GB"/>
              </w:rPr>
            </w:pPr>
            <w:r w:rsidRPr="00232DB5">
              <w:rPr>
                <w:sz w:val="18"/>
              </w:rPr>
              <w:t>http://www.wandsworth.gov.uk/info/200310/about_the_council/72/performance_indicators</w:t>
            </w:r>
          </w:p>
        </w:tc>
      </w:tr>
      <w:tr w:rsidR="008F44E0" w:rsidRPr="00BB35A2" w:rsidTr="004D155C">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4E0" w:rsidRDefault="008F44E0">
            <w:pPr>
              <w:rPr>
                <w:rFonts w:cs="Arial"/>
                <w:sz w:val="20"/>
                <w:szCs w:val="20"/>
              </w:rPr>
            </w:pPr>
            <w:r>
              <w:rPr>
                <w:rFonts w:cs="Arial"/>
                <w:sz w:val="20"/>
                <w:szCs w:val="20"/>
              </w:rPr>
              <w:t>Westminster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4E0" w:rsidRDefault="008F44E0">
            <w:pPr>
              <w:jc w:val="center"/>
              <w:rPr>
                <w:rFonts w:cs="Arial"/>
                <w:sz w:val="20"/>
                <w:szCs w:val="20"/>
              </w:rPr>
            </w:pPr>
            <w:r>
              <w:rPr>
                <w:rFonts w:cs="Arial"/>
                <w:sz w:val="20"/>
                <w:szCs w:val="20"/>
              </w:rPr>
              <w:t>27.0</w:t>
            </w:r>
          </w:p>
        </w:tc>
        <w:tc>
          <w:tcPr>
            <w:tcW w:w="3969" w:type="dxa"/>
            <w:tcBorders>
              <w:top w:val="single" w:sz="4" w:space="0" w:color="auto"/>
              <w:left w:val="single" w:sz="4" w:space="0" w:color="auto"/>
              <w:bottom w:val="single" w:sz="4" w:space="0" w:color="auto"/>
              <w:right w:val="single" w:sz="4" w:space="0" w:color="auto"/>
            </w:tcBorders>
            <w:vAlign w:val="center"/>
          </w:tcPr>
          <w:p w:rsidR="008F44E0" w:rsidRDefault="008F44E0" w:rsidP="00232DB5"/>
        </w:tc>
      </w:tr>
      <w:tr w:rsidR="0050289B" w:rsidRPr="00BB35A2" w:rsidTr="00232DB5">
        <w:trPr>
          <w:trHeight w:val="240"/>
        </w:trPr>
        <w:tc>
          <w:tcPr>
            <w:tcW w:w="9513" w:type="dxa"/>
            <w:gridSpan w:val="3"/>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C739BD">
            <w:pPr>
              <w:ind w:left="567" w:hanging="567"/>
              <w:jc w:val="center"/>
              <w:rPr>
                <w:rFonts w:cs="Arial"/>
                <w:sz w:val="20"/>
                <w:szCs w:val="20"/>
                <w:lang w:eastAsia="en-GB"/>
              </w:rPr>
            </w:pPr>
            <w:r w:rsidRPr="008C3E14">
              <w:rPr>
                <w:rFonts w:cs="Arial"/>
                <w:b/>
                <w:sz w:val="24"/>
              </w:rPr>
              <w:t>Meta data:</w:t>
            </w:r>
          </w:p>
        </w:tc>
      </w:tr>
      <w:tr w:rsidR="0050289B" w:rsidRPr="00BB35A2" w:rsidTr="00232DB5">
        <w:trPr>
          <w:trHeight w:val="240"/>
        </w:trPr>
        <w:tc>
          <w:tcPr>
            <w:tcW w:w="2567"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232DB5">
            <w:pPr>
              <w:ind w:left="49" w:hanging="49"/>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46"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4E6944" w:rsidRDefault="007F6440" w:rsidP="0050289B">
            <w:pPr>
              <w:ind w:left="567" w:hanging="567"/>
              <w:rPr>
                <w:rFonts w:cs="Arial"/>
                <w:sz w:val="20"/>
                <w:szCs w:val="20"/>
              </w:rPr>
            </w:pPr>
            <w:r>
              <w:rPr>
                <w:rFonts w:cs="Arial"/>
                <w:sz w:val="20"/>
                <w:szCs w:val="20"/>
              </w:rPr>
              <w:t xml:space="preserve">1 </w:t>
            </w:r>
            <w:r w:rsidR="0050289B" w:rsidRPr="004E6944">
              <w:rPr>
                <w:rFonts w:cs="Arial"/>
                <w:sz w:val="20"/>
                <w:szCs w:val="20"/>
              </w:rPr>
              <w:t xml:space="preserve">April </w:t>
            </w:r>
            <w:r>
              <w:rPr>
                <w:rFonts w:cs="Arial"/>
                <w:sz w:val="20"/>
                <w:szCs w:val="20"/>
              </w:rPr>
              <w:t>20</w:t>
            </w:r>
            <w:r w:rsidR="0050289B" w:rsidRPr="004E6944">
              <w:rPr>
                <w:rFonts w:cs="Arial"/>
                <w:sz w:val="20"/>
                <w:szCs w:val="20"/>
              </w:rPr>
              <w:t xml:space="preserve">13 to </w:t>
            </w:r>
            <w:r>
              <w:rPr>
                <w:rFonts w:cs="Arial"/>
                <w:sz w:val="20"/>
                <w:szCs w:val="20"/>
              </w:rPr>
              <w:t xml:space="preserve">31 </w:t>
            </w:r>
            <w:r w:rsidR="0050289B" w:rsidRPr="004E6944">
              <w:rPr>
                <w:rFonts w:cs="Arial"/>
                <w:sz w:val="20"/>
                <w:szCs w:val="20"/>
              </w:rPr>
              <w:t xml:space="preserve">March </w:t>
            </w:r>
            <w:r>
              <w:rPr>
                <w:rFonts w:cs="Arial"/>
                <w:sz w:val="20"/>
                <w:szCs w:val="20"/>
              </w:rPr>
              <w:t>20</w:t>
            </w:r>
            <w:r w:rsidR="0050289B" w:rsidRPr="004E6944">
              <w:rPr>
                <w:rFonts w:cs="Arial"/>
                <w:sz w:val="20"/>
                <w:szCs w:val="20"/>
              </w:rPr>
              <w:t>14</w:t>
            </w:r>
          </w:p>
        </w:tc>
      </w:tr>
      <w:tr w:rsidR="0050289B" w:rsidRPr="00BB35A2"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232DB5">
            <w:pPr>
              <w:ind w:left="49" w:hanging="49"/>
              <w:rPr>
                <w:rFonts w:cs="Arial"/>
                <w:sz w:val="20"/>
                <w:szCs w:val="20"/>
                <w:lang w:eastAsia="en-GB"/>
              </w:rPr>
            </w:pPr>
            <w:r w:rsidRPr="005B6660">
              <w:rPr>
                <w:rFonts w:cs="Arial"/>
                <w:b/>
                <w:color w:val="000000"/>
                <w:sz w:val="20"/>
                <w:szCs w:val="20"/>
              </w:rPr>
              <w:t>What does this indicator measure?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0B5BAC" w:rsidP="0050289B">
            <w:pPr>
              <w:rPr>
                <w:rFonts w:cs="Arial"/>
                <w:sz w:val="20"/>
                <w:szCs w:val="20"/>
              </w:rPr>
            </w:pPr>
            <w:r w:rsidRPr="000B5BAC">
              <w:rPr>
                <w:rFonts w:eastAsiaTheme="minorHAnsi" w:cs="Arial"/>
                <w:sz w:val="20"/>
                <w:szCs w:val="20"/>
              </w:rPr>
              <w:t>Rate of repeat victimisation for those domestic violence cases reviewed by a MARAC</w:t>
            </w:r>
          </w:p>
        </w:tc>
      </w:tr>
      <w:tr w:rsidR="0050289B" w:rsidRPr="00BB35A2"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232DB5">
            <w:pPr>
              <w:ind w:left="49" w:hanging="49"/>
              <w:rPr>
                <w:rFonts w:cs="Arial"/>
                <w:b/>
                <w:color w:val="000000"/>
                <w:sz w:val="20"/>
                <w:szCs w:val="20"/>
              </w:rPr>
            </w:pPr>
            <w:r w:rsidRPr="005B6660">
              <w:rPr>
                <w:rFonts w:cs="Arial"/>
                <w:b/>
                <w:bCs/>
                <w:color w:val="000000"/>
                <w:sz w:val="20"/>
                <w:szCs w:val="20"/>
                <w:lang w:eastAsia="en-GB"/>
              </w:rPr>
              <w:t>Purpose/aim</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9344E0" w:rsidRDefault="0050289B" w:rsidP="0050289B">
            <w:pPr>
              <w:ind w:left="49" w:hanging="49"/>
              <w:rPr>
                <w:rFonts w:cs="Arial"/>
                <w:sz w:val="20"/>
                <w:szCs w:val="20"/>
              </w:rPr>
            </w:pPr>
            <w:r w:rsidRPr="009344E0">
              <w:rPr>
                <w:rFonts w:cs="Arial"/>
                <w:sz w:val="20"/>
                <w:szCs w:val="20"/>
              </w:rPr>
              <w:t>To monitor the level of sickness absence in local authorities</w:t>
            </w:r>
          </w:p>
        </w:tc>
      </w:tr>
      <w:tr w:rsidR="0050289B" w:rsidRPr="00BB35A2"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232DB5">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Domestic violence (abuse) is defined by ACPO as: ‘any incidence of threatening behaviour, violence or abuse (psychological, physical, sexual, financial or emotional) between adults, aged 18 and over, who are or have been intimate partners or family members, regardless of gender or sexuality’.</w:t>
            </w:r>
          </w:p>
          <w:p w:rsidR="000B5BAC" w:rsidRPr="000B5BAC" w:rsidRDefault="00232DB5" w:rsidP="000B5BAC">
            <w:pPr>
              <w:autoSpaceDE w:val="0"/>
              <w:autoSpaceDN w:val="0"/>
              <w:adjustRightInd w:val="0"/>
              <w:rPr>
                <w:rFonts w:eastAsiaTheme="minorHAnsi" w:cs="Arial"/>
                <w:sz w:val="20"/>
                <w:szCs w:val="20"/>
              </w:rPr>
            </w:pPr>
            <w:r w:rsidRPr="00232DB5">
              <w:rPr>
                <w:rFonts w:eastAsiaTheme="minorHAnsi" w:cs="Arial"/>
                <w:sz w:val="20"/>
                <w:szCs w:val="20"/>
              </w:rPr>
              <w:t>Multi Agency Risk Assessment Conference</w:t>
            </w:r>
            <w:r>
              <w:rPr>
                <w:rFonts w:cs="Arial"/>
                <w:color w:val="222222"/>
                <w:shd w:val="clear" w:color="auto" w:fill="FFFFFF"/>
              </w:rPr>
              <w:t xml:space="preserve"> (</w:t>
            </w:r>
            <w:r w:rsidR="000B5BAC" w:rsidRPr="000B5BAC">
              <w:rPr>
                <w:rFonts w:eastAsiaTheme="minorHAnsi" w:cs="Arial"/>
                <w:sz w:val="20"/>
                <w:szCs w:val="20"/>
              </w:rPr>
              <w:t>MARAC</w:t>
            </w:r>
            <w:r>
              <w:rPr>
                <w:rFonts w:eastAsiaTheme="minorHAnsi" w:cs="Arial"/>
                <w:sz w:val="20"/>
                <w:szCs w:val="20"/>
              </w:rPr>
              <w:t>)</w:t>
            </w:r>
            <w:r w:rsidR="000B5BAC" w:rsidRPr="000B5BAC">
              <w:rPr>
                <w:rFonts w:eastAsiaTheme="minorHAnsi" w:cs="Arial"/>
                <w:sz w:val="20"/>
                <w:szCs w:val="20"/>
              </w:rPr>
              <w:t>: Victims of domestic violence referred to a MARAC will be those who have been identified (often by the police) as high or very high risk (i.e. of serious injury or of being killed) based on a common risk assessment tool that is informed by both victim and assessor information. It is recommended that MARACs are held at fortnightly intervals, where information relevant to the immediate safety of the victim is shared. All cases that are reviewed at a MARAC should be flagged by the police.</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For the purposes of this indicator, a case should be defined as a combination of a victim and perpetrator (or groups of perpetrators), being reviewed at the same MARAC.</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Once a case has been taken to MARAC it remains flagged as a MARAC case for a total of 12 months after the most recent MARAC review. For example, if a case is seen at a MARAC once only, in January, it will be flagged for 12 months after this date. If this case is then reviewed at the same MARAC in the April of the same year, then the case will be flagged for 12 months from April.</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A repeat case occurs when a case that is reviewed at MARAC has</w:t>
            </w:r>
            <w:r>
              <w:rPr>
                <w:rFonts w:eastAsiaTheme="minorHAnsi" w:cs="Arial"/>
                <w:sz w:val="20"/>
                <w:szCs w:val="20"/>
              </w:rPr>
              <w:t xml:space="preserve"> </w:t>
            </w:r>
            <w:r w:rsidRPr="000B5BAC">
              <w:rPr>
                <w:rFonts w:eastAsiaTheme="minorHAnsi" w:cs="Arial"/>
                <w:sz w:val="20"/>
                <w:szCs w:val="20"/>
              </w:rPr>
              <w:t>also been reviewed at the same MARAC within the preceding 12</w:t>
            </w:r>
            <w:r>
              <w:rPr>
                <w:rFonts w:eastAsiaTheme="minorHAnsi" w:cs="Arial"/>
                <w:sz w:val="20"/>
                <w:szCs w:val="20"/>
              </w:rPr>
              <w:t xml:space="preserve"> </w:t>
            </w:r>
            <w:r w:rsidRPr="000B5BAC">
              <w:rPr>
                <w:rFonts w:eastAsiaTheme="minorHAnsi" w:cs="Arial"/>
                <w:sz w:val="20"/>
                <w:szCs w:val="20"/>
              </w:rPr>
              <w:t>months (from the review). Each repeat case will also be counted</w:t>
            </w:r>
            <w:r>
              <w:rPr>
                <w:rFonts w:eastAsiaTheme="minorHAnsi" w:cs="Arial"/>
                <w:sz w:val="20"/>
                <w:szCs w:val="20"/>
              </w:rPr>
              <w:t xml:space="preserve"> </w:t>
            </w:r>
            <w:r w:rsidRPr="000B5BAC">
              <w:rPr>
                <w:rFonts w:eastAsiaTheme="minorHAnsi" w:cs="Arial"/>
                <w:sz w:val="20"/>
                <w:szCs w:val="20"/>
              </w:rPr>
              <w:t>each time an incident involving criminal behaviour takes place,</w:t>
            </w:r>
            <w:r>
              <w:rPr>
                <w:rFonts w:eastAsiaTheme="minorHAnsi" w:cs="Arial"/>
                <w:sz w:val="20"/>
                <w:szCs w:val="20"/>
              </w:rPr>
              <w:t xml:space="preserve"> </w:t>
            </w:r>
            <w:r w:rsidRPr="000B5BAC">
              <w:rPr>
                <w:rFonts w:eastAsiaTheme="minorHAnsi" w:cs="Arial"/>
                <w:sz w:val="20"/>
                <w:szCs w:val="20"/>
              </w:rPr>
              <w:t>and the case is therefore reviewed within the given 12 month</w:t>
            </w:r>
            <w:r>
              <w:rPr>
                <w:rFonts w:eastAsiaTheme="minorHAnsi" w:cs="Arial"/>
                <w:sz w:val="20"/>
                <w:szCs w:val="20"/>
              </w:rPr>
              <w:t xml:space="preserve"> </w:t>
            </w:r>
            <w:r w:rsidRPr="000B5BAC">
              <w:rPr>
                <w:rFonts w:eastAsiaTheme="minorHAnsi" w:cs="Arial"/>
                <w:sz w:val="20"/>
                <w:szCs w:val="20"/>
              </w:rPr>
              <w:t>period (i.e. if a case first comes to MARAC in January and then is</w:t>
            </w:r>
            <w:r>
              <w:rPr>
                <w:rFonts w:eastAsiaTheme="minorHAnsi" w:cs="Arial"/>
                <w:sz w:val="20"/>
                <w:szCs w:val="20"/>
              </w:rPr>
              <w:t xml:space="preserve"> </w:t>
            </w:r>
            <w:r w:rsidRPr="000B5BAC">
              <w:rPr>
                <w:rFonts w:eastAsiaTheme="minorHAnsi" w:cs="Arial"/>
                <w:sz w:val="20"/>
                <w:szCs w:val="20"/>
              </w:rPr>
              <w:t>reviewed in February and July then this will count as two repeats).</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All MARAC reviews are a consequence of at least one incident</w:t>
            </w:r>
            <w:r>
              <w:rPr>
                <w:rFonts w:eastAsiaTheme="minorHAnsi" w:cs="Arial"/>
                <w:sz w:val="20"/>
                <w:szCs w:val="20"/>
              </w:rPr>
              <w:t xml:space="preserve"> </w:t>
            </w:r>
            <w:r w:rsidRPr="000B5BAC">
              <w:rPr>
                <w:rFonts w:eastAsiaTheme="minorHAnsi" w:cs="Arial"/>
                <w:sz w:val="20"/>
                <w:szCs w:val="20"/>
              </w:rPr>
              <w:t>being reported to at least one MARAC agency and that the</w:t>
            </w:r>
            <w:r>
              <w:rPr>
                <w:rFonts w:eastAsiaTheme="minorHAnsi" w:cs="Arial"/>
                <w:sz w:val="20"/>
                <w:szCs w:val="20"/>
              </w:rPr>
              <w:t xml:space="preserve"> </w:t>
            </w:r>
            <w:r w:rsidRPr="000B5BAC">
              <w:rPr>
                <w:rFonts w:eastAsiaTheme="minorHAnsi" w:cs="Arial"/>
                <w:sz w:val="20"/>
                <w:szCs w:val="20"/>
              </w:rPr>
              <w:t>incident involves:</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Violence or threats of violence; and/or</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there is a pattern of stalking or harassment (the</w:t>
            </w:r>
            <w:r>
              <w:rPr>
                <w:rFonts w:eastAsiaTheme="minorHAnsi" w:cs="Arial"/>
                <w:sz w:val="20"/>
                <w:szCs w:val="20"/>
              </w:rPr>
              <w:t xml:space="preserve"> </w:t>
            </w:r>
            <w:r w:rsidRPr="000B5BAC">
              <w:rPr>
                <w:rFonts w:eastAsiaTheme="minorHAnsi" w:cs="Arial"/>
                <w:sz w:val="20"/>
                <w:szCs w:val="20"/>
              </w:rPr>
              <w:t>repeated following of communication with or other</w:t>
            </w:r>
            <w:r>
              <w:rPr>
                <w:rFonts w:eastAsiaTheme="minorHAnsi" w:cs="Arial"/>
                <w:sz w:val="20"/>
                <w:szCs w:val="20"/>
              </w:rPr>
              <w:t xml:space="preserve"> </w:t>
            </w:r>
            <w:r w:rsidRPr="000B5BAC">
              <w:rPr>
                <w:rFonts w:eastAsiaTheme="minorHAnsi" w:cs="Arial"/>
                <w:sz w:val="20"/>
                <w:szCs w:val="20"/>
              </w:rPr>
              <w:t>intrusions on the privacy of a victim) and or</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rape or sexual abuse is disclosed.</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lastRenderedPageBreak/>
              <w:t>N.B. The repeat incident can be flagged by any of the agencies</w:t>
            </w:r>
            <w:r>
              <w:rPr>
                <w:rFonts w:eastAsiaTheme="minorHAnsi" w:cs="Arial"/>
                <w:sz w:val="20"/>
                <w:szCs w:val="20"/>
              </w:rPr>
              <w:t xml:space="preserve"> </w:t>
            </w:r>
            <w:r w:rsidRPr="000B5BAC">
              <w:rPr>
                <w:rFonts w:eastAsiaTheme="minorHAnsi" w:cs="Arial"/>
                <w:sz w:val="20"/>
                <w:szCs w:val="20"/>
              </w:rPr>
              <w:t>involved in the MARAC.</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Multiple incidents occurring between MARAC meetings only result</w:t>
            </w:r>
            <w:r>
              <w:rPr>
                <w:rFonts w:eastAsiaTheme="minorHAnsi" w:cs="Arial"/>
                <w:sz w:val="20"/>
                <w:szCs w:val="20"/>
              </w:rPr>
              <w:t xml:space="preserve"> </w:t>
            </w:r>
            <w:r w:rsidRPr="000B5BAC">
              <w:rPr>
                <w:rFonts w:eastAsiaTheme="minorHAnsi" w:cs="Arial"/>
                <w:sz w:val="20"/>
                <w:szCs w:val="20"/>
              </w:rPr>
              <w:t>in one MARAC review.</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It is possible for a case to go to MARAC where there is more than</w:t>
            </w:r>
            <w:r>
              <w:rPr>
                <w:rFonts w:eastAsiaTheme="minorHAnsi" w:cs="Arial"/>
                <w:sz w:val="20"/>
                <w:szCs w:val="20"/>
              </w:rPr>
              <w:t xml:space="preserve"> </w:t>
            </w:r>
            <w:r w:rsidRPr="000B5BAC">
              <w:rPr>
                <w:rFonts w:eastAsiaTheme="minorHAnsi" w:cs="Arial"/>
                <w:sz w:val="20"/>
                <w:szCs w:val="20"/>
              </w:rPr>
              <w:t>one perpetrator. This is counted as one case and will be reviewed</w:t>
            </w:r>
            <w:r>
              <w:rPr>
                <w:rFonts w:eastAsiaTheme="minorHAnsi" w:cs="Arial"/>
                <w:sz w:val="20"/>
                <w:szCs w:val="20"/>
              </w:rPr>
              <w:t xml:space="preserve"> </w:t>
            </w:r>
            <w:r w:rsidRPr="000B5BAC">
              <w:rPr>
                <w:rFonts w:eastAsiaTheme="minorHAnsi" w:cs="Arial"/>
                <w:sz w:val="20"/>
                <w:szCs w:val="20"/>
              </w:rPr>
              <w:t>if there are any incidents with any of the named perpetrators.</w:t>
            </w:r>
            <w:r>
              <w:rPr>
                <w:rFonts w:eastAsiaTheme="minorHAnsi" w:cs="Arial"/>
                <w:sz w:val="20"/>
                <w:szCs w:val="20"/>
              </w:rPr>
              <w:t xml:space="preserve"> </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The following do not constitute a repeat case:</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 case is reviewed at the MARAC involving the same</w:t>
            </w:r>
            <w:r>
              <w:rPr>
                <w:rFonts w:eastAsiaTheme="minorHAnsi" w:cs="Arial"/>
                <w:sz w:val="20"/>
                <w:szCs w:val="20"/>
              </w:rPr>
              <w:t xml:space="preserve"> </w:t>
            </w:r>
            <w:r w:rsidRPr="000B5BAC">
              <w:rPr>
                <w:rFonts w:eastAsiaTheme="minorHAnsi" w:cs="Arial"/>
                <w:sz w:val="20"/>
                <w:szCs w:val="20"/>
              </w:rPr>
              <w:t>victim but a different perpetrator or group of perpetrators</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 case is reviewed at the MARAC involving the same</w:t>
            </w:r>
            <w:r>
              <w:rPr>
                <w:rFonts w:eastAsiaTheme="minorHAnsi" w:cs="Arial"/>
                <w:sz w:val="20"/>
                <w:szCs w:val="20"/>
              </w:rPr>
              <w:t xml:space="preserve"> </w:t>
            </w:r>
            <w:r w:rsidRPr="000B5BAC">
              <w:rPr>
                <w:rFonts w:eastAsiaTheme="minorHAnsi" w:cs="Arial"/>
                <w:sz w:val="20"/>
                <w:szCs w:val="20"/>
              </w:rPr>
              <w:t>perpetrator but a different victim</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an incident not involving criminal behaviour occurs and</w:t>
            </w:r>
            <w:r>
              <w:rPr>
                <w:rFonts w:eastAsiaTheme="minorHAnsi" w:cs="Arial"/>
                <w:sz w:val="20"/>
                <w:szCs w:val="20"/>
              </w:rPr>
              <w:t xml:space="preserve"> </w:t>
            </w:r>
            <w:r w:rsidRPr="000B5BAC">
              <w:rPr>
                <w:rFonts w:eastAsiaTheme="minorHAnsi" w:cs="Arial"/>
                <w:sz w:val="20"/>
                <w:szCs w:val="20"/>
              </w:rPr>
              <w:t>is therefore not reviewed at MARAC</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Where the same combination of victim and perpetrator is</w:t>
            </w:r>
            <w:r>
              <w:rPr>
                <w:rFonts w:eastAsiaTheme="minorHAnsi" w:cs="Arial"/>
                <w:sz w:val="20"/>
                <w:szCs w:val="20"/>
              </w:rPr>
              <w:t xml:space="preserve"> </w:t>
            </w:r>
            <w:r w:rsidRPr="000B5BAC">
              <w:rPr>
                <w:rFonts w:eastAsiaTheme="minorHAnsi" w:cs="Arial"/>
                <w:sz w:val="20"/>
                <w:szCs w:val="20"/>
              </w:rPr>
              <w:t>involved, but being reviewed at a different MARAC. This is</w:t>
            </w:r>
            <w:r>
              <w:rPr>
                <w:rFonts w:eastAsiaTheme="minorHAnsi" w:cs="Arial"/>
                <w:sz w:val="20"/>
                <w:szCs w:val="20"/>
              </w:rPr>
              <w:t xml:space="preserve"> </w:t>
            </w:r>
            <w:r w:rsidRPr="000B5BAC">
              <w:rPr>
                <w:rFonts w:eastAsiaTheme="minorHAnsi" w:cs="Arial"/>
                <w:sz w:val="20"/>
                <w:szCs w:val="20"/>
              </w:rPr>
              <w:t>clearly a repeat incident in human terms, however will not be</w:t>
            </w:r>
            <w:r>
              <w:rPr>
                <w:rFonts w:eastAsiaTheme="minorHAnsi" w:cs="Arial"/>
                <w:sz w:val="20"/>
                <w:szCs w:val="20"/>
              </w:rPr>
              <w:t xml:space="preserve"> </w:t>
            </w:r>
            <w:r w:rsidRPr="000B5BAC">
              <w:rPr>
                <w:rFonts w:eastAsiaTheme="minorHAnsi" w:cs="Arial"/>
                <w:sz w:val="20"/>
                <w:szCs w:val="20"/>
              </w:rPr>
              <w:t>recorded as such for the purposes of this indicator.</w:t>
            </w:r>
          </w:p>
          <w:p w:rsidR="000B5BAC" w:rsidRPr="000B5BAC" w:rsidRDefault="000B5BAC" w:rsidP="000B5BAC">
            <w:pPr>
              <w:autoSpaceDE w:val="0"/>
              <w:autoSpaceDN w:val="0"/>
              <w:adjustRightInd w:val="0"/>
              <w:rPr>
                <w:rFonts w:eastAsiaTheme="minorHAnsi" w:cs="Arial"/>
                <w:sz w:val="20"/>
                <w:szCs w:val="20"/>
              </w:rPr>
            </w:pPr>
            <w:r w:rsidRPr="000B5BAC">
              <w:rPr>
                <w:rFonts w:eastAsiaTheme="minorHAnsi" w:cs="Arial"/>
                <w:sz w:val="20"/>
                <w:szCs w:val="20"/>
              </w:rPr>
              <w:t>• Cases which are discussed at a MARAC meeting but for</w:t>
            </w:r>
            <w:r>
              <w:rPr>
                <w:rFonts w:eastAsiaTheme="minorHAnsi" w:cs="Arial"/>
                <w:sz w:val="20"/>
                <w:szCs w:val="20"/>
              </w:rPr>
              <w:t xml:space="preserve"> </w:t>
            </w:r>
            <w:r w:rsidRPr="000B5BAC">
              <w:rPr>
                <w:rFonts w:eastAsiaTheme="minorHAnsi" w:cs="Arial"/>
                <w:sz w:val="20"/>
                <w:szCs w:val="20"/>
              </w:rPr>
              <w:t>information purposes only (e.g. imminent release of perpetrator</w:t>
            </w:r>
            <w:r>
              <w:rPr>
                <w:rFonts w:eastAsiaTheme="minorHAnsi" w:cs="Arial"/>
                <w:sz w:val="20"/>
                <w:szCs w:val="20"/>
              </w:rPr>
              <w:t xml:space="preserve"> </w:t>
            </w:r>
            <w:r w:rsidRPr="000B5BAC">
              <w:rPr>
                <w:rFonts w:eastAsiaTheme="minorHAnsi" w:cs="Arial"/>
                <w:sz w:val="20"/>
                <w:szCs w:val="20"/>
              </w:rPr>
              <w:t>from prison; perpetrator begins IDAP)</w:t>
            </w:r>
          </w:p>
          <w:p w:rsidR="009F0FEA" w:rsidRPr="009344E0" w:rsidRDefault="000B5BAC" w:rsidP="000B5BAC">
            <w:pPr>
              <w:autoSpaceDE w:val="0"/>
              <w:autoSpaceDN w:val="0"/>
              <w:adjustRightInd w:val="0"/>
              <w:rPr>
                <w:rFonts w:cs="Arial"/>
                <w:sz w:val="20"/>
                <w:szCs w:val="20"/>
              </w:rPr>
            </w:pPr>
            <w:r w:rsidRPr="000B5BAC">
              <w:rPr>
                <w:rFonts w:eastAsiaTheme="minorHAnsi" w:cs="Arial"/>
                <w:sz w:val="20"/>
                <w:szCs w:val="20"/>
              </w:rPr>
              <w:t>• Cases which were previously reviewed at the MARAC more</w:t>
            </w:r>
            <w:r>
              <w:rPr>
                <w:rFonts w:eastAsiaTheme="minorHAnsi" w:cs="Arial"/>
                <w:sz w:val="20"/>
                <w:szCs w:val="20"/>
              </w:rPr>
              <w:t xml:space="preserve"> </w:t>
            </w:r>
            <w:r w:rsidRPr="000B5BAC">
              <w:rPr>
                <w:rFonts w:eastAsiaTheme="minorHAnsi" w:cs="Arial"/>
                <w:sz w:val="20"/>
                <w:szCs w:val="20"/>
              </w:rPr>
              <w:t>than 12 months ago.</w:t>
            </w:r>
          </w:p>
        </w:tc>
      </w:tr>
      <w:tr w:rsidR="0050289B" w:rsidRPr="00BB35A2"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lastRenderedPageBreak/>
              <w:t>How calculated</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5BAC" w:rsidRPr="000B5BAC" w:rsidRDefault="005B412A" w:rsidP="000B5BAC">
            <w:pPr>
              <w:rPr>
                <w:rFonts w:ascii="Cambria Math" w:hAnsi="Cambria Math" w:cs="Arial"/>
                <w:sz w:val="20"/>
                <w:szCs w:val="20"/>
                <w:oMath/>
              </w:rPr>
            </w:pPr>
            <m:oMathPara>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m:t>
                        </m:r>
                      </m:den>
                    </m:f>
                  </m:e>
                </m:d>
                <m:r>
                  <w:rPr>
                    <w:rFonts w:ascii="Cambria Math" w:hAnsi="Cambria Math" w:cs="Arial"/>
                    <w:sz w:val="20"/>
                    <w:szCs w:val="20"/>
                  </w:rPr>
                  <m:t>*100</m:t>
                </m:r>
              </m:oMath>
            </m:oMathPara>
          </w:p>
          <w:p w:rsidR="0050289B" w:rsidRPr="004E6944" w:rsidRDefault="000B5BAC" w:rsidP="00241718">
            <w:pPr>
              <w:rPr>
                <w:rFonts w:cs="Arial"/>
                <w:sz w:val="20"/>
                <w:szCs w:val="20"/>
              </w:rPr>
            </w:pPr>
            <w:r w:rsidRPr="000B5BAC">
              <w:rPr>
                <w:rFonts w:cs="Arial"/>
                <w:sz w:val="20"/>
                <w:szCs w:val="20"/>
              </w:rPr>
              <w:t>Where:</w:t>
            </w:r>
            <w:r w:rsidR="00241718">
              <w:rPr>
                <w:rFonts w:cs="Arial"/>
                <w:sz w:val="20"/>
                <w:szCs w:val="20"/>
              </w:rPr>
              <w:t xml:space="preserve"> </w:t>
            </w:r>
            <w:r w:rsidRPr="000B5BAC">
              <w:rPr>
                <w:rFonts w:cs="Arial"/>
                <w:sz w:val="20"/>
                <w:szCs w:val="20"/>
              </w:rPr>
              <w:t>x = Number of repeat cases reviewed at MARAC during the 12 month reporting period (cases which had also been reviewed at the MARAC in the 12 months prior to their review)</w:t>
            </w:r>
            <w:r w:rsidR="00241718">
              <w:rPr>
                <w:rFonts w:cs="Arial"/>
                <w:sz w:val="20"/>
                <w:szCs w:val="20"/>
              </w:rPr>
              <w:t xml:space="preserve"> and </w:t>
            </w:r>
            <w:r w:rsidRPr="000B5BAC">
              <w:rPr>
                <w:rFonts w:cs="Arial"/>
                <w:sz w:val="20"/>
                <w:szCs w:val="20"/>
              </w:rPr>
              <w:t>y = Total number of cases reviewed at MARAC during the 12 month reporting period</w:t>
            </w:r>
          </w:p>
        </w:tc>
      </w:tr>
      <w:tr w:rsidR="0050289B" w:rsidRPr="00BB35A2"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t>Data source</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232DB5">
        <w:trPr>
          <w:trHeight w:val="2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241718" w:rsidRDefault="0050289B" w:rsidP="00232DB5">
            <w:pPr>
              <w:ind w:left="49" w:hanging="49"/>
              <w:rPr>
                <w:rFonts w:cs="Arial"/>
                <w:b/>
                <w:bCs/>
                <w:color w:val="000000"/>
                <w:sz w:val="20"/>
                <w:szCs w:val="20"/>
                <w:lang w:eastAsia="en-GB"/>
              </w:rPr>
            </w:pPr>
            <w:r w:rsidRPr="00241718">
              <w:rPr>
                <w:rFonts w:cs="Arial"/>
                <w:b/>
                <w:bCs/>
                <w:color w:val="000000"/>
                <w:sz w:val="20"/>
                <w:szCs w:val="20"/>
                <w:lang w:eastAsia="en-GB"/>
              </w:rPr>
              <w:t>Data quality</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50289B" w:rsidRDefault="0050289B" w:rsidP="0050289B">
            <w:pPr>
              <w:rPr>
                <w:rFonts w:cs="Arial"/>
                <w:sz w:val="20"/>
                <w:szCs w:val="20"/>
              </w:rPr>
            </w:pPr>
          </w:p>
          <w:p w:rsidR="0050289B" w:rsidRDefault="0050289B" w:rsidP="0050289B">
            <w:pPr>
              <w:rPr>
                <w:rFonts w:cs="Arial"/>
                <w:sz w:val="20"/>
                <w:szCs w:val="20"/>
              </w:rPr>
            </w:pPr>
            <w:r>
              <w:rPr>
                <w:rFonts w:cs="Arial"/>
                <w:sz w:val="20"/>
                <w:szCs w:val="20"/>
              </w:rPr>
              <w:t>No external quality assurance has been conducted on the data.</w:t>
            </w:r>
          </w:p>
          <w:p w:rsidR="0050289B" w:rsidRDefault="0050289B" w:rsidP="0050289B">
            <w:pPr>
              <w:rPr>
                <w:rFonts w:cs="Arial"/>
                <w:sz w:val="20"/>
                <w:szCs w:val="20"/>
              </w:rPr>
            </w:pPr>
          </w:p>
          <w:p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rsidR="00232DB5" w:rsidRDefault="00232DB5" w:rsidP="0050289B">
            <w:pPr>
              <w:rPr>
                <w:rFonts w:cs="Arial"/>
                <w:sz w:val="20"/>
                <w:szCs w:val="20"/>
              </w:rPr>
            </w:pPr>
          </w:p>
          <w:p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rsidR="00ED714E" w:rsidRDefault="005B412A"/>
    <w:sectPr w:rsidR="00ED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0B5BAC"/>
    <w:rsid w:val="00232DB5"/>
    <w:rsid w:val="00241718"/>
    <w:rsid w:val="00494C84"/>
    <w:rsid w:val="0050289B"/>
    <w:rsid w:val="005952B3"/>
    <w:rsid w:val="005B412A"/>
    <w:rsid w:val="007F6440"/>
    <w:rsid w:val="008F44E0"/>
    <w:rsid w:val="009F0FEA"/>
    <w:rsid w:val="00B81B34"/>
    <w:rsid w:val="00C739BD"/>
    <w:rsid w:val="00D2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AC"/>
    <w:rPr>
      <w:rFonts w:ascii="Tahoma" w:hAnsi="Tahoma" w:cs="Tahoma"/>
      <w:sz w:val="16"/>
      <w:szCs w:val="16"/>
    </w:rPr>
  </w:style>
  <w:style w:type="character" w:customStyle="1" w:styleId="BalloonTextChar">
    <w:name w:val="Balloon Text Char"/>
    <w:basedOn w:val="DefaultParagraphFont"/>
    <w:link w:val="BalloonText"/>
    <w:uiPriority w:val="99"/>
    <w:semiHidden/>
    <w:rsid w:val="000B5B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AC"/>
    <w:rPr>
      <w:rFonts w:ascii="Tahoma" w:hAnsi="Tahoma" w:cs="Tahoma"/>
      <w:sz w:val="16"/>
      <w:szCs w:val="16"/>
    </w:rPr>
  </w:style>
  <w:style w:type="character" w:customStyle="1" w:styleId="BalloonTextChar">
    <w:name w:val="Balloon Text Char"/>
    <w:basedOn w:val="DefaultParagraphFont"/>
    <w:link w:val="BalloonText"/>
    <w:uiPriority w:val="99"/>
    <w:semiHidden/>
    <w:rsid w:val="000B5B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7037-8682-476F-B488-9E392FB7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CFB64937.dotm</Template>
  <TotalTime>28</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10</cp:revision>
  <dcterms:created xsi:type="dcterms:W3CDTF">2015-05-20T15:53:00Z</dcterms:created>
  <dcterms:modified xsi:type="dcterms:W3CDTF">2015-07-28T14:04:00Z</dcterms:modified>
</cp:coreProperties>
</file>