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tblInd w:w="93" w:type="dxa"/>
        <w:tblLayout w:type="fixed"/>
        <w:tblLook w:val="04A0" w:firstRow="1" w:lastRow="0" w:firstColumn="1" w:lastColumn="0" w:noHBand="0" w:noVBand="1"/>
      </w:tblPr>
      <w:tblGrid>
        <w:gridCol w:w="2425"/>
        <w:gridCol w:w="2977"/>
        <w:gridCol w:w="3827"/>
      </w:tblGrid>
      <w:tr w:rsidR="0050289B" w:rsidRPr="00BB35A2" w:rsidTr="000E623D">
        <w:trPr>
          <w:trHeight w:val="336"/>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50289B" w:rsidP="004A46DC">
            <w:pPr>
              <w:ind w:left="567" w:hanging="567"/>
              <w:jc w:val="both"/>
              <w:rPr>
                <w:rFonts w:cs="Arial"/>
                <w:b/>
                <w:bCs/>
                <w:sz w:val="20"/>
                <w:szCs w:val="20"/>
                <w:lang w:eastAsia="en-GB"/>
              </w:rPr>
            </w:pPr>
            <w:r>
              <w:rPr>
                <w:rFonts w:cs="Arial"/>
                <w:b/>
                <w:bCs/>
                <w:sz w:val="20"/>
                <w:szCs w:val="20"/>
                <w:lang w:eastAsia="en-GB"/>
              </w:rPr>
              <w:t>Borough name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4A46DC" w:rsidP="004A46DC">
            <w:pPr>
              <w:rPr>
                <w:rFonts w:cs="Arial"/>
                <w:b/>
                <w:bCs/>
                <w:sz w:val="16"/>
                <w:szCs w:val="16"/>
                <w:lang w:eastAsia="en-GB"/>
              </w:rPr>
            </w:pPr>
            <w:r w:rsidRPr="004A46DC">
              <w:rPr>
                <w:rFonts w:cs="Arial"/>
                <w:b/>
                <w:bCs/>
                <w:sz w:val="20"/>
                <w:szCs w:val="16"/>
                <w:lang w:eastAsia="en-GB"/>
              </w:rPr>
              <w:t xml:space="preserve">Top 5% earners: Women </w:t>
            </w:r>
            <w:r>
              <w:rPr>
                <w:rFonts w:cs="Arial"/>
                <w:b/>
                <w:bCs/>
                <w:sz w:val="20"/>
                <w:szCs w:val="16"/>
                <w:lang w:eastAsia="en-GB"/>
              </w:rPr>
              <w:t>(</w:t>
            </w:r>
            <w:r w:rsidRPr="004A46DC">
              <w:rPr>
                <w:rFonts w:cs="Arial"/>
                <w:b/>
                <w:bCs/>
                <w:sz w:val="20"/>
                <w:szCs w:val="16"/>
                <w:lang w:eastAsia="en-GB"/>
              </w:rPr>
              <w:t>BVPI 11a</w:t>
            </w:r>
            <w:r>
              <w:rPr>
                <w:rFonts w:cs="Arial"/>
                <w:b/>
                <w:bCs/>
                <w:sz w:val="20"/>
                <w:szCs w:val="16"/>
                <w:lang w:eastAsia="en-GB"/>
              </w:rPr>
              <w:t>)</w:t>
            </w:r>
          </w:p>
        </w:tc>
        <w:tc>
          <w:tcPr>
            <w:tcW w:w="3827" w:type="dxa"/>
            <w:tcBorders>
              <w:top w:val="single" w:sz="4" w:space="0" w:color="auto"/>
              <w:left w:val="single" w:sz="4" w:space="0" w:color="auto"/>
              <w:bottom w:val="single" w:sz="4" w:space="0" w:color="auto"/>
              <w:right w:val="single" w:sz="4" w:space="0" w:color="auto"/>
            </w:tcBorders>
          </w:tcPr>
          <w:p w:rsidR="0050289B" w:rsidRPr="00F43E84" w:rsidRDefault="0050289B" w:rsidP="004A46DC">
            <w:pPr>
              <w:rPr>
                <w:rFonts w:cs="Arial"/>
                <w:b/>
                <w:bCs/>
                <w:sz w:val="20"/>
                <w:szCs w:val="16"/>
                <w:lang w:eastAsia="en-GB"/>
              </w:rPr>
            </w:pPr>
            <w:r>
              <w:rPr>
                <w:rFonts w:cs="Arial"/>
                <w:b/>
                <w:bCs/>
                <w:sz w:val="20"/>
                <w:szCs w:val="16"/>
                <w:lang w:eastAsia="en-GB"/>
              </w:rPr>
              <w:t>Link to authorities website for further information</w:t>
            </w:r>
            <w:r w:rsidR="000E623D">
              <w:rPr>
                <w:rFonts w:cs="Arial"/>
                <w:b/>
                <w:bCs/>
                <w:sz w:val="20"/>
                <w:szCs w:val="16"/>
                <w:lang w:eastAsia="en-GB"/>
              </w:rPr>
              <w:t xml:space="preserve"> – If provided</w:t>
            </w: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Barnet</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61.80</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353B35" w:rsidP="00353B35">
            <w:pPr>
              <w:ind w:left="567" w:hanging="567"/>
              <w:rPr>
                <w:rFonts w:cs="Arial"/>
                <w:sz w:val="20"/>
                <w:szCs w:val="20"/>
                <w:lang w:eastAsia="en-GB"/>
              </w:rPr>
            </w:pPr>
            <w:r w:rsidRPr="00353B35">
              <w:rPr>
                <w:rFonts w:cs="Arial"/>
                <w:sz w:val="18"/>
                <w:szCs w:val="20"/>
                <w:lang w:eastAsia="en-GB"/>
              </w:rPr>
              <w:t>www.barnet.gov.uk/performance</w:t>
            </w: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Croydon</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49.00</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Ealing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49.02</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Enfield</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56.60</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353B35" w:rsidP="00353B35">
            <w:pPr>
              <w:rPr>
                <w:rFonts w:cs="Arial"/>
                <w:sz w:val="20"/>
                <w:szCs w:val="20"/>
                <w:lang w:eastAsia="en-GB"/>
              </w:rPr>
            </w:pPr>
            <w:bookmarkStart w:id="0" w:name="_GoBack"/>
            <w:r w:rsidRPr="00353B35">
              <w:rPr>
                <w:rFonts w:cs="Arial"/>
                <w:sz w:val="18"/>
                <w:szCs w:val="20"/>
                <w:lang w:eastAsia="en-GB"/>
              </w:rPr>
              <w:t>http://www.enfield.gov.uk/site/scripts/home_info.php?homepageID=104</w:t>
            </w:r>
            <w:bookmarkEnd w:id="0"/>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Royal Greenwich</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50.80</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Hackney</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51.59</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Hammersmith &amp; Fulham</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48.00</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Harrow</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52.99</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Hounslow</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59.60</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Islington</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53.50</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Kensington &amp; Chelsea</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32.70</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Kingston upon Thames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47.95</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Newham</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57.53</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Redbridge</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44.90</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Sutton</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46.94</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Tower Hamlets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49.28</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Waltham Forest</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55.30</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4A46DC">
            <w:pPr>
              <w:ind w:left="567" w:hanging="567"/>
              <w:jc w:val="center"/>
              <w:rPr>
                <w:rFonts w:cs="Arial"/>
                <w:sz w:val="20"/>
                <w:szCs w:val="20"/>
                <w:lang w:eastAsia="en-GB"/>
              </w:rPr>
            </w:pPr>
          </w:p>
        </w:tc>
      </w:tr>
      <w:tr w:rsidR="00056928" w:rsidRPr="00BB35A2" w:rsidTr="000E623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928" w:rsidRDefault="00056928">
            <w:pPr>
              <w:rPr>
                <w:rFonts w:cs="Arial"/>
                <w:sz w:val="20"/>
                <w:szCs w:val="20"/>
              </w:rPr>
            </w:pPr>
            <w:r>
              <w:rPr>
                <w:rFonts w:cs="Arial"/>
                <w:sz w:val="20"/>
                <w:szCs w:val="20"/>
              </w:rPr>
              <w:t>Wandsworth</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928" w:rsidRDefault="00056928">
            <w:pPr>
              <w:jc w:val="center"/>
              <w:rPr>
                <w:rFonts w:cs="Arial"/>
                <w:sz w:val="20"/>
                <w:szCs w:val="20"/>
              </w:rPr>
            </w:pPr>
            <w:r>
              <w:rPr>
                <w:rFonts w:cs="Arial"/>
                <w:sz w:val="20"/>
                <w:szCs w:val="20"/>
              </w:rPr>
              <w:t>33.30</w:t>
            </w:r>
          </w:p>
        </w:tc>
        <w:tc>
          <w:tcPr>
            <w:tcW w:w="3827" w:type="dxa"/>
            <w:tcBorders>
              <w:top w:val="single" w:sz="4" w:space="0" w:color="auto"/>
              <w:left w:val="single" w:sz="4" w:space="0" w:color="auto"/>
              <w:bottom w:val="single" w:sz="4" w:space="0" w:color="auto"/>
              <w:right w:val="single" w:sz="4" w:space="0" w:color="auto"/>
            </w:tcBorders>
          </w:tcPr>
          <w:p w:rsidR="00056928" w:rsidRPr="008C3E14" w:rsidRDefault="00056928" w:rsidP="000E623D">
            <w:pPr>
              <w:ind w:left="4" w:hanging="7"/>
              <w:jc w:val="center"/>
              <w:rPr>
                <w:rFonts w:cs="Arial"/>
                <w:sz w:val="20"/>
                <w:szCs w:val="20"/>
                <w:lang w:eastAsia="en-GB"/>
              </w:rPr>
            </w:pPr>
            <w:r w:rsidRPr="00232DB5">
              <w:rPr>
                <w:sz w:val="18"/>
              </w:rPr>
              <w:t>http://www.wandsworth.gov.uk/info/200310/about_the_council/72/performance_indicators</w:t>
            </w:r>
          </w:p>
        </w:tc>
      </w:tr>
      <w:tr w:rsidR="0050289B" w:rsidRPr="00BB35A2" w:rsidTr="000E623D">
        <w:trPr>
          <w:trHeight w:val="240"/>
        </w:trPr>
        <w:tc>
          <w:tcPr>
            <w:tcW w:w="9229" w:type="dxa"/>
            <w:gridSpan w:val="3"/>
            <w:tcBorders>
              <w:top w:val="single" w:sz="2" w:space="0" w:color="auto"/>
              <w:left w:val="single" w:sz="2" w:space="0" w:color="auto"/>
              <w:bottom w:val="single" w:sz="2" w:space="0" w:color="auto"/>
              <w:right w:val="single" w:sz="2" w:space="0" w:color="auto"/>
            </w:tcBorders>
            <w:shd w:val="clear" w:color="auto" w:fill="auto"/>
            <w:noWrap/>
            <w:vAlign w:val="bottom"/>
          </w:tcPr>
          <w:p w:rsidR="0050289B" w:rsidRPr="008C3E14" w:rsidRDefault="0050289B" w:rsidP="00127B24">
            <w:pPr>
              <w:ind w:left="567" w:hanging="567"/>
              <w:jc w:val="center"/>
              <w:rPr>
                <w:rFonts w:cs="Arial"/>
                <w:sz w:val="20"/>
                <w:szCs w:val="20"/>
                <w:lang w:eastAsia="en-GB"/>
              </w:rPr>
            </w:pPr>
            <w:r w:rsidRPr="008C3E14">
              <w:rPr>
                <w:rFonts w:cs="Arial"/>
                <w:b/>
                <w:sz w:val="24"/>
              </w:rPr>
              <w:t>Meta data:</w:t>
            </w:r>
          </w:p>
        </w:tc>
      </w:tr>
      <w:tr w:rsidR="0050289B" w:rsidRPr="00BB35A2" w:rsidTr="000E623D">
        <w:trPr>
          <w:trHeight w:val="240"/>
        </w:trPr>
        <w:tc>
          <w:tcPr>
            <w:tcW w:w="2425" w:type="dxa"/>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0E623D">
            <w:pPr>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804" w:type="dxa"/>
            <w:gridSpan w:val="2"/>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4E6944" w:rsidRDefault="00FD59D9" w:rsidP="00056928">
            <w:pPr>
              <w:ind w:left="567" w:hanging="567"/>
              <w:rPr>
                <w:rFonts w:cs="Arial"/>
                <w:sz w:val="20"/>
                <w:szCs w:val="20"/>
              </w:rPr>
            </w:pPr>
            <w:r>
              <w:rPr>
                <w:rFonts w:cs="Arial"/>
                <w:sz w:val="20"/>
                <w:szCs w:val="20"/>
              </w:rPr>
              <w:t>Snapshot on 31 March</w:t>
            </w:r>
            <w:r w:rsidRPr="004E6944">
              <w:rPr>
                <w:rFonts w:cs="Arial"/>
                <w:sz w:val="20"/>
                <w:szCs w:val="20"/>
              </w:rPr>
              <w:t xml:space="preserve"> </w:t>
            </w:r>
            <w:r w:rsidR="006E20C6">
              <w:rPr>
                <w:rFonts w:cs="Arial"/>
                <w:sz w:val="20"/>
                <w:szCs w:val="20"/>
              </w:rPr>
              <w:t>20</w:t>
            </w:r>
            <w:r w:rsidRPr="004E6944">
              <w:rPr>
                <w:rFonts w:cs="Arial"/>
                <w:sz w:val="20"/>
                <w:szCs w:val="20"/>
              </w:rPr>
              <w:t>14</w:t>
            </w:r>
          </w:p>
        </w:tc>
      </w:tr>
      <w:tr w:rsidR="0050289B" w:rsidRPr="00BB35A2" w:rsidTr="000E623D">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0E623D">
            <w:pPr>
              <w:rPr>
                <w:rFonts w:cs="Arial"/>
                <w:sz w:val="20"/>
                <w:szCs w:val="20"/>
                <w:lang w:eastAsia="en-GB"/>
              </w:rPr>
            </w:pPr>
            <w:r w:rsidRPr="005B6660">
              <w:rPr>
                <w:rFonts w:cs="Arial"/>
                <w:b/>
                <w:color w:val="000000"/>
                <w:sz w:val="20"/>
                <w:szCs w:val="20"/>
              </w:rPr>
              <w:t>What does this indicator measure?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A46DC" w:rsidRPr="004E6944" w:rsidRDefault="0050289B" w:rsidP="004A46DC">
            <w:pPr>
              <w:rPr>
                <w:rFonts w:cs="Arial"/>
                <w:sz w:val="20"/>
                <w:szCs w:val="20"/>
              </w:rPr>
            </w:pPr>
            <w:r w:rsidRPr="004E6944">
              <w:rPr>
                <w:rFonts w:cs="Arial"/>
                <w:sz w:val="20"/>
                <w:szCs w:val="20"/>
              </w:rPr>
              <w:t xml:space="preserve">This indicator measures </w:t>
            </w:r>
            <w:r w:rsidR="004A46DC">
              <w:rPr>
                <w:rFonts w:cs="Arial"/>
                <w:sz w:val="20"/>
                <w:szCs w:val="20"/>
              </w:rPr>
              <w:t>the p</w:t>
            </w:r>
            <w:r w:rsidR="004A46DC" w:rsidRPr="004A46DC">
              <w:rPr>
                <w:rFonts w:cs="Arial"/>
                <w:sz w:val="20"/>
                <w:szCs w:val="20"/>
              </w:rPr>
              <w:t>ercentage of top</w:t>
            </w:r>
            <w:r w:rsidR="004A46DC">
              <w:rPr>
                <w:rFonts w:cs="Arial"/>
                <w:sz w:val="20"/>
                <w:szCs w:val="20"/>
              </w:rPr>
              <w:t>-paid 5% of staff who are women</w:t>
            </w:r>
            <w:r w:rsidR="004A46DC" w:rsidRPr="004A46DC">
              <w:rPr>
                <w:rFonts w:cs="Arial"/>
                <w:sz w:val="20"/>
                <w:szCs w:val="20"/>
              </w:rPr>
              <w:t>.</w:t>
            </w:r>
          </w:p>
        </w:tc>
      </w:tr>
      <w:tr w:rsidR="0050289B" w:rsidRPr="00BB35A2" w:rsidTr="000E623D">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0E623D">
            <w:pPr>
              <w:rPr>
                <w:rFonts w:cs="Arial"/>
                <w:b/>
                <w:color w:val="000000"/>
                <w:sz w:val="20"/>
                <w:szCs w:val="20"/>
              </w:rPr>
            </w:pPr>
            <w:r w:rsidRPr="005B6660">
              <w:rPr>
                <w:rFonts w:cs="Arial"/>
                <w:b/>
                <w:bCs/>
                <w:color w:val="000000"/>
                <w:sz w:val="20"/>
                <w:szCs w:val="20"/>
                <w:lang w:eastAsia="en-GB"/>
              </w:rPr>
              <w:t>Purpose/aim</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9344E0" w:rsidRDefault="004A46DC" w:rsidP="0050289B">
            <w:pPr>
              <w:ind w:left="49" w:hanging="49"/>
              <w:rPr>
                <w:rFonts w:cs="Arial"/>
                <w:sz w:val="20"/>
                <w:szCs w:val="20"/>
              </w:rPr>
            </w:pPr>
            <w:r w:rsidRPr="004A46DC">
              <w:rPr>
                <w:rFonts w:cs="Arial"/>
                <w:sz w:val="20"/>
                <w:szCs w:val="20"/>
              </w:rPr>
              <w:t>To monitor progr</w:t>
            </w:r>
            <w:r>
              <w:rPr>
                <w:rFonts w:cs="Arial"/>
                <w:sz w:val="20"/>
                <w:szCs w:val="20"/>
              </w:rPr>
              <w:t xml:space="preserve">ess towards equal opportunities </w:t>
            </w:r>
            <w:r w:rsidR="0050289B" w:rsidRPr="009344E0">
              <w:rPr>
                <w:rFonts w:cs="Arial"/>
                <w:sz w:val="20"/>
                <w:szCs w:val="20"/>
              </w:rPr>
              <w:t>in local authorities</w:t>
            </w:r>
          </w:p>
        </w:tc>
      </w:tr>
      <w:tr w:rsidR="0050289B" w:rsidRPr="00BB35A2" w:rsidTr="000E623D">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0E623D">
            <w:pPr>
              <w:rPr>
                <w:rFonts w:cs="Arial"/>
                <w:b/>
                <w:bCs/>
                <w:color w:val="000000"/>
                <w:sz w:val="20"/>
                <w:szCs w:val="20"/>
                <w:lang w:eastAsia="en-GB"/>
              </w:rPr>
            </w:pPr>
            <w:r w:rsidRPr="005B6660">
              <w:rPr>
                <w:rFonts w:cs="Arial"/>
                <w:b/>
                <w:bCs/>
                <w:color w:val="000000"/>
                <w:sz w:val="20"/>
                <w:szCs w:val="20"/>
                <w:lang w:eastAsia="en-GB"/>
              </w:rPr>
              <w:t>Definition</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A46DC" w:rsidRPr="0042659A" w:rsidRDefault="004A46DC" w:rsidP="004A46DC">
            <w:pPr>
              <w:autoSpaceDE w:val="0"/>
              <w:autoSpaceDN w:val="0"/>
              <w:adjustRightInd w:val="0"/>
              <w:rPr>
                <w:rFonts w:eastAsiaTheme="minorHAnsi" w:cs="Arial"/>
                <w:sz w:val="20"/>
                <w:szCs w:val="20"/>
              </w:rPr>
            </w:pPr>
            <w:r w:rsidRPr="0042659A">
              <w:rPr>
                <w:rFonts w:eastAsiaTheme="minorHAnsi" w:cs="Arial"/>
                <w:sz w:val="20"/>
                <w:szCs w:val="20"/>
              </w:rPr>
              <w:t>The ‘top-paid 5%’ are identified by ranking staff according to their gross</w:t>
            </w:r>
            <w:r w:rsidR="0042659A" w:rsidRPr="0042659A">
              <w:rPr>
                <w:rFonts w:eastAsiaTheme="minorHAnsi" w:cs="Arial"/>
                <w:sz w:val="20"/>
                <w:szCs w:val="20"/>
              </w:rPr>
              <w:t xml:space="preserve"> </w:t>
            </w:r>
            <w:r w:rsidRPr="0042659A">
              <w:rPr>
                <w:rFonts w:eastAsiaTheme="minorHAnsi" w:cs="Arial"/>
                <w:sz w:val="20"/>
                <w:szCs w:val="20"/>
              </w:rPr>
              <w:t>FTE pay.</w:t>
            </w:r>
          </w:p>
          <w:p w:rsidR="004A46DC" w:rsidRPr="0042659A" w:rsidRDefault="004A46DC" w:rsidP="004A46DC">
            <w:pPr>
              <w:autoSpaceDE w:val="0"/>
              <w:autoSpaceDN w:val="0"/>
              <w:adjustRightInd w:val="0"/>
              <w:rPr>
                <w:rFonts w:eastAsiaTheme="minorHAnsi" w:cs="Arial"/>
                <w:sz w:val="20"/>
                <w:szCs w:val="20"/>
              </w:rPr>
            </w:pPr>
            <w:r w:rsidRPr="0042659A">
              <w:rPr>
                <w:rFonts w:eastAsiaTheme="minorHAnsi" w:cs="Arial"/>
                <w:sz w:val="20"/>
                <w:szCs w:val="20"/>
              </w:rPr>
              <w:t>Apply to permanent staff only. Staff on fixed term contracts and temporary</w:t>
            </w:r>
            <w:r w:rsidR="0042659A" w:rsidRPr="0042659A">
              <w:rPr>
                <w:rFonts w:eastAsiaTheme="minorHAnsi" w:cs="Arial"/>
                <w:sz w:val="20"/>
                <w:szCs w:val="20"/>
              </w:rPr>
              <w:t xml:space="preserve"> </w:t>
            </w:r>
            <w:r w:rsidRPr="0042659A">
              <w:rPr>
                <w:rFonts w:eastAsiaTheme="minorHAnsi" w:cs="Arial"/>
                <w:sz w:val="20"/>
                <w:szCs w:val="20"/>
              </w:rPr>
              <w:t>staff who have been employed by the authority for over a year should be</w:t>
            </w:r>
            <w:r w:rsidR="0042659A" w:rsidRPr="0042659A">
              <w:rPr>
                <w:rFonts w:eastAsiaTheme="minorHAnsi" w:cs="Arial"/>
                <w:sz w:val="20"/>
                <w:szCs w:val="20"/>
              </w:rPr>
              <w:t xml:space="preserve"> </w:t>
            </w:r>
            <w:r w:rsidRPr="0042659A">
              <w:rPr>
                <w:rFonts w:eastAsiaTheme="minorHAnsi" w:cs="Arial"/>
                <w:sz w:val="20"/>
                <w:szCs w:val="20"/>
              </w:rPr>
              <w:t>considered permanent. Casual staff (i.e. those not employed on a regular</w:t>
            </w:r>
            <w:r w:rsidR="0042659A" w:rsidRPr="0042659A">
              <w:rPr>
                <w:rFonts w:eastAsiaTheme="minorHAnsi" w:cs="Arial"/>
                <w:sz w:val="20"/>
                <w:szCs w:val="20"/>
              </w:rPr>
              <w:t xml:space="preserve"> </w:t>
            </w:r>
            <w:r w:rsidRPr="0042659A">
              <w:rPr>
                <w:rFonts w:eastAsiaTheme="minorHAnsi" w:cs="Arial"/>
                <w:sz w:val="20"/>
                <w:szCs w:val="20"/>
              </w:rPr>
              <w:t>basis but when a particular need arises) and those employed by outside</w:t>
            </w:r>
            <w:r w:rsidR="0042659A" w:rsidRPr="0042659A">
              <w:rPr>
                <w:rFonts w:eastAsiaTheme="minorHAnsi" w:cs="Arial"/>
                <w:sz w:val="20"/>
                <w:szCs w:val="20"/>
              </w:rPr>
              <w:t xml:space="preserve"> </w:t>
            </w:r>
            <w:r w:rsidRPr="0042659A">
              <w:rPr>
                <w:rFonts w:eastAsiaTheme="minorHAnsi" w:cs="Arial"/>
                <w:sz w:val="20"/>
                <w:szCs w:val="20"/>
              </w:rPr>
              <w:t>contractors (e.g. private companies or a local authority owned company</w:t>
            </w:r>
            <w:r w:rsidR="0042659A" w:rsidRPr="0042659A">
              <w:rPr>
                <w:rFonts w:eastAsiaTheme="minorHAnsi" w:cs="Arial"/>
                <w:sz w:val="20"/>
                <w:szCs w:val="20"/>
              </w:rPr>
              <w:t xml:space="preserve"> </w:t>
            </w:r>
            <w:r w:rsidRPr="0042659A">
              <w:rPr>
                <w:rFonts w:eastAsiaTheme="minorHAnsi" w:cs="Arial"/>
                <w:sz w:val="20"/>
                <w:szCs w:val="20"/>
              </w:rPr>
              <w:t>that has a separate corporate identity from that of the authority) are not</w:t>
            </w:r>
            <w:r w:rsidR="0042659A" w:rsidRPr="0042659A">
              <w:rPr>
                <w:rFonts w:eastAsiaTheme="minorHAnsi" w:cs="Arial"/>
                <w:sz w:val="20"/>
                <w:szCs w:val="20"/>
              </w:rPr>
              <w:t xml:space="preserve"> </w:t>
            </w:r>
            <w:r w:rsidRPr="0042659A">
              <w:rPr>
                <w:rFonts w:eastAsiaTheme="minorHAnsi" w:cs="Arial"/>
                <w:sz w:val="20"/>
                <w:szCs w:val="20"/>
              </w:rPr>
              <w:t>counted under these indicators.</w:t>
            </w:r>
          </w:p>
          <w:p w:rsidR="004A46DC" w:rsidRPr="0042659A" w:rsidRDefault="004A46DC" w:rsidP="004A46DC">
            <w:pPr>
              <w:autoSpaceDE w:val="0"/>
              <w:autoSpaceDN w:val="0"/>
              <w:adjustRightInd w:val="0"/>
              <w:rPr>
                <w:rFonts w:eastAsiaTheme="minorHAnsi" w:cs="Arial"/>
                <w:sz w:val="20"/>
                <w:szCs w:val="20"/>
              </w:rPr>
            </w:pPr>
            <w:r w:rsidRPr="0042659A">
              <w:rPr>
                <w:rFonts w:eastAsiaTheme="minorHAnsi" w:cs="Arial"/>
                <w:sz w:val="20"/>
                <w:szCs w:val="20"/>
              </w:rPr>
              <w:t>Exclude all staff in schools maintained by the LEA. Local authority adult</w:t>
            </w:r>
            <w:r w:rsidR="0042659A" w:rsidRPr="0042659A">
              <w:rPr>
                <w:rFonts w:eastAsiaTheme="minorHAnsi" w:cs="Arial"/>
                <w:sz w:val="20"/>
                <w:szCs w:val="20"/>
              </w:rPr>
              <w:t xml:space="preserve"> </w:t>
            </w:r>
            <w:r w:rsidRPr="0042659A">
              <w:rPr>
                <w:rFonts w:eastAsiaTheme="minorHAnsi" w:cs="Arial"/>
                <w:sz w:val="20"/>
                <w:szCs w:val="20"/>
              </w:rPr>
              <w:t>education staff that are not employed by schools should be included in the</w:t>
            </w:r>
            <w:r w:rsidR="0042659A" w:rsidRPr="0042659A">
              <w:rPr>
                <w:rFonts w:eastAsiaTheme="minorHAnsi" w:cs="Arial"/>
                <w:sz w:val="20"/>
                <w:szCs w:val="20"/>
              </w:rPr>
              <w:t xml:space="preserve"> </w:t>
            </w:r>
            <w:r w:rsidRPr="0042659A">
              <w:rPr>
                <w:rFonts w:eastAsiaTheme="minorHAnsi" w:cs="Arial"/>
                <w:sz w:val="20"/>
                <w:szCs w:val="20"/>
              </w:rPr>
              <w:t>calculation of the indicator in the same way as staff in other council</w:t>
            </w:r>
            <w:r w:rsidR="0042659A" w:rsidRPr="0042659A">
              <w:rPr>
                <w:rFonts w:eastAsiaTheme="minorHAnsi" w:cs="Arial"/>
                <w:sz w:val="20"/>
                <w:szCs w:val="20"/>
              </w:rPr>
              <w:t xml:space="preserve"> </w:t>
            </w:r>
            <w:r w:rsidRPr="0042659A">
              <w:rPr>
                <w:rFonts w:eastAsiaTheme="minorHAnsi" w:cs="Arial"/>
                <w:sz w:val="20"/>
                <w:szCs w:val="20"/>
              </w:rPr>
              <w:t>departments. ‘Schools’ in this context means secondary schools and those</w:t>
            </w:r>
            <w:r w:rsidR="0042659A" w:rsidRPr="0042659A">
              <w:rPr>
                <w:rFonts w:eastAsiaTheme="minorHAnsi" w:cs="Arial"/>
                <w:sz w:val="20"/>
                <w:szCs w:val="20"/>
              </w:rPr>
              <w:t xml:space="preserve"> </w:t>
            </w:r>
            <w:r w:rsidRPr="0042659A">
              <w:rPr>
                <w:rFonts w:eastAsiaTheme="minorHAnsi" w:cs="Arial"/>
                <w:sz w:val="20"/>
                <w:szCs w:val="20"/>
              </w:rPr>
              <w:t>catering for younger pupils.</w:t>
            </w:r>
          </w:p>
          <w:p w:rsidR="004A46DC" w:rsidRPr="0042659A" w:rsidRDefault="004A46DC" w:rsidP="004A46DC">
            <w:pPr>
              <w:autoSpaceDE w:val="0"/>
              <w:autoSpaceDN w:val="0"/>
              <w:adjustRightInd w:val="0"/>
              <w:rPr>
                <w:rFonts w:eastAsiaTheme="minorHAnsi" w:cs="Arial"/>
                <w:sz w:val="20"/>
                <w:szCs w:val="20"/>
              </w:rPr>
            </w:pPr>
            <w:r w:rsidRPr="0042659A">
              <w:rPr>
                <w:rFonts w:eastAsiaTheme="minorHAnsi" w:cs="Arial"/>
                <w:sz w:val="20"/>
                <w:szCs w:val="20"/>
              </w:rPr>
              <w:t>For staff who are in multiple part-time employment add up the total number</w:t>
            </w:r>
            <w:r w:rsidR="0042659A" w:rsidRPr="0042659A">
              <w:rPr>
                <w:rFonts w:eastAsiaTheme="minorHAnsi" w:cs="Arial"/>
                <w:sz w:val="20"/>
                <w:szCs w:val="20"/>
              </w:rPr>
              <w:t xml:space="preserve"> </w:t>
            </w:r>
            <w:r w:rsidRPr="0042659A">
              <w:rPr>
                <w:rFonts w:eastAsiaTheme="minorHAnsi" w:cs="Arial"/>
                <w:sz w:val="20"/>
                <w:szCs w:val="20"/>
              </w:rPr>
              <w:t>of hours worked, calculate the average hourly pay and then multiply that</w:t>
            </w:r>
            <w:r w:rsidR="0042659A" w:rsidRPr="0042659A">
              <w:rPr>
                <w:rFonts w:eastAsiaTheme="minorHAnsi" w:cs="Arial"/>
                <w:sz w:val="20"/>
                <w:szCs w:val="20"/>
              </w:rPr>
              <w:t xml:space="preserve"> </w:t>
            </w:r>
            <w:r w:rsidRPr="0042659A">
              <w:rPr>
                <w:rFonts w:eastAsiaTheme="minorHAnsi" w:cs="Arial"/>
                <w:sz w:val="20"/>
                <w:szCs w:val="20"/>
              </w:rPr>
              <w:t>figure by the number of standard full-time working hours for the occupations</w:t>
            </w:r>
            <w:r w:rsidR="0042659A" w:rsidRPr="0042659A">
              <w:rPr>
                <w:rFonts w:eastAsiaTheme="minorHAnsi" w:cs="Arial"/>
                <w:sz w:val="20"/>
                <w:szCs w:val="20"/>
              </w:rPr>
              <w:t xml:space="preserve"> </w:t>
            </w:r>
            <w:r w:rsidRPr="0042659A">
              <w:rPr>
                <w:rFonts w:eastAsiaTheme="minorHAnsi" w:cs="Arial"/>
                <w:sz w:val="20"/>
                <w:szCs w:val="20"/>
              </w:rPr>
              <w:t>concerned (e.g. 37 or 35).</w:t>
            </w:r>
          </w:p>
          <w:p w:rsidR="0050289B" w:rsidRPr="0042659A" w:rsidRDefault="004A46DC" w:rsidP="0042659A">
            <w:pPr>
              <w:autoSpaceDE w:val="0"/>
              <w:autoSpaceDN w:val="0"/>
              <w:adjustRightInd w:val="0"/>
              <w:rPr>
                <w:rFonts w:cs="Arial"/>
                <w:sz w:val="20"/>
                <w:szCs w:val="20"/>
              </w:rPr>
            </w:pPr>
            <w:r w:rsidRPr="0042659A">
              <w:rPr>
                <w:rFonts w:eastAsiaTheme="minorHAnsi" w:cs="Arial"/>
                <w:sz w:val="20"/>
                <w:szCs w:val="20"/>
              </w:rPr>
              <w:t>Salaries should be based on gross pay (including London weighting,</w:t>
            </w:r>
            <w:r w:rsidR="0042659A" w:rsidRPr="0042659A">
              <w:rPr>
                <w:rFonts w:eastAsiaTheme="minorHAnsi" w:cs="Arial"/>
                <w:sz w:val="20"/>
                <w:szCs w:val="20"/>
              </w:rPr>
              <w:t xml:space="preserve"> </w:t>
            </w:r>
            <w:r w:rsidRPr="0042659A">
              <w:rPr>
                <w:rFonts w:eastAsiaTheme="minorHAnsi" w:cs="Arial"/>
                <w:sz w:val="20"/>
                <w:szCs w:val="20"/>
              </w:rPr>
              <w:t>performance related pay, honoraria and market supplements) and</w:t>
            </w:r>
            <w:r w:rsidR="0042659A" w:rsidRPr="0042659A">
              <w:rPr>
                <w:rFonts w:eastAsiaTheme="minorHAnsi" w:cs="Arial"/>
                <w:sz w:val="20"/>
                <w:szCs w:val="20"/>
              </w:rPr>
              <w:t xml:space="preserve"> </w:t>
            </w:r>
            <w:r w:rsidRPr="0042659A">
              <w:rPr>
                <w:rFonts w:eastAsiaTheme="minorHAnsi" w:cs="Arial"/>
                <w:sz w:val="20"/>
                <w:szCs w:val="20"/>
              </w:rPr>
              <w:t>excluding overtime and fringe benefits (such as leases of free cars, health</w:t>
            </w:r>
            <w:r w:rsidR="0042659A" w:rsidRPr="0042659A">
              <w:rPr>
                <w:rFonts w:eastAsiaTheme="minorHAnsi" w:cs="Arial"/>
                <w:sz w:val="20"/>
                <w:szCs w:val="20"/>
              </w:rPr>
              <w:t xml:space="preserve"> </w:t>
            </w:r>
            <w:r w:rsidRPr="0042659A">
              <w:rPr>
                <w:rFonts w:eastAsiaTheme="minorHAnsi" w:cs="Arial"/>
                <w:sz w:val="20"/>
                <w:szCs w:val="20"/>
              </w:rPr>
              <w:t>insurance, PCs, mobiles and other non-cash benefits).</w:t>
            </w:r>
          </w:p>
        </w:tc>
      </w:tr>
      <w:tr w:rsidR="0050289B" w:rsidRPr="00BB35A2" w:rsidTr="000E623D">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CF7502" w:rsidRDefault="0050289B" w:rsidP="000E623D">
            <w:pPr>
              <w:rPr>
                <w:rFonts w:cs="Arial"/>
                <w:b/>
                <w:bCs/>
                <w:color w:val="000000"/>
                <w:sz w:val="20"/>
                <w:szCs w:val="20"/>
                <w:lang w:eastAsia="en-GB"/>
              </w:rPr>
            </w:pPr>
            <w:r w:rsidRPr="00CF7502">
              <w:rPr>
                <w:rFonts w:cs="Arial"/>
                <w:b/>
                <w:bCs/>
                <w:color w:val="000000"/>
                <w:sz w:val="20"/>
                <w:szCs w:val="20"/>
                <w:lang w:eastAsia="en-GB"/>
              </w:rPr>
              <w:t>How calculated</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Rank all staff by gross pay including part-timers as the appropriate fraction of an FTE.</w:t>
            </w:r>
          </w:p>
          <w:p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Draw a line where you reach 5% of the FTEs counting down from the top (but if some people just below this point are on an identical salary to those just above it, include all people on that salary). Then work out the percentage of FTEs who are women, again counting part-timers pro-rata.</w:t>
            </w:r>
          </w:p>
          <w:p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 xml:space="preserve">E.g. Total staff 12,000 on 31st of March, of which 4,000 are half-time So total staff in FTEs = 10,000 FTEs (8,000 full time + (4000 / 2) 5% of </w:t>
            </w:r>
            <w:r w:rsidRPr="0042659A">
              <w:rPr>
                <w:rFonts w:eastAsiaTheme="minorHAnsi" w:cs="Arial"/>
                <w:sz w:val="20"/>
                <w:szCs w:val="20"/>
              </w:rPr>
              <w:lastRenderedPageBreak/>
              <w:t>10,000 = 500 FTEs.</w:t>
            </w:r>
          </w:p>
          <w:p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 xml:space="preserve">480 full-time staff </w:t>
            </w:r>
            <w:proofErr w:type="gramStart"/>
            <w:r w:rsidRPr="0042659A">
              <w:rPr>
                <w:rFonts w:eastAsiaTheme="minorHAnsi" w:cs="Arial"/>
                <w:sz w:val="20"/>
                <w:szCs w:val="20"/>
              </w:rPr>
              <w:t>get</w:t>
            </w:r>
            <w:proofErr w:type="gramEnd"/>
            <w:r w:rsidRPr="0042659A">
              <w:rPr>
                <w:rFonts w:eastAsiaTheme="minorHAnsi" w:cs="Arial"/>
                <w:sz w:val="20"/>
                <w:szCs w:val="20"/>
              </w:rPr>
              <w:t xml:space="preserve"> £30,000 or more, of which 100 are women; 40 half</w:t>
            </w:r>
            <w:r w:rsidR="006E20C6">
              <w:rPr>
                <w:rFonts w:cs="Arial"/>
                <w:sz w:val="20"/>
                <w:szCs w:val="20"/>
              </w:rPr>
              <w:t>-</w:t>
            </w:r>
            <w:r w:rsidRPr="0042659A">
              <w:rPr>
                <w:rFonts w:eastAsiaTheme="minorHAnsi" w:cs="Arial"/>
                <w:sz w:val="20"/>
                <w:szCs w:val="20"/>
              </w:rPr>
              <w:t>time staff have jobs where they would get £30,000+ if they were full-time, of which 30 are women.</w:t>
            </w:r>
          </w:p>
          <w:p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BV 11a = (100 + (30 / 2)) / 500 = 23.00% of senior jobs are held by women.</w:t>
            </w:r>
          </w:p>
          <w:p w:rsidR="0050289B" w:rsidRPr="0042659A" w:rsidRDefault="0042659A" w:rsidP="0042659A">
            <w:pPr>
              <w:autoSpaceDE w:val="0"/>
              <w:autoSpaceDN w:val="0"/>
              <w:adjustRightInd w:val="0"/>
              <w:rPr>
                <w:rFonts w:cs="Arial"/>
                <w:sz w:val="20"/>
                <w:szCs w:val="20"/>
              </w:rPr>
            </w:pPr>
            <w:r w:rsidRPr="0042659A">
              <w:rPr>
                <w:rFonts w:eastAsiaTheme="minorHAnsi" w:cs="Arial"/>
                <w:sz w:val="20"/>
                <w:szCs w:val="20"/>
              </w:rPr>
              <w:t>However, if the dividing point for the top 5% was £30,000 and there are 490 FTEs on more than £30,000 and 20 on exactly £30,000 then you would use 510 rather than 500 for the denominator of 11a, and the same logic would apply to the numerator.</w:t>
            </w:r>
          </w:p>
        </w:tc>
      </w:tr>
      <w:tr w:rsidR="0050289B" w:rsidRPr="00BB35A2" w:rsidTr="000E623D">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CF7502" w:rsidRDefault="0050289B" w:rsidP="000E623D">
            <w:pPr>
              <w:rPr>
                <w:rFonts w:cs="Arial"/>
                <w:b/>
                <w:bCs/>
                <w:color w:val="000000"/>
                <w:sz w:val="20"/>
                <w:szCs w:val="20"/>
                <w:lang w:eastAsia="en-GB"/>
              </w:rPr>
            </w:pPr>
            <w:r w:rsidRPr="00CF7502">
              <w:rPr>
                <w:rFonts w:cs="Arial"/>
                <w:b/>
                <w:bCs/>
                <w:color w:val="000000"/>
                <w:sz w:val="20"/>
                <w:szCs w:val="20"/>
                <w:lang w:eastAsia="en-GB"/>
              </w:rPr>
              <w:lastRenderedPageBreak/>
              <w:t>Data source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rsidTr="000E623D">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CF7502" w:rsidRDefault="0050289B" w:rsidP="000E623D">
            <w:pPr>
              <w:rPr>
                <w:rFonts w:cs="Arial"/>
                <w:b/>
                <w:bCs/>
                <w:color w:val="000000"/>
                <w:sz w:val="20"/>
                <w:szCs w:val="20"/>
                <w:lang w:eastAsia="en-GB"/>
              </w:rPr>
            </w:pPr>
            <w:r w:rsidRPr="00CF7502">
              <w:rPr>
                <w:rFonts w:cs="Arial"/>
                <w:b/>
                <w:bCs/>
                <w:color w:val="000000"/>
                <w:sz w:val="20"/>
                <w:szCs w:val="20"/>
                <w:lang w:eastAsia="en-GB"/>
              </w:rPr>
              <w:t>Data quality</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623D" w:rsidRDefault="0050289B" w:rsidP="0050289B">
            <w:pPr>
              <w:rPr>
                <w:rFonts w:cs="Arial"/>
                <w:sz w:val="20"/>
                <w:szCs w:val="20"/>
              </w:rPr>
            </w:pPr>
            <w:r>
              <w:rPr>
                <w:rFonts w:cs="Arial"/>
                <w:sz w:val="20"/>
                <w:szCs w:val="20"/>
              </w:rPr>
              <w:t>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w:t>
            </w:r>
          </w:p>
          <w:p w:rsidR="0050289B" w:rsidRDefault="0050289B" w:rsidP="0050289B">
            <w:pPr>
              <w:rPr>
                <w:rFonts w:cs="Arial"/>
                <w:sz w:val="20"/>
                <w:szCs w:val="20"/>
              </w:rPr>
            </w:pPr>
            <w:r>
              <w:rPr>
                <w:rFonts w:cs="Arial"/>
                <w:sz w:val="20"/>
                <w:szCs w:val="20"/>
              </w:rPr>
              <w:t xml:space="preserve"> </w:t>
            </w:r>
          </w:p>
          <w:p w:rsidR="0050289B" w:rsidRDefault="0050289B" w:rsidP="0050289B">
            <w:pPr>
              <w:rPr>
                <w:rFonts w:cs="Arial"/>
                <w:sz w:val="20"/>
                <w:szCs w:val="20"/>
              </w:rPr>
            </w:pPr>
            <w:r>
              <w:rPr>
                <w:rFonts w:cs="Arial"/>
                <w:sz w:val="20"/>
                <w:szCs w:val="20"/>
              </w:rPr>
              <w:t>No external quality assurance has been conducted on the data.</w:t>
            </w:r>
          </w:p>
          <w:p w:rsidR="000E623D" w:rsidRDefault="000E623D" w:rsidP="0050289B">
            <w:pPr>
              <w:rPr>
                <w:rFonts w:cs="Arial"/>
                <w:sz w:val="20"/>
                <w:szCs w:val="20"/>
              </w:rPr>
            </w:pPr>
          </w:p>
          <w:p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rsidR="000E623D" w:rsidRDefault="000E623D" w:rsidP="0050289B">
            <w:pPr>
              <w:rPr>
                <w:rFonts w:cs="Arial"/>
                <w:sz w:val="20"/>
                <w:szCs w:val="20"/>
              </w:rPr>
            </w:pPr>
          </w:p>
          <w:p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rsidR="004A46DC" w:rsidRDefault="004A46DC"/>
    <w:sectPr w:rsidR="004A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9B"/>
    <w:rsid w:val="00056928"/>
    <w:rsid w:val="000A5186"/>
    <w:rsid w:val="000E623D"/>
    <w:rsid w:val="00127B24"/>
    <w:rsid w:val="00267990"/>
    <w:rsid w:val="00353B35"/>
    <w:rsid w:val="0042659A"/>
    <w:rsid w:val="0045774E"/>
    <w:rsid w:val="004A46DC"/>
    <w:rsid w:val="0050289B"/>
    <w:rsid w:val="005B2CF8"/>
    <w:rsid w:val="006E20C6"/>
    <w:rsid w:val="00B81B34"/>
    <w:rsid w:val="00CF7502"/>
    <w:rsid w:val="00D22341"/>
    <w:rsid w:val="00FD59D9"/>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8A562064.dotm</Template>
  <TotalTime>29</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12</cp:revision>
  <dcterms:created xsi:type="dcterms:W3CDTF">2015-05-21T14:21:00Z</dcterms:created>
  <dcterms:modified xsi:type="dcterms:W3CDTF">2015-07-28T14:01:00Z</dcterms:modified>
</cp:coreProperties>
</file>