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EB" w:rsidRPr="00C31698" w:rsidRDefault="00E73589">
      <w:pPr>
        <w:rPr>
          <w:b/>
        </w:rPr>
      </w:pPr>
      <w:r w:rsidRPr="00C31698">
        <w:rPr>
          <w:b/>
        </w:rPr>
        <w:t>Local Housing Allowance Reform Update</w:t>
      </w:r>
    </w:p>
    <w:p w:rsidR="00E73589" w:rsidRPr="00C31698" w:rsidRDefault="00E73589">
      <w:pPr>
        <w:rPr>
          <w:b/>
        </w:rPr>
      </w:pPr>
      <w:r w:rsidRPr="00C31698">
        <w:rPr>
          <w:b/>
        </w:rPr>
        <w:t>February 2015</w:t>
      </w:r>
    </w:p>
    <w:p w:rsidR="00E73589" w:rsidRDefault="00E73589"/>
    <w:p w:rsidR="00E73589" w:rsidRPr="00C31698" w:rsidRDefault="00E73589">
      <w:pPr>
        <w:rPr>
          <w:b/>
        </w:rPr>
      </w:pPr>
      <w:r w:rsidRPr="00C31698">
        <w:rPr>
          <w:b/>
        </w:rPr>
        <w:t>About</w:t>
      </w:r>
    </w:p>
    <w:p w:rsidR="00E73589" w:rsidRDefault="00E73589">
      <w:r>
        <w:t>This briefing updates London borough officers on the effects of the allocations made under the second year of the Targeted Affordability Fund and their effect on the affordability of private rents in London. It also analyses the latest figures on London’s Local Housing Allowance caseloads.</w:t>
      </w:r>
    </w:p>
    <w:p w:rsidR="00E73589" w:rsidRDefault="00E73589"/>
    <w:p w:rsidR="00E73589" w:rsidRDefault="00E73589">
      <w:r>
        <w:t xml:space="preserve">Contact </w:t>
      </w:r>
      <w:hyperlink r:id="rId6" w:history="1">
        <w:r w:rsidRPr="008E502E">
          <w:rPr>
            <w:rStyle w:val="Hyperlink"/>
          </w:rPr>
          <w:t>daniel.drillsma-milgrom@londoncouncils.gov.uk</w:t>
        </w:r>
      </w:hyperlink>
    </w:p>
    <w:p w:rsidR="00E73589" w:rsidRDefault="00E73589"/>
    <w:p w:rsidR="00E73589" w:rsidRDefault="00E73589"/>
    <w:p w:rsidR="00E73589" w:rsidRPr="00C31698" w:rsidRDefault="00E73589">
      <w:pPr>
        <w:rPr>
          <w:b/>
        </w:rPr>
      </w:pPr>
      <w:r w:rsidRPr="00C31698">
        <w:rPr>
          <w:b/>
        </w:rPr>
        <w:t>Headlines</w:t>
      </w:r>
    </w:p>
    <w:p w:rsidR="00E73589" w:rsidRDefault="00E73589"/>
    <w:p w:rsidR="00F31B2E" w:rsidRDefault="00F31B2E" w:rsidP="00E73589">
      <w:pPr>
        <w:pStyle w:val="ListParagraph"/>
        <w:numPr>
          <w:ilvl w:val="0"/>
          <w:numId w:val="1"/>
        </w:numPr>
      </w:pPr>
      <w:r>
        <w:t>London will be the main beneficiary from the second year of the Targeted Affordability Fund, with 41 of its 70 LHA rates increasing by more than 1%</w:t>
      </w:r>
    </w:p>
    <w:p w:rsidR="00E73589" w:rsidRDefault="00F31B2E" w:rsidP="00E73589">
      <w:pPr>
        <w:pStyle w:val="ListParagraph"/>
        <w:numPr>
          <w:ilvl w:val="0"/>
          <w:numId w:val="1"/>
        </w:numPr>
      </w:pPr>
      <w:r>
        <w:t>Despite this</w:t>
      </w:r>
      <w:r w:rsidR="0035571B">
        <w:t>,</w:t>
      </w:r>
      <w:r>
        <w:t xml:space="preserve"> </w:t>
      </w:r>
      <w:r w:rsidR="00E73589">
        <w:t xml:space="preserve">68 of London’s 70 LHA rates </w:t>
      </w:r>
      <w:r>
        <w:t xml:space="preserve">will be </w:t>
      </w:r>
      <w:r w:rsidR="00E73589">
        <w:t>set below the 30</w:t>
      </w:r>
      <w:r w:rsidR="00E73589" w:rsidRPr="00E73589">
        <w:rPr>
          <w:vertAlign w:val="superscript"/>
        </w:rPr>
        <w:t>th</w:t>
      </w:r>
      <w:r w:rsidR="00E73589">
        <w:t xml:space="preserve"> percentile</w:t>
      </w:r>
      <w:r>
        <w:t xml:space="preserve"> rent level next year</w:t>
      </w:r>
    </w:p>
    <w:p w:rsidR="00E73589" w:rsidRDefault="00F31B2E" w:rsidP="00E73589">
      <w:pPr>
        <w:pStyle w:val="ListParagraph"/>
        <w:numPr>
          <w:ilvl w:val="0"/>
          <w:numId w:val="1"/>
        </w:numPr>
      </w:pPr>
      <w:r>
        <w:t xml:space="preserve">The </w:t>
      </w:r>
      <w:r w:rsidR="00E73589">
        <w:t xml:space="preserve">LHA caseload continues to rise in outer London and fall in inner London </w:t>
      </w:r>
    </w:p>
    <w:p w:rsidR="00E73589" w:rsidRDefault="00E73589" w:rsidP="00E73589">
      <w:pPr>
        <w:pStyle w:val="ListParagraph"/>
        <w:numPr>
          <w:ilvl w:val="0"/>
          <w:numId w:val="1"/>
        </w:numPr>
      </w:pPr>
      <w:r>
        <w:t>In-work LHA caseload continues to grow in all parts of London</w:t>
      </w:r>
    </w:p>
    <w:p w:rsidR="00E73589" w:rsidRDefault="00E73589" w:rsidP="00E73589"/>
    <w:p w:rsidR="00E73589" w:rsidRDefault="00E73589" w:rsidP="00E73589"/>
    <w:p w:rsidR="00E73589" w:rsidRDefault="00C31698">
      <w:r w:rsidRPr="001973B0">
        <w:rPr>
          <w:rFonts w:ascii="Arial" w:hAnsi="Arial" w:cs="Arial"/>
          <w:b/>
          <w:noProof/>
          <w:sz w:val="20"/>
          <w:szCs w:val="20"/>
        </w:rPr>
        <mc:AlternateContent>
          <mc:Choice Requires="wps">
            <w:drawing>
              <wp:anchor distT="0" distB="0" distL="114300" distR="114300" simplePos="0" relativeHeight="251659264" behindDoc="0" locked="0" layoutInCell="1" allowOverlap="1" wp14:anchorId="156B56D3" wp14:editId="51EE954C">
                <wp:simplePos x="0" y="0"/>
                <wp:positionH relativeFrom="column">
                  <wp:posOffset>142875</wp:posOffset>
                </wp:positionH>
                <wp:positionV relativeFrom="paragraph">
                  <wp:posOffset>94615</wp:posOffset>
                </wp:positionV>
                <wp:extent cx="5267960" cy="2390775"/>
                <wp:effectExtent l="0" t="0" r="2794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960" cy="23907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75CBB" w:rsidRPr="001973B0" w:rsidRDefault="00E75CBB" w:rsidP="00C31698">
                            <w:pPr>
                              <w:jc w:val="center"/>
                              <w:rPr>
                                <w:rFonts w:ascii="Arial" w:hAnsi="Arial" w:cs="Arial"/>
                                <w:b/>
                                <w:sz w:val="20"/>
                                <w:szCs w:val="20"/>
                              </w:rPr>
                            </w:pPr>
                            <w:r>
                              <w:rPr>
                                <w:rFonts w:ascii="Arial" w:hAnsi="Arial" w:cs="Arial"/>
                                <w:b/>
                                <w:sz w:val="20"/>
                                <w:szCs w:val="20"/>
                              </w:rPr>
                              <w:t>Setting LHA rates</w:t>
                            </w:r>
                          </w:p>
                          <w:p w:rsidR="00E75CBB" w:rsidRDefault="00E75CBB" w:rsidP="00C31698">
                            <w:pPr>
                              <w:pStyle w:val="ListParagraph"/>
                              <w:numPr>
                                <w:ilvl w:val="0"/>
                                <w:numId w:val="4"/>
                              </w:numPr>
                              <w:spacing w:after="200" w:line="276" w:lineRule="auto"/>
                              <w:rPr>
                                <w:rFonts w:ascii="Arial" w:hAnsi="Arial" w:cs="Arial"/>
                                <w:sz w:val="20"/>
                                <w:szCs w:val="20"/>
                              </w:rPr>
                            </w:pPr>
                            <w:r w:rsidRPr="001973B0">
                              <w:rPr>
                                <w:rFonts w:ascii="Arial" w:hAnsi="Arial" w:cs="Arial"/>
                                <w:sz w:val="20"/>
                                <w:szCs w:val="20"/>
                              </w:rPr>
                              <w:t xml:space="preserve">Local Housing Allowance (LHA) rates are </w:t>
                            </w:r>
                            <w:r>
                              <w:rPr>
                                <w:rFonts w:ascii="Arial" w:hAnsi="Arial" w:cs="Arial"/>
                                <w:sz w:val="20"/>
                                <w:szCs w:val="20"/>
                              </w:rPr>
                              <w:t xml:space="preserve">now </w:t>
                            </w:r>
                            <w:r w:rsidRPr="001973B0">
                              <w:rPr>
                                <w:rFonts w:ascii="Arial" w:hAnsi="Arial" w:cs="Arial"/>
                                <w:sz w:val="20"/>
                                <w:szCs w:val="20"/>
                              </w:rPr>
                              <w:t>set annually</w:t>
                            </w:r>
                            <w:r>
                              <w:rPr>
                                <w:rFonts w:ascii="Arial" w:hAnsi="Arial" w:cs="Arial"/>
                                <w:sz w:val="20"/>
                                <w:szCs w:val="20"/>
                              </w:rPr>
                              <w:t>.</w:t>
                            </w:r>
                          </w:p>
                          <w:p w:rsidR="00E75CBB" w:rsidRPr="001973B0" w:rsidRDefault="00E75CBB" w:rsidP="00C31698">
                            <w:pPr>
                              <w:pStyle w:val="ListParagraph"/>
                              <w:ind w:left="360"/>
                              <w:rPr>
                                <w:rFonts w:ascii="Arial" w:hAnsi="Arial" w:cs="Arial"/>
                                <w:sz w:val="20"/>
                                <w:szCs w:val="20"/>
                              </w:rPr>
                            </w:pPr>
                          </w:p>
                          <w:p w:rsidR="00E75CBB" w:rsidRPr="001973B0" w:rsidRDefault="00E75CBB" w:rsidP="00C31698">
                            <w:pPr>
                              <w:pStyle w:val="ListParagraph"/>
                              <w:numPr>
                                <w:ilvl w:val="0"/>
                                <w:numId w:val="4"/>
                              </w:numPr>
                              <w:spacing w:after="200" w:line="276" w:lineRule="auto"/>
                              <w:rPr>
                                <w:rFonts w:ascii="Arial" w:hAnsi="Arial" w:cs="Arial"/>
                                <w:sz w:val="20"/>
                                <w:szCs w:val="20"/>
                              </w:rPr>
                            </w:pPr>
                            <w:r w:rsidRPr="001973B0">
                              <w:rPr>
                                <w:rFonts w:ascii="Arial" w:hAnsi="Arial" w:cs="Arial"/>
                                <w:sz w:val="20"/>
                                <w:szCs w:val="20"/>
                              </w:rPr>
                              <w:t>London is split into 1</w:t>
                            </w:r>
                            <w:r>
                              <w:rPr>
                                <w:rFonts w:ascii="Arial" w:hAnsi="Arial" w:cs="Arial"/>
                                <w:sz w:val="20"/>
                                <w:szCs w:val="20"/>
                              </w:rPr>
                              <w:t>4</w:t>
                            </w:r>
                            <w:r w:rsidRPr="001973B0">
                              <w:rPr>
                                <w:rFonts w:ascii="Arial" w:hAnsi="Arial" w:cs="Arial"/>
                                <w:sz w:val="20"/>
                                <w:szCs w:val="20"/>
                              </w:rPr>
                              <w:t xml:space="preserve"> Broad Market Rental Areas (B</w:t>
                            </w:r>
                            <w:r>
                              <w:rPr>
                                <w:rFonts w:ascii="Arial" w:hAnsi="Arial" w:cs="Arial"/>
                                <w:sz w:val="20"/>
                                <w:szCs w:val="20"/>
                              </w:rPr>
                              <w:t>MR</w:t>
                            </w:r>
                            <w:r w:rsidRPr="001973B0">
                              <w:rPr>
                                <w:rFonts w:ascii="Arial" w:hAnsi="Arial" w:cs="Arial"/>
                                <w:sz w:val="20"/>
                                <w:szCs w:val="20"/>
                              </w:rPr>
                              <w:t>A)</w:t>
                            </w:r>
                            <w:r>
                              <w:rPr>
                                <w:rFonts w:ascii="Arial" w:hAnsi="Arial" w:cs="Arial"/>
                                <w:sz w:val="20"/>
                                <w:szCs w:val="20"/>
                              </w:rPr>
                              <w:t>.</w:t>
                            </w:r>
                          </w:p>
                          <w:p w:rsidR="00E75CBB" w:rsidRPr="001973B0" w:rsidRDefault="00E75CBB" w:rsidP="00C31698">
                            <w:pPr>
                              <w:pStyle w:val="ListParagraph"/>
                              <w:ind w:left="360"/>
                              <w:rPr>
                                <w:rFonts w:ascii="Arial" w:hAnsi="Arial" w:cs="Arial"/>
                                <w:sz w:val="20"/>
                                <w:szCs w:val="20"/>
                              </w:rPr>
                            </w:pPr>
                          </w:p>
                          <w:p w:rsidR="00E75CBB" w:rsidRDefault="00E75CBB" w:rsidP="00C31698">
                            <w:pPr>
                              <w:pStyle w:val="ListParagraph"/>
                              <w:numPr>
                                <w:ilvl w:val="0"/>
                                <w:numId w:val="4"/>
                              </w:numPr>
                              <w:spacing w:after="200" w:line="276" w:lineRule="auto"/>
                              <w:rPr>
                                <w:rFonts w:ascii="Arial" w:hAnsi="Arial" w:cs="Arial"/>
                                <w:sz w:val="20"/>
                                <w:szCs w:val="20"/>
                              </w:rPr>
                            </w:pPr>
                            <w:r w:rsidRPr="001973B0">
                              <w:rPr>
                                <w:rFonts w:ascii="Arial" w:hAnsi="Arial" w:cs="Arial"/>
                                <w:sz w:val="20"/>
                                <w:szCs w:val="20"/>
                              </w:rPr>
                              <w:t>There are 5 LHA rates in each BRMA representing different property sizes</w:t>
                            </w:r>
                            <w:r>
                              <w:rPr>
                                <w:rFonts w:ascii="Arial" w:hAnsi="Arial" w:cs="Arial"/>
                                <w:sz w:val="20"/>
                                <w:szCs w:val="20"/>
                              </w:rPr>
                              <w:t>.</w:t>
                            </w:r>
                          </w:p>
                          <w:p w:rsidR="00E75CBB" w:rsidRPr="001973B0" w:rsidRDefault="00E75CBB" w:rsidP="00C31698">
                            <w:pPr>
                              <w:pStyle w:val="ListParagraph"/>
                              <w:ind w:left="360"/>
                              <w:rPr>
                                <w:rFonts w:ascii="Arial" w:hAnsi="Arial" w:cs="Arial"/>
                                <w:sz w:val="20"/>
                                <w:szCs w:val="20"/>
                              </w:rPr>
                            </w:pPr>
                          </w:p>
                          <w:p w:rsidR="00E75CBB" w:rsidRDefault="00E75CBB" w:rsidP="00C31698">
                            <w:pPr>
                              <w:pStyle w:val="ListParagraph"/>
                              <w:numPr>
                                <w:ilvl w:val="0"/>
                                <w:numId w:val="4"/>
                              </w:numPr>
                              <w:spacing w:after="200" w:line="276" w:lineRule="auto"/>
                              <w:rPr>
                                <w:rFonts w:ascii="Arial" w:hAnsi="Arial" w:cs="Arial"/>
                                <w:sz w:val="20"/>
                                <w:szCs w:val="20"/>
                              </w:rPr>
                            </w:pPr>
                            <w:r w:rsidRPr="001973B0">
                              <w:rPr>
                                <w:rFonts w:ascii="Arial" w:hAnsi="Arial" w:cs="Arial"/>
                                <w:sz w:val="20"/>
                                <w:szCs w:val="20"/>
                              </w:rPr>
                              <w:t>Annual uprating of all working age benefits, including LHA, w</w:t>
                            </w:r>
                            <w:r>
                              <w:rPr>
                                <w:rFonts w:ascii="Arial" w:hAnsi="Arial" w:cs="Arial"/>
                                <w:sz w:val="20"/>
                                <w:szCs w:val="20"/>
                              </w:rPr>
                              <w:t xml:space="preserve">ill be limited to 1% until 2016 </w:t>
                            </w:r>
                          </w:p>
                          <w:p w:rsidR="00E75CBB" w:rsidRPr="001973B0" w:rsidRDefault="00E75CBB" w:rsidP="00C31698">
                            <w:pPr>
                              <w:pStyle w:val="ListParagraph"/>
                              <w:ind w:left="360"/>
                              <w:rPr>
                                <w:rFonts w:ascii="Arial" w:hAnsi="Arial" w:cs="Arial"/>
                                <w:sz w:val="20"/>
                                <w:szCs w:val="20"/>
                              </w:rPr>
                            </w:pPr>
                          </w:p>
                          <w:p w:rsidR="00E75CBB" w:rsidRPr="001973B0" w:rsidRDefault="00E75CBB" w:rsidP="00C31698">
                            <w:pPr>
                              <w:pStyle w:val="ListParagraph"/>
                              <w:numPr>
                                <w:ilvl w:val="0"/>
                                <w:numId w:val="4"/>
                              </w:numPr>
                              <w:spacing w:after="200" w:line="276" w:lineRule="auto"/>
                              <w:rPr>
                                <w:rFonts w:ascii="Arial" w:hAnsi="Arial" w:cs="Arial"/>
                                <w:sz w:val="20"/>
                                <w:szCs w:val="20"/>
                              </w:rPr>
                            </w:pPr>
                            <w:r w:rsidRPr="001973B0">
                              <w:rPr>
                                <w:rFonts w:ascii="Arial" w:hAnsi="Arial" w:cs="Arial"/>
                                <w:sz w:val="20"/>
                                <w:szCs w:val="20"/>
                              </w:rPr>
                              <w:t>LHA reforms implemented in 2011 were intended to peg maximum LHA awards to the lowest 30% of local rents (the 30</w:t>
                            </w:r>
                            <w:r w:rsidRPr="001973B0">
                              <w:rPr>
                                <w:rFonts w:ascii="Arial" w:hAnsi="Arial" w:cs="Arial"/>
                                <w:sz w:val="20"/>
                                <w:szCs w:val="20"/>
                                <w:vertAlign w:val="superscript"/>
                              </w:rPr>
                              <w:t>th</w:t>
                            </w:r>
                            <w:r w:rsidRPr="001973B0">
                              <w:rPr>
                                <w:rFonts w:ascii="Arial" w:hAnsi="Arial" w:cs="Arial"/>
                                <w:sz w:val="20"/>
                                <w:szCs w:val="20"/>
                              </w:rPr>
                              <w:t xml:space="preserve"> percentile).  Maximum LHA caps introduced at the same time mainly affected London.</w:t>
                            </w:r>
                          </w:p>
                          <w:p w:rsidR="00E75CBB" w:rsidRDefault="00E75CBB" w:rsidP="00C316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25pt;margin-top:7.45pt;width:414.8pt;height:18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" fillcolor="white [3201]" strokecolor="#4f81bd [3204]" strokeweight="2pt">
                <v:textbox>
                  <w:txbxContent>
                    <w:p w:rsidR="00E75CBB" w:rsidRPr="001973B0" w:rsidRDefault="00E75CBB" w:rsidP="00C31698">
                      <w:pPr>
                        <w:jc w:val="center"/>
                        <w:rPr>
                          <w:rFonts w:ascii="Arial" w:hAnsi="Arial" w:cs="Arial"/>
                          <w:b/>
                          <w:sz w:val="20"/>
                          <w:szCs w:val="20"/>
                        </w:rPr>
                      </w:pPr>
                      <w:r>
                        <w:rPr>
                          <w:rFonts w:ascii="Arial" w:hAnsi="Arial" w:cs="Arial"/>
                          <w:b/>
                          <w:sz w:val="20"/>
                          <w:szCs w:val="20"/>
                        </w:rPr>
                        <w:t>Setting LHA rates</w:t>
                      </w:r>
                    </w:p>
                    <w:p w:rsidR="00E75CBB" w:rsidRDefault="00E75CBB" w:rsidP="00C31698">
                      <w:pPr>
                        <w:pStyle w:val="ListParagraph"/>
                        <w:numPr>
                          <w:ilvl w:val="0"/>
                          <w:numId w:val="4"/>
                        </w:numPr>
                        <w:spacing w:after="200" w:line="276" w:lineRule="auto"/>
                        <w:rPr>
                          <w:rFonts w:ascii="Arial" w:hAnsi="Arial" w:cs="Arial"/>
                          <w:sz w:val="20"/>
                          <w:szCs w:val="20"/>
                        </w:rPr>
                      </w:pPr>
                      <w:r w:rsidRPr="001973B0">
                        <w:rPr>
                          <w:rFonts w:ascii="Arial" w:hAnsi="Arial" w:cs="Arial"/>
                          <w:sz w:val="20"/>
                          <w:szCs w:val="20"/>
                        </w:rPr>
                        <w:t xml:space="preserve">Local Housing Allowance (LHA) rates are </w:t>
                      </w:r>
                      <w:r>
                        <w:rPr>
                          <w:rFonts w:ascii="Arial" w:hAnsi="Arial" w:cs="Arial"/>
                          <w:sz w:val="20"/>
                          <w:szCs w:val="20"/>
                        </w:rPr>
                        <w:t xml:space="preserve">now </w:t>
                      </w:r>
                      <w:r w:rsidRPr="001973B0">
                        <w:rPr>
                          <w:rFonts w:ascii="Arial" w:hAnsi="Arial" w:cs="Arial"/>
                          <w:sz w:val="20"/>
                          <w:szCs w:val="20"/>
                        </w:rPr>
                        <w:t>set annually</w:t>
                      </w:r>
                      <w:r>
                        <w:rPr>
                          <w:rFonts w:ascii="Arial" w:hAnsi="Arial" w:cs="Arial"/>
                          <w:sz w:val="20"/>
                          <w:szCs w:val="20"/>
                        </w:rPr>
                        <w:t>.</w:t>
                      </w:r>
                    </w:p>
                    <w:p w:rsidR="00E75CBB" w:rsidRPr="001973B0" w:rsidRDefault="00E75CBB" w:rsidP="00C31698">
                      <w:pPr>
                        <w:pStyle w:val="ListParagraph"/>
                        <w:ind w:left="360"/>
                        <w:rPr>
                          <w:rFonts w:ascii="Arial" w:hAnsi="Arial" w:cs="Arial"/>
                          <w:sz w:val="20"/>
                          <w:szCs w:val="20"/>
                        </w:rPr>
                      </w:pPr>
                    </w:p>
                    <w:p w:rsidR="00E75CBB" w:rsidRPr="001973B0" w:rsidRDefault="00E75CBB" w:rsidP="00C31698">
                      <w:pPr>
                        <w:pStyle w:val="ListParagraph"/>
                        <w:numPr>
                          <w:ilvl w:val="0"/>
                          <w:numId w:val="4"/>
                        </w:numPr>
                        <w:spacing w:after="200" w:line="276" w:lineRule="auto"/>
                        <w:rPr>
                          <w:rFonts w:ascii="Arial" w:hAnsi="Arial" w:cs="Arial"/>
                          <w:sz w:val="20"/>
                          <w:szCs w:val="20"/>
                        </w:rPr>
                      </w:pPr>
                      <w:r w:rsidRPr="001973B0">
                        <w:rPr>
                          <w:rFonts w:ascii="Arial" w:hAnsi="Arial" w:cs="Arial"/>
                          <w:sz w:val="20"/>
                          <w:szCs w:val="20"/>
                        </w:rPr>
                        <w:t>London is split into 1</w:t>
                      </w:r>
                      <w:r>
                        <w:rPr>
                          <w:rFonts w:ascii="Arial" w:hAnsi="Arial" w:cs="Arial"/>
                          <w:sz w:val="20"/>
                          <w:szCs w:val="20"/>
                        </w:rPr>
                        <w:t>4</w:t>
                      </w:r>
                      <w:r w:rsidRPr="001973B0">
                        <w:rPr>
                          <w:rFonts w:ascii="Arial" w:hAnsi="Arial" w:cs="Arial"/>
                          <w:sz w:val="20"/>
                          <w:szCs w:val="20"/>
                        </w:rPr>
                        <w:t xml:space="preserve"> Broad Market Rental Areas (B</w:t>
                      </w:r>
                      <w:r>
                        <w:rPr>
                          <w:rFonts w:ascii="Arial" w:hAnsi="Arial" w:cs="Arial"/>
                          <w:sz w:val="20"/>
                          <w:szCs w:val="20"/>
                        </w:rPr>
                        <w:t>MR</w:t>
                      </w:r>
                      <w:r w:rsidRPr="001973B0">
                        <w:rPr>
                          <w:rFonts w:ascii="Arial" w:hAnsi="Arial" w:cs="Arial"/>
                          <w:sz w:val="20"/>
                          <w:szCs w:val="20"/>
                        </w:rPr>
                        <w:t>A)</w:t>
                      </w:r>
                      <w:r>
                        <w:rPr>
                          <w:rFonts w:ascii="Arial" w:hAnsi="Arial" w:cs="Arial"/>
                          <w:sz w:val="20"/>
                          <w:szCs w:val="20"/>
                        </w:rPr>
                        <w:t>.</w:t>
                      </w:r>
                    </w:p>
                    <w:p w:rsidR="00E75CBB" w:rsidRPr="001973B0" w:rsidRDefault="00E75CBB" w:rsidP="00C31698">
                      <w:pPr>
                        <w:pStyle w:val="ListParagraph"/>
                        <w:ind w:left="360"/>
                        <w:rPr>
                          <w:rFonts w:ascii="Arial" w:hAnsi="Arial" w:cs="Arial"/>
                          <w:sz w:val="20"/>
                          <w:szCs w:val="20"/>
                        </w:rPr>
                      </w:pPr>
                    </w:p>
                    <w:p w:rsidR="00E75CBB" w:rsidRDefault="00E75CBB" w:rsidP="00C31698">
                      <w:pPr>
                        <w:pStyle w:val="ListParagraph"/>
                        <w:numPr>
                          <w:ilvl w:val="0"/>
                          <w:numId w:val="4"/>
                        </w:numPr>
                        <w:spacing w:after="200" w:line="276" w:lineRule="auto"/>
                        <w:rPr>
                          <w:rFonts w:ascii="Arial" w:hAnsi="Arial" w:cs="Arial"/>
                          <w:sz w:val="20"/>
                          <w:szCs w:val="20"/>
                        </w:rPr>
                      </w:pPr>
                      <w:r w:rsidRPr="001973B0">
                        <w:rPr>
                          <w:rFonts w:ascii="Arial" w:hAnsi="Arial" w:cs="Arial"/>
                          <w:sz w:val="20"/>
                          <w:szCs w:val="20"/>
                        </w:rPr>
                        <w:t>There are 5 LHA rates in each BRMA representing different property sizes</w:t>
                      </w:r>
                      <w:r>
                        <w:rPr>
                          <w:rFonts w:ascii="Arial" w:hAnsi="Arial" w:cs="Arial"/>
                          <w:sz w:val="20"/>
                          <w:szCs w:val="20"/>
                        </w:rPr>
                        <w:t>.</w:t>
                      </w:r>
                    </w:p>
                    <w:p w:rsidR="00E75CBB" w:rsidRPr="001973B0" w:rsidRDefault="00E75CBB" w:rsidP="00C31698">
                      <w:pPr>
                        <w:pStyle w:val="ListParagraph"/>
                        <w:ind w:left="360"/>
                        <w:rPr>
                          <w:rFonts w:ascii="Arial" w:hAnsi="Arial" w:cs="Arial"/>
                          <w:sz w:val="20"/>
                          <w:szCs w:val="20"/>
                        </w:rPr>
                      </w:pPr>
                    </w:p>
                    <w:p w:rsidR="00E75CBB" w:rsidRDefault="00E75CBB" w:rsidP="00C31698">
                      <w:pPr>
                        <w:pStyle w:val="ListParagraph"/>
                        <w:numPr>
                          <w:ilvl w:val="0"/>
                          <w:numId w:val="4"/>
                        </w:numPr>
                        <w:spacing w:after="200" w:line="276" w:lineRule="auto"/>
                        <w:rPr>
                          <w:rFonts w:ascii="Arial" w:hAnsi="Arial" w:cs="Arial"/>
                          <w:sz w:val="20"/>
                          <w:szCs w:val="20"/>
                        </w:rPr>
                      </w:pPr>
                      <w:r w:rsidRPr="001973B0">
                        <w:rPr>
                          <w:rFonts w:ascii="Arial" w:hAnsi="Arial" w:cs="Arial"/>
                          <w:sz w:val="20"/>
                          <w:szCs w:val="20"/>
                        </w:rPr>
                        <w:t>Annual uprating of all working age benefits, including LHA, w</w:t>
                      </w:r>
                      <w:r>
                        <w:rPr>
                          <w:rFonts w:ascii="Arial" w:hAnsi="Arial" w:cs="Arial"/>
                          <w:sz w:val="20"/>
                          <w:szCs w:val="20"/>
                        </w:rPr>
                        <w:t xml:space="preserve">ill be limited to 1% until 2016 </w:t>
                      </w:r>
                    </w:p>
                    <w:p w:rsidR="00E75CBB" w:rsidRPr="001973B0" w:rsidRDefault="00E75CBB" w:rsidP="00C31698">
                      <w:pPr>
                        <w:pStyle w:val="ListParagraph"/>
                        <w:ind w:left="360"/>
                        <w:rPr>
                          <w:rFonts w:ascii="Arial" w:hAnsi="Arial" w:cs="Arial"/>
                          <w:sz w:val="20"/>
                          <w:szCs w:val="20"/>
                        </w:rPr>
                      </w:pPr>
                    </w:p>
                    <w:p w:rsidR="00E75CBB" w:rsidRPr="001973B0" w:rsidRDefault="00E75CBB" w:rsidP="00C31698">
                      <w:pPr>
                        <w:pStyle w:val="ListParagraph"/>
                        <w:numPr>
                          <w:ilvl w:val="0"/>
                          <w:numId w:val="4"/>
                        </w:numPr>
                        <w:spacing w:after="200" w:line="276" w:lineRule="auto"/>
                        <w:rPr>
                          <w:rFonts w:ascii="Arial" w:hAnsi="Arial" w:cs="Arial"/>
                          <w:sz w:val="20"/>
                          <w:szCs w:val="20"/>
                        </w:rPr>
                      </w:pPr>
                      <w:r w:rsidRPr="001973B0">
                        <w:rPr>
                          <w:rFonts w:ascii="Arial" w:hAnsi="Arial" w:cs="Arial"/>
                          <w:sz w:val="20"/>
                          <w:szCs w:val="20"/>
                        </w:rPr>
                        <w:t>LHA reforms implemented in 2011 were intended to peg maximum LHA awards to the lowest 30% of local rents (the 30</w:t>
                      </w:r>
                      <w:r w:rsidRPr="001973B0">
                        <w:rPr>
                          <w:rFonts w:ascii="Arial" w:hAnsi="Arial" w:cs="Arial"/>
                          <w:sz w:val="20"/>
                          <w:szCs w:val="20"/>
                          <w:vertAlign w:val="superscript"/>
                        </w:rPr>
                        <w:t>th</w:t>
                      </w:r>
                      <w:r w:rsidRPr="001973B0">
                        <w:rPr>
                          <w:rFonts w:ascii="Arial" w:hAnsi="Arial" w:cs="Arial"/>
                          <w:sz w:val="20"/>
                          <w:szCs w:val="20"/>
                        </w:rPr>
                        <w:t xml:space="preserve"> percentile).  Maximum LHA caps introduced at the same time mainly affected London.</w:t>
                      </w:r>
                    </w:p>
                    <w:p w:rsidR="00E75CBB" w:rsidRDefault="00E75CBB" w:rsidP="00C31698"/>
                  </w:txbxContent>
                </v:textbox>
              </v:shape>
            </w:pict>
          </mc:Fallback>
        </mc:AlternateContent>
      </w:r>
      <w:r>
        <w:t xml:space="preserve"> </w:t>
      </w:r>
      <w:r w:rsidR="00E73589">
        <w:br w:type="page"/>
      </w:r>
    </w:p>
    <w:p w:rsidR="002073C5" w:rsidRPr="002073C5" w:rsidRDefault="002073C5" w:rsidP="00E73589">
      <w:pPr>
        <w:rPr>
          <w:u w:val="single"/>
        </w:rPr>
      </w:pPr>
      <w:r w:rsidRPr="002073C5">
        <w:rPr>
          <w:u w:val="single"/>
        </w:rPr>
        <w:lastRenderedPageBreak/>
        <w:t>Local Housing Allowance rates</w:t>
      </w:r>
    </w:p>
    <w:p w:rsidR="002073C5" w:rsidRDefault="002073C5" w:rsidP="00E73589"/>
    <w:p w:rsidR="002073C5" w:rsidRDefault="002073C5" w:rsidP="00E73589">
      <w:r>
        <w:t>Local Housing Allowance was introduced in 2008 with the aim of linking housing benefit awards more closely with household composition, breaking the direct link with rent levels. This followed rent officers being given responsibility for ensuring housing benefit awards were proportionate and were not fuelling rent rises.</w:t>
      </w:r>
    </w:p>
    <w:p w:rsidR="002073C5" w:rsidRDefault="002073C5" w:rsidP="00E73589"/>
    <w:p w:rsidR="002073C5" w:rsidRDefault="002073C5" w:rsidP="00E73589">
      <w:r>
        <w:t xml:space="preserve">Despite this, LHA expenditure has increased steadily. And upon taking office, the coalition Government implemented fresh reforms to the way LHA rates were set, as described below. </w:t>
      </w:r>
    </w:p>
    <w:p w:rsidR="002073C5" w:rsidRDefault="002073C5" w:rsidP="00E73589"/>
    <w:p w:rsidR="00C31698" w:rsidRDefault="00C31698" w:rsidP="002073C5"/>
    <w:p w:rsidR="00C31698" w:rsidRDefault="00E75CBB" w:rsidP="002073C5">
      <w:r w:rsidRPr="007D01F1">
        <w:rPr>
          <w:rFonts w:ascii="Arial" w:hAnsi="Arial" w:cs="Arial"/>
          <w:noProof/>
          <w:sz w:val="20"/>
          <w:szCs w:val="20"/>
        </w:rPr>
        <mc:AlternateContent>
          <mc:Choice Requires="wps">
            <w:drawing>
              <wp:anchor distT="0" distB="0" distL="114300" distR="114300" simplePos="0" relativeHeight="251661312" behindDoc="0" locked="0" layoutInCell="1" allowOverlap="1" wp14:anchorId="48E26ABD" wp14:editId="31259E3E">
                <wp:simplePos x="0" y="0"/>
                <wp:positionH relativeFrom="column">
                  <wp:posOffset>-9525</wp:posOffset>
                </wp:positionH>
                <wp:positionV relativeFrom="paragraph">
                  <wp:posOffset>19686</wp:posOffset>
                </wp:positionV>
                <wp:extent cx="5664200" cy="2514600"/>
                <wp:effectExtent l="0" t="0" r="12700" b="19050"/>
                <wp:wrapNone/>
                <wp:docPr id="8" name="Text Box 8"/>
                <wp:cNvGraphicFramePr/>
                <a:graphic xmlns:a="http://schemas.openxmlformats.org/drawingml/2006/main">
                  <a:graphicData uri="http://schemas.microsoft.com/office/word/2010/wordprocessingShape">
                    <wps:wsp>
                      <wps:cNvSpPr txBox="1"/>
                      <wps:spPr>
                        <a:xfrm>
                          <a:off x="0" y="0"/>
                          <a:ext cx="5664200" cy="2514600"/>
                        </a:xfrm>
                        <a:prstGeom prst="rect">
                          <a:avLst/>
                        </a:prstGeom>
                        <a:solidFill>
                          <a:sysClr val="window" lastClr="FFFFFF"/>
                        </a:solidFill>
                        <a:ln w="25400" cap="flat" cmpd="sng" algn="ctr">
                          <a:solidFill>
                            <a:srgbClr val="4F81BD"/>
                          </a:solidFill>
                          <a:prstDash val="solid"/>
                        </a:ln>
                        <a:effectLst/>
                      </wps:spPr>
                      <wps:txbx>
                        <w:txbxContent>
                          <w:p w:rsidR="00E75CBB" w:rsidRPr="00EC2C4C" w:rsidRDefault="00E75CBB" w:rsidP="00C31698">
                            <w:pPr>
                              <w:ind w:firstLine="720"/>
                              <w:jc w:val="center"/>
                              <w:rPr>
                                <w:rFonts w:ascii="Arial" w:hAnsi="Arial" w:cs="Arial"/>
                                <w:b/>
                                <w:sz w:val="20"/>
                                <w:szCs w:val="20"/>
                                <w:u w:val="single"/>
                              </w:rPr>
                            </w:pPr>
                            <w:r w:rsidRPr="00EC2C4C">
                              <w:rPr>
                                <w:rFonts w:ascii="Arial" w:hAnsi="Arial" w:cs="Arial"/>
                                <w:b/>
                                <w:sz w:val="20"/>
                                <w:szCs w:val="20"/>
                                <w:u w:val="single"/>
                              </w:rPr>
                              <w:t>The LHA Reforms</w:t>
                            </w:r>
                          </w:p>
                          <w:p w:rsidR="00E75CBB" w:rsidRDefault="00E75CBB" w:rsidP="00C31698">
                            <w:pPr>
                              <w:pStyle w:val="ListParagraph"/>
                              <w:numPr>
                                <w:ilvl w:val="0"/>
                                <w:numId w:val="5"/>
                              </w:numPr>
                              <w:spacing w:after="200" w:line="360" w:lineRule="auto"/>
                              <w:rPr>
                                <w:rFonts w:ascii="Arial" w:hAnsi="Arial" w:cs="Arial"/>
                                <w:sz w:val="20"/>
                                <w:szCs w:val="20"/>
                              </w:rPr>
                            </w:pPr>
                            <w:r>
                              <w:rPr>
                                <w:rFonts w:ascii="Arial" w:hAnsi="Arial" w:cs="Arial"/>
                                <w:sz w:val="20"/>
                                <w:szCs w:val="20"/>
                              </w:rPr>
                              <w:t>LHA rates limited to the 30</w:t>
                            </w:r>
                            <w:r w:rsidRPr="007D01F1">
                              <w:rPr>
                                <w:rFonts w:ascii="Arial" w:hAnsi="Arial" w:cs="Arial"/>
                                <w:sz w:val="20"/>
                                <w:szCs w:val="20"/>
                                <w:vertAlign w:val="superscript"/>
                              </w:rPr>
                              <w:t>th</w:t>
                            </w:r>
                            <w:r>
                              <w:rPr>
                                <w:rFonts w:ascii="Arial" w:hAnsi="Arial" w:cs="Arial"/>
                                <w:sz w:val="20"/>
                                <w:szCs w:val="20"/>
                              </w:rPr>
                              <w:t xml:space="preserve"> percentile of local rents (previously 50</w:t>
                            </w:r>
                            <w:r w:rsidRPr="007D01F1">
                              <w:rPr>
                                <w:rFonts w:ascii="Arial" w:hAnsi="Arial" w:cs="Arial"/>
                                <w:sz w:val="20"/>
                                <w:szCs w:val="20"/>
                                <w:vertAlign w:val="superscript"/>
                              </w:rPr>
                              <w:t>th</w:t>
                            </w:r>
                            <w:r>
                              <w:rPr>
                                <w:rFonts w:ascii="Arial" w:hAnsi="Arial" w:cs="Arial"/>
                                <w:sz w:val="20"/>
                                <w:szCs w:val="20"/>
                              </w:rPr>
                              <w:t xml:space="preserve"> percentile). </w:t>
                            </w:r>
                          </w:p>
                          <w:p w:rsidR="00E75CBB" w:rsidRPr="00CC52F9" w:rsidRDefault="00E75CBB" w:rsidP="00C31698">
                            <w:pPr>
                              <w:pStyle w:val="ListParagraph"/>
                              <w:spacing w:line="360" w:lineRule="auto"/>
                              <w:rPr>
                                <w:rFonts w:ascii="Arial" w:hAnsi="Arial" w:cs="Arial"/>
                                <w:sz w:val="20"/>
                                <w:szCs w:val="20"/>
                              </w:rPr>
                            </w:pPr>
                          </w:p>
                          <w:p w:rsidR="00E75CBB" w:rsidRPr="00C56A87" w:rsidRDefault="00E75CBB" w:rsidP="00C31698">
                            <w:pPr>
                              <w:pStyle w:val="ListParagraph"/>
                              <w:numPr>
                                <w:ilvl w:val="0"/>
                                <w:numId w:val="5"/>
                              </w:numPr>
                              <w:spacing w:line="360" w:lineRule="auto"/>
                              <w:rPr>
                                <w:rFonts w:ascii="Arial" w:hAnsi="Arial" w:cs="Arial"/>
                                <w:sz w:val="20"/>
                                <w:szCs w:val="20"/>
                              </w:rPr>
                            </w:pPr>
                            <w:r>
                              <w:rPr>
                                <w:rFonts w:ascii="Arial" w:hAnsi="Arial" w:cs="Arial"/>
                                <w:sz w:val="20"/>
                                <w:szCs w:val="20"/>
                              </w:rPr>
                              <w:t>Nationally applicable</w:t>
                            </w:r>
                            <w:r w:rsidRPr="001973B0">
                              <w:rPr>
                                <w:rFonts w:ascii="Arial" w:hAnsi="Arial" w:cs="Arial"/>
                                <w:sz w:val="20"/>
                                <w:szCs w:val="20"/>
                              </w:rPr>
                              <w:t xml:space="preserve"> caps on weekly LHA receipt implemented</w:t>
                            </w:r>
                            <w:r>
                              <w:rPr>
                                <w:rFonts w:ascii="Arial" w:hAnsi="Arial" w:cs="Arial"/>
                                <w:sz w:val="20"/>
                                <w:szCs w:val="20"/>
                              </w:rPr>
                              <w:t>.</w:t>
                            </w:r>
                          </w:p>
                          <w:p w:rsidR="00E75CBB" w:rsidRPr="00C56A87" w:rsidRDefault="00E75CBB" w:rsidP="00C31698">
                            <w:pPr>
                              <w:pStyle w:val="ListParagraph"/>
                              <w:spacing w:line="360" w:lineRule="auto"/>
                              <w:rPr>
                                <w:rFonts w:ascii="Arial" w:hAnsi="Arial" w:cs="Arial"/>
                                <w:sz w:val="20"/>
                                <w:szCs w:val="20"/>
                              </w:rPr>
                            </w:pPr>
                          </w:p>
                          <w:p w:rsidR="00E75CBB" w:rsidRPr="00CE3338" w:rsidRDefault="00E75CBB" w:rsidP="00C31698">
                            <w:pPr>
                              <w:pStyle w:val="ListParagraph"/>
                              <w:numPr>
                                <w:ilvl w:val="0"/>
                                <w:numId w:val="5"/>
                              </w:numPr>
                              <w:spacing w:line="360" w:lineRule="auto"/>
                              <w:rPr>
                                <w:rFonts w:ascii="Arial" w:hAnsi="Arial" w:cs="Arial"/>
                                <w:sz w:val="20"/>
                                <w:szCs w:val="20"/>
                              </w:rPr>
                            </w:pPr>
                            <w:r w:rsidRPr="00CE3338">
                              <w:rPr>
                                <w:rFonts w:ascii="Arial" w:hAnsi="Arial" w:cs="Arial"/>
                                <w:sz w:val="20"/>
                                <w:szCs w:val="20"/>
                              </w:rPr>
                              <w:t>Shared room rate age eligibility increased from 25 to 35</w:t>
                            </w:r>
                            <w:r>
                              <w:rPr>
                                <w:rFonts w:ascii="Arial" w:hAnsi="Arial" w:cs="Arial"/>
                                <w:sz w:val="20"/>
                                <w:szCs w:val="20"/>
                              </w:rPr>
                              <w:t>.</w:t>
                            </w:r>
                          </w:p>
                          <w:p w:rsidR="00E75CBB" w:rsidRPr="00CE3338" w:rsidRDefault="00E75CBB" w:rsidP="00C31698">
                            <w:pPr>
                              <w:pStyle w:val="ListParagraph"/>
                              <w:spacing w:line="360" w:lineRule="auto"/>
                              <w:rPr>
                                <w:rFonts w:ascii="Arial" w:hAnsi="Arial" w:cs="Arial"/>
                                <w:sz w:val="20"/>
                                <w:szCs w:val="20"/>
                              </w:rPr>
                            </w:pPr>
                            <w:r w:rsidRPr="00CE3338">
                              <w:rPr>
                                <w:rFonts w:ascii="Arial" w:hAnsi="Arial" w:cs="Arial"/>
                                <w:sz w:val="20"/>
                                <w:szCs w:val="20"/>
                              </w:rPr>
                              <w:t xml:space="preserve"> </w:t>
                            </w:r>
                          </w:p>
                          <w:p w:rsidR="00E75CBB" w:rsidRDefault="00E75CBB" w:rsidP="00C31698">
                            <w:pPr>
                              <w:pStyle w:val="ListParagraph"/>
                              <w:numPr>
                                <w:ilvl w:val="0"/>
                                <w:numId w:val="5"/>
                              </w:numPr>
                              <w:spacing w:line="360" w:lineRule="auto"/>
                              <w:rPr>
                                <w:rFonts w:ascii="Arial" w:hAnsi="Arial" w:cs="Arial"/>
                                <w:sz w:val="20"/>
                                <w:szCs w:val="20"/>
                              </w:rPr>
                            </w:pPr>
                            <w:r w:rsidRPr="007D01F1">
                              <w:rPr>
                                <w:rFonts w:ascii="Arial" w:hAnsi="Arial" w:cs="Arial"/>
                                <w:sz w:val="20"/>
                                <w:szCs w:val="20"/>
                              </w:rPr>
                              <w:t>Non-dependant deductions increased for three years</w:t>
                            </w:r>
                            <w:r>
                              <w:rPr>
                                <w:rFonts w:ascii="Arial" w:hAnsi="Arial" w:cs="Arial"/>
                                <w:sz w:val="20"/>
                                <w:szCs w:val="20"/>
                              </w:rPr>
                              <w:t>.</w:t>
                            </w:r>
                            <w:r w:rsidRPr="007D01F1">
                              <w:rPr>
                                <w:rFonts w:ascii="Arial" w:hAnsi="Arial" w:cs="Arial"/>
                                <w:sz w:val="20"/>
                                <w:szCs w:val="20"/>
                              </w:rPr>
                              <w:t xml:space="preserve"> </w:t>
                            </w:r>
                          </w:p>
                          <w:p w:rsidR="00E75CBB" w:rsidRPr="007D01F1" w:rsidRDefault="00E75CBB" w:rsidP="00C31698">
                            <w:pPr>
                              <w:pStyle w:val="ListParagraph"/>
                              <w:spacing w:line="360" w:lineRule="auto"/>
                              <w:rPr>
                                <w:rFonts w:ascii="Arial" w:hAnsi="Arial" w:cs="Arial"/>
                                <w:sz w:val="20"/>
                                <w:szCs w:val="20"/>
                              </w:rPr>
                            </w:pPr>
                          </w:p>
                          <w:p w:rsidR="00E75CBB" w:rsidRDefault="00E75CBB" w:rsidP="00C31698">
                            <w:pPr>
                              <w:pStyle w:val="ListParagraph"/>
                              <w:numPr>
                                <w:ilvl w:val="0"/>
                                <w:numId w:val="5"/>
                              </w:numPr>
                              <w:spacing w:line="360" w:lineRule="auto"/>
                              <w:rPr>
                                <w:rFonts w:ascii="Arial" w:hAnsi="Arial" w:cs="Arial"/>
                                <w:sz w:val="20"/>
                                <w:szCs w:val="20"/>
                              </w:rPr>
                            </w:pPr>
                            <w:r>
                              <w:rPr>
                                <w:rFonts w:ascii="Arial" w:hAnsi="Arial" w:cs="Arial"/>
                                <w:sz w:val="20"/>
                                <w:szCs w:val="20"/>
                              </w:rPr>
                              <w:t>All working age benefit rates including LHA uprated by only 1% for 3 years (from Apr ’14)</w:t>
                            </w:r>
                          </w:p>
                          <w:p w:rsidR="00E75CBB" w:rsidRPr="007D01F1" w:rsidRDefault="00E75CBB" w:rsidP="00C31698">
                            <w:pPr>
                              <w:pStyle w:val="ListParagraph"/>
                              <w:spacing w:line="360" w:lineRule="auto"/>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75pt;margin-top:1.55pt;width:446pt;height:19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" fillcolor="window" strokecolor="#4f81bd" strokeweight="2pt">
                <v:textbox>
                  <w:txbxContent>
                    <w:p w:rsidR="00E75CBB" w:rsidRPr="00EC2C4C" w:rsidRDefault="00E75CBB" w:rsidP="00C31698">
                      <w:pPr>
                        <w:ind w:firstLine="720"/>
                        <w:jc w:val="center"/>
                        <w:rPr>
                          <w:rFonts w:ascii="Arial" w:hAnsi="Arial" w:cs="Arial"/>
                          <w:b/>
                          <w:sz w:val="20"/>
                          <w:szCs w:val="20"/>
                          <w:u w:val="single"/>
                        </w:rPr>
                      </w:pPr>
                      <w:r w:rsidRPr="00EC2C4C">
                        <w:rPr>
                          <w:rFonts w:ascii="Arial" w:hAnsi="Arial" w:cs="Arial"/>
                          <w:b/>
                          <w:sz w:val="20"/>
                          <w:szCs w:val="20"/>
                          <w:u w:val="single"/>
                        </w:rPr>
                        <w:t>The LHA Reforms</w:t>
                      </w:r>
                    </w:p>
                    <w:p w:rsidR="00E75CBB" w:rsidRDefault="00E75CBB" w:rsidP="00C31698">
                      <w:pPr>
                        <w:pStyle w:val="ListParagraph"/>
                        <w:numPr>
                          <w:ilvl w:val="0"/>
                          <w:numId w:val="5"/>
                        </w:numPr>
                        <w:spacing w:after="200" w:line="360" w:lineRule="auto"/>
                        <w:rPr>
                          <w:rFonts w:ascii="Arial" w:hAnsi="Arial" w:cs="Arial"/>
                          <w:sz w:val="20"/>
                          <w:szCs w:val="20"/>
                        </w:rPr>
                      </w:pPr>
                      <w:r>
                        <w:rPr>
                          <w:rFonts w:ascii="Arial" w:hAnsi="Arial" w:cs="Arial"/>
                          <w:sz w:val="20"/>
                          <w:szCs w:val="20"/>
                        </w:rPr>
                        <w:t>LHA rates limited to the 30</w:t>
                      </w:r>
                      <w:r w:rsidRPr="007D01F1">
                        <w:rPr>
                          <w:rFonts w:ascii="Arial" w:hAnsi="Arial" w:cs="Arial"/>
                          <w:sz w:val="20"/>
                          <w:szCs w:val="20"/>
                          <w:vertAlign w:val="superscript"/>
                        </w:rPr>
                        <w:t>th</w:t>
                      </w:r>
                      <w:r>
                        <w:rPr>
                          <w:rFonts w:ascii="Arial" w:hAnsi="Arial" w:cs="Arial"/>
                          <w:sz w:val="20"/>
                          <w:szCs w:val="20"/>
                        </w:rPr>
                        <w:t xml:space="preserve"> percentile of local rents (previously 50</w:t>
                      </w:r>
                      <w:r w:rsidRPr="007D01F1">
                        <w:rPr>
                          <w:rFonts w:ascii="Arial" w:hAnsi="Arial" w:cs="Arial"/>
                          <w:sz w:val="20"/>
                          <w:szCs w:val="20"/>
                          <w:vertAlign w:val="superscript"/>
                        </w:rPr>
                        <w:t>th</w:t>
                      </w:r>
                      <w:r>
                        <w:rPr>
                          <w:rFonts w:ascii="Arial" w:hAnsi="Arial" w:cs="Arial"/>
                          <w:sz w:val="20"/>
                          <w:szCs w:val="20"/>
                        </w:rPr>
                        <w:t xml:space="preserve"> percentile). </w:t>
                      </w:r>
                    </w:p>
                    <w:p w:rsidR="00E75CBB" w:rsidRPr="00CC52F9" w:rsidRDefault="00E75CBB" w:rsidP="00C31698">
                      <w:pPr>
                        <w:pStyle w:val="ListParagraph"/>
                        <w:spacing w:line="360" w:lineRule="auto"/>
                        <w:rPr>
                          <w:rFonts w:ascii="Arial" w:hAnsi="Arial" w:cs="Arial"/>
                          <w:sz w:val="20"/>
                          <w:szCs w:val="20"/>
                        </w:rPr>
                      </w:pPr>
                    </w:p>
                    <w:p w:rsidR="00E75CBB" w:rsidRPr="00C56A87" w:rsidRDefault="00E75CBB" w:rsidP="00C31698">
                      <w:pPr>
                        <w:pStyle w:val="ListParagraph"/>
                        <w:numPr>
                          <w:ilvl w:val="0"/>
                          <w:numId w:val="5"/>
                        </w:numPr>
                        <w:spacing w:line="360" w:lineRule="auto"/>
                        <w:rPr>
                          <w:rFonts w:ascii="Arial" w:hAnsi="Arial" w:cs="Arial"/>
                          <w:sz w:val="20"/>
                          <w:szCs w:val="20"/>
                        </w:rPr>
                      </w:pPr>
                      <w:r>
                        <w:rPr>
                          <w:rFonts w:ascii="Arial" w:hAnsi="Arial" w:cs="Arial"/>
                          <w:sz w:val="20"/>
                          <w:szCs w:val="20"/>
                        </w:rPr>
                        <w:t>Nationally applicable</w:t>
                      </w:r>
                      <w:r w:rsidRPr="001973B0">
                        <w:rPr>
                          <w:rFonts w:ascii="Arial" w:hAnsi="Arial" w:cs="Arial"/>
                          <w:sz w:val="20"/>
                          <w:szCs w:val="20"/>
                        </w:rPr>
                        <w:t xml:space="preserve"> caps on weekly LHA receipt implemented</w:t>
                      </w:r>
                      <w:r>
                        <w:rPr>
                          <w:rFonts w:ascii="Arial" w:hAnsi="Arial" w:cs="Arial"/>
                          <w:sz w:val="20"/>
                          <w:szCs w:val="20"/>
                        </w:rPr>
                        <w:t>.</w:t>
                      </w:r>
                    </w:p>
                    <w:p w:rsidR="00E75CBB" w:rsidRPr="00C56A87" w:rsidRDefault="00E75CBB" w:rsidP="00C31698">
                      <w:pPr>
                        <w:pStyle w:val="ListParagraph"/>
                        <w:spacing w:line="360" w:lineRule="auto"/>
                        <w:rPr>
                          <w:rFonts w:ascii="Arial" w:hAnsi="Arial" w:cs="Arial"/>
                          <w:sz w:val="20"/>
                          <w:szCs w:val="20"/>
                        </w:rPr>
                      </w:pPr>
                    </w:p>
                    <w:p w:rsidR="00E75CBB" w:rsidRPr="00CE3338" w:rsidRDefault="00E75CBB" w:rsidP="00C31698">
                      <w:pPr>
                        <w:pStyle w:val="ListParagraph"/>
                        <w:numPr>
                          <w:ilvl w:val="0"/>
                          <w:numId w:val="5"/>
                        </w:numPr>
                        <w:spacing w:line="360" w:lineRule="auto"/>
                        <w:rPr>
                          <w:rFonts w:ascii="Arial" w:hAnsi="Arial" w:cs="Arial"/>
                          <w:sz w:val="20"/>
                          <w:szCs w:val="20"/>
                        </w:rPr>
                      </w:pPr>
                      <w:r w:rsidRPr="00CE3338">
                        <w:rPr>
                          <w:rFonts w:ascii="Arial" w:hAnsi="Arial" w:cs="Arial"/>
                          <w:sz w:val="20"/>
                          <w:szCs w:val="20"/>
                        </w:rPr>
                        <w:t>Shared room rate age eligibility increased from 25 to 35</w:t>
                      </w:r>
                      <w:r>
                        <w:rPr>
                          <w:rFonts w:ascii="Arial" w:hAnsi="Arial" w:cs="Arial"/>
                          <w:sz w:val="20"/>
                          <w:szCs w:val="20"/>
                        </w:rPr>
                        <w:t>.</w:t>
                      </w:r>
                    </w:p>
                    <w:p w:rsidR="00E75CBB" w:rsidRPr="00CE3338" w:rsidRDefault="00E75CBB" w:rsidP="00C31698">
                      <w:pPr>
                        <w:pStyle w:val="ListParagraph"/>
                        <w:spacing w:line="360" w:lineRule="auto"/>
                        <w:rPr>
                          <w:rFonts w:ascii="Arial" w:hAnsi="Arial" w:cs="Arial"/>
                          <w:sz w:val="20"/>
                          <w:szCs w:val="20"/>
                        </w:rPr>
                      </w:pPr>
                      <w:r w:rsidRPr="00CE3338">
                        <w:rPr>
                          <w:rFonts w:ascii="Arial" w:hAnsi="Arial" w:cs="Arial"/>
                          <w:sz w:val="20"/>
                          <w:szCs w:val="20"/>
                        </w:rPr>
                        <w:t xml:space="preserve"> </w:t>
                      </w:r>
                    </w:p>
                    <w:p w:rsidR="00E75CBB" w:rsidRDefault="00E75CBB" w:rsidP="00C31698">
                      <w:pPr>
                        <w:pStyle w:val="ListParagraph"/>
                        <w:numPr>
                          <w:ilvl w:val="0"/>
                          <w:numId w:val="5"/>
                        </w:numPr>
                        <w:spacing w:line="360" w:lineRule="auto"/>
                        <w:rPr>
                          <w:rFonts w:ascii="Arial" w:hAnsi="Arial" w:cs="Arial"/>
                          <w:sz w:val="20"/>
                          <w:szCs w:val="20"/>
                        </w:rPr>
                      </w:pPr>
                      <w:r w:rsidRPr="007D01F1">
                        <w:rPr>
                          <w:rFonts w:ascii="Arial" w:hAnsi="Arial" w:cs="Arial"/>
                          <w:sz w:val="20"/>
                          <w:szCs w:val="20"/>
                        </w:rPr>
                        <w:t>Non-dependant deductions increased for three years</w:t>
                      </w:r>
                      <w:r>
                        <w:rPr>
                          <w:rFonts w:ascii="Arial" w:hAnsi="Arial" w:cs="Arial"/>
                          <w:sz w:val="20"/>
                          <w:szCs w:val="20"/>
                        </w:rPr>
                        <w:t>.</w:t>
                      </w:r>
                      <w:r w:rsidRPr="007D01F1">
                        <w:rPr>
                          <w:rFonts w:ascii="Arial" w:hAnsi="Arial" w:cs="Arial"/>
                          <w:sz w:val="20"/>
                          <w:szCs w:val="20"/>
                        </w:rPr>
                        <w:t xml:space="preserve"> </w:t>
                      </w:r>
                    </w:p>
                    <w:p w:rsidR="00E75CBB" w:rsidRPr="007D01F1" w:rsidRDefault="00E75CBB" w:rsidP="00C31698">
                      <w:pPr>
                        <w:pStyle w:val="ListParagraph"/>
                        <w:spacing w:line="360" w:lineRule="auto"/>
                        <w:rPr>
                          <w:rFonts w:ascii="Arial" w:hAnsi="Arial" w:cs="Arial"/>
                          <w:sz w:val="20"/>
                          <w:szCs w:val="20"/>
                        </w:rPr>
                      </w:pPr>
                    </w:p>
                    <w:p w:rsidR="00E75CBB" w:rsidRDefault="00E75CBB" w:rsidP="00C31698">
                      <w:pPr>
                        <w:pStyle w:val="ListParagraph"/>
                        <w:numPr>
                          <w:ilvl w:val="0"/>
                          <w:numId w:val="5"/>
                        </w:numPr>
                        <w:spacing w:line="360" w:lineRule="auto"/>
                        <w:rPr>
                          <w:rFonts w:ascii="Arial" w:hAnsi="Arial" w:cs="Arial"/>
                          <w:sz w:val="20"/>
                          <w:szCs w:val="20"/>
                        </w:rPr>
                      </w:pPr>
                      <w:r>
                        <w:rPr>
                          <w:rFonts w:ascii="Arial" w:hAnsi="Arial" w:cs="Arial"/>
                          <w:sz w:val="20"/>
                          <w:szCs w:val="20"/>
                        </w:rPr>
                        <w:t>All working age benefit rates including LHA uprated by only 1% for 3 years (from Apr ’14)</w:t>
                      </w:r>
                    </w:p>
                    <w:p w:rsidR="00E75CBB" w:rsidRPr="007D01F1" w:rsidRDefault="00E75CBB" w:rsidP="00C31698">
                      <w:pPr>
                        <w:pStyle w:val="ListParagraph"/>
                        <w:spacing w:line="360" w:lineRule="auto"/>
                        <w:rPr>
                          <w:rFonts w:ascii="Arial" w:hAnsi="Arial" w:cs="Arial"/>
                          <w:sz w:val="20"/>
                          <w:szCs w:val="20"/>
                        </w:rPr>
                      </w:pPr>
                    </w:p>
                  </w:txbxContent>
                </v:textbox>
              </v:shape>
            </w:pict>
          </mc:Fallback>
        </mc:AlternateContent>
      </w:r>
    </w:p>
    <w:p w:rsidR="00C31698" w:rsidRDefault="00C31698" w:rsidP="002073C5"/>
    <w:p w:rsidR="00C31698" w:rsidRDefault="00C31698" w:rsidP="002073C5"/>
    <w:p w:rsidR="00C31698" w:rsidRDefault="00C31698" w:rsidP="002073C5"/>
    <w:p w:rsidR="00C31698" w:rsidRDefault="00C31698" w:rsidP="002073C5"/>
    <w:p w:rsidR="00C31698" w:rsidRDefault="00C31698" w:rsidP="002073C5"/>
    <w:p w:rsidR="00C31698" w:rsidRDefault="00C31698" w:rsidP="002073C5"/>
    <w:p w:rsidR="00C31698" w:rsidRDefault="00C31698" w:rsidP="002073C5"/>
    <w:p w:rsidR="00C31698" w:rsidRDefault="00C31698" w:rsidP="002073C5"/>
    <w:p w:rsidR="00C31698" w:rsidRDefault="00C31698" w:rsidP="002073C5"/>
    <w:p w:rsidR="00C31698" w:rsidRDefault="00C31698" w:rsidP="002073C5"/>
    <w:p w:rsidR="00C31698" w:rsidRDefault="00C31698" w:rsidP="002073C5"/>
    <w:p w:rsidR="00C31698" w:rsidRDefault="00C31698" w:rsidP="002073C5"/>
    <w:p w:rsidR="00C31698" w:rsidRDefault="00C31698" w:rsidP="002073C5"/>
    <w:p w:rsidR="00C31698" w:rsidRDefault="00C31698" w:rsidP="002073C5"/>
    <w:p w:rsidR="00C31698" w:rsidRDefault="00C31698" w:rsidP="002073C5"/>
    <w:p w:rsidR="002073C5" w:rsidRDefault="002073C5" w:rsidP="00E73589"/>
    <w:p w:rsidR="002073C5" w:rsidRPr="002073C5" w:rsidRDefault="002073C5" w:rsidP="00E73589">
      <w:r>
        <w:t xml:space="preserve">Following lobbying from London Councils, London received around three-quarters of a ‘Targeted Affordability Fund’ </w:t>
      </w:r>
      <w:r w:rsidR="007345FB">
        <w:t xml:space="preserve">(TAF) </w:t>
      </w:r>
      <w:r>
        <w:t>announced by the Government in recognition of the increasing unaffordability to HB recipients of private sector rents. As a result</w:t>
      </w:r>
      <w:r w:rsidR="007345FB">
        <w:t>, half of London’s LHA rates increased by 4% in 2014, the only exception to the national cap of 1% on the uprating of benefits.</w:t>
      </w:r>
      <w:r>
        <w:t xml:space="preserve"> </w:t>
      </w:r>
    </w:p>
    <w:p w:rsidR="002073C5" w:rsidRDefault="002073C5" w:rsidP="00E73589">
      <w:pPr>
        <w:rPr>
          <w:u w:val="single"/>
        </w:rPr>
      </w:pPr>
    </w:p>
    <w:p w:rsidR="007345FB" w:rsidRDefault="007345FB" w:rsidP="00E73589">
      <w:pPr>
        <w:rPr>
          <w:u w:val="single"/>
        </w:rPr>
      </w:pPr>
      <w:r>
        <w:rPr>
          <w:u w:val="single"/>
        </w:rPr>
        <w:t>Current rent levels and year two TAF allocations</w:t>
      </w:r>
    </w:p>
    <w:p w:rsidR="004141B7" w:rsidRDefault="004141B7" w:rsidP="00E73589"/>
    <w:p w:rsidR="001724B7" w:rsidRDefault="007345FB" w:rsidP="00E73589">
      <w:r>
        <w:t xml:space="preserve">Rent levels have largely continued to rise across </w:t>
      </w:r>
      <w:r w:rsidR="001724B7">
        <w:t>most parts</w:t>
      </w:r>
      <w:r>
        <w:t xml:space="preserve"> of London and for </w:t>
      </w:r>
      <w:r w:rsidR="001724B7">
        <w:t>most</w:t>
      </w:r>
      <w:r>
        <w:t xml:space="preserve"> types of housing.</w:t>
      </w:r>
      <w:r w:rsidR="001724B7">
        <w:t xml:space="preserve"> However, the increases have not been as widespread as those seen in 2013.</w:t>
      </w:r>
      <w:r>
        <w:t xml:space="preserve"> </w:t>
      </w:r>
    </w:p>
    <w:p w:rsidR="001724B7" w:rsidRDefault="001724B7" w:rsidP="00E73589"/>
    <w:p w:rsidR="007345FB" w:rsidRDefault="007345FB" w:rsidP="00E73589">
      <w:r>
        <w:t>During 2014, the 30</w:t>
      </w:r>
      <w:r w:rsidRPr="007345FB">
        <w:rPr>
          <w:vertAlign w:val="superscript"/>
        </w:rPr>
        <w:t>th</w:t>
      </w:r>
      <w:r w:rsidR="001724B7">
        <w:t xml:space="preserve"> percentile rent </w:t>
      </w:r>
      <w:r w:rsidR="00A37A03">
        <w:t xml:space="preserve">level </w:t>
      </w:r>
      <w:r w:rsidR="001724B7">
        <w:t xml:space="preserve">rose in </w:t>
      </w:r>
      <w:r w:rsidR="001724B7" w:rsidRPr="001724B7">
        <w:rPr>
          <w:b/>
        </w:rPr>
        <w:t>55</w:t>
      </w:r>
      <w:r>
        <w:t xml:space="preserve"> of the </w:t>
      </w:r>
      <w:r w:rsidRPr="001724B7">
        <w:rPr>
          <w:b/>
        </w:rPr>
        <w:t>70</w:t>
      </w:r>
      <w:r>
        <w:t xml:space="preserve"> LHA rate areas</w:t>
      </w:r>
      <w:r w:rsidR="001724B7">
        <w:t>.</w:t>
      </w:r>
      <w:r>
        <w:t xml:space="preserve"> </w:t>
      </w:r>
      <w:r w:rsidR="001724B7">
        <w:t>I</w:t>
      </w:r>
      <w:r>
        <w:t xml:space="preserve">n </w:t>
      </w:r>
      <w:r w:rsidRPr="001724B7">
        <w:rPr>
          <w:b/>
        </w:rPr>
        <w:t>27</w:t>
      </w:r>
      <w:r w:rsidR="001724B7">
        <w:t xml:space="preserve"> of London’s </w:t>
      </w:r>
      <w:r w:rsidR="001724B7" w:rsidRPr="001724B7">
        <w:rPr>
          <w:b/>
        </w:rPr>
        <w:t>70</w:t>
      </w:r>
      <w:r w:rsidR="001724B7">
        <w:t xml:space="preserve"> rate areas</w:t>
      </w:r>
      <w:r>
        <w:t>, the 30</w:t>
      </w:r>
      <w:r w:rsidRPr="007345FB">
        <w:rPr>
          <w:vertAlign w:val="superscript"/>
        </w:rPr>
        <w:t>th</w:t>
      </w:r>
      <w:r>
        <w:t xml:space="preserve"> percentile rent </w:t>
      </w:r>
      <w:r w:rsidR="00A37A03">
        <w:t xml:space="preserve">level </w:t>
      </w:r>
      <w:r>
        <w:t>rose by 5% or more. The 30</w:t>
      </w:r>
      <w:r w:rsidRPr="007345FB">
        <w:rPr>
          <w:vertAlign w:val="superscript"/>
        </w:rPr>
        <w:t>th</w:t>
      </w:r>
      <w:r>
        <w:t xml:space="preserve"> percentile rent </w:t>
      </w:r>
      <w:r w:rsidR="00A37A03">
        <w:t xml:space="preserve">level </w:t>
      </w:r>
      <w:r>
        <w:t>held steady in two LHA rate areas.</w:t>
      </w:r>
    </w:p>
    <w:p w:rsidR="007345FB" w:rsidRDefault="007345FB" w:rsidP="00E73589"/>
    <w:p w:rsidR="00E75CBB" w:rsidRDefault="00E75CBB" w:rsidP="00E73589"/>
    <w:p w:rsidR="00E75CBB" w:rsidRDefault="00E75CBB" w:rsidP="00E73589"/>
    <w:p w:rsidR="00A37A03" w:rsidRDefault="00A37A03" w:rsidP="00E73589"/>
    <w:p w:rsidR="00A37A03" w:rsidRDefault="00A37A03" w:rsidP="00E73589"/>
    <w:p w:rsidR="00A37A03" w:rsidRDefault="00A37A03" w:rsidP="00E73589"/>
    <w:p w:rsidR="007345FB" w:rsidRDefault="007345FB" w:rsidP="00E73589">
      <w:r>
        <w:lastRenderedPageBreak/>
        <w:t xml:space="preserve">Rents fell in </w:t>
      </w:r>
      <w:r w:rsidRPr="0035571B">
        <w:rPr>
          <w:b/>
        </w:rPr>
        <w:t>1</w:t>
      </w:r>
      <w:r w:rsidR="001724B7" w:rsidRPr="0035571B">
        <w:rPr>
          <w:b/>
        </w:rPr>
        <w:t>3</w:t>
      </w:r>
      <w:r>
        <w:t xml:space="preserve"> LHA rate areas:</w:t>
      </w:r>
    </w:p>
    <w:p w:rsidR="007345FB" w:rsidRDefault="007345FB" w:rsidP="00A37A03">
      <w:pPr>
        <w:pStyle w:val="ListParagraph"/>
        <w:numPr>
          <w:ilvl w:val="0"/>
          <w:numId w:val="6"/>
        </w:numPr>
      </w:pPr>
      <w:r>
        <w:t>Shared rate in inner south-west London and north-west London</w:t>
      </w:r>
      <w:r w:rsidR="001724B7">
        <w:t>*</w:t>
      </w:r>
    </w:p>
    <w:p w:rsidR="007345FB" w:rsidRDefault="007345FB" w:rsidP="00A37A03">
      <w:pPr>
        <w:pStyle w:val="ListParagraph"/>
        <w:numPr>
          <w:ilvl w:val="0"/>
          <w:numId w:val="6"/>
        </w:numPr>
      </w:pPr>
      <w:r>
        <w:t>One bedroom rate in inner east London</w:t>
      </w:r>
      <w:r w:rsidR="001724B7">
        <w:t>*</w:t>
      </w:r>
      <w:r>
        <w:t>, inner west London</w:t>
      </w:r>
      <w:r w:rsidR="001724B7">
        <w:t>*</w:t>
      </w:r>
      <w:r>
        <w:t>, outer east London</w:t>
      </w:r>
      <w:r w:rsidR="001724B7">
        <w:t>*</w:t>
      </w:r>
      <w:r>
        <w:t xml:space="preserve"> and outer north-east London</w:t>
      </w:r>
    </w:p>
    <w:p w:rsidR="007345FB" w:rsidRDefault="007345FB" w:rsidP="00A37A03">
      <w:pPr>
        <w:pStyle w:val="ListParagraph"/>
        <w:numPr>
          <w:ilvl w:val="0"/>
          <w:numId w:val="6"/>
        </w:numPr>
      </w:pPr>
      <w:r>
        <w:t xml:space="preserve">Two bedroom rate in inner east London, </w:t>
      </w:r>
      <w:r w:rsidR="001724B7">
        <w:t>inner west London* and outer north-east London</w:t>
      </w:r>
    </w:p>
    <w:p w:rsidR="001724B7" w:rsidRDefault="001724B7" w:rsidP="00A37A03">
      <w:pPr>
        <w:pStyle w:val="ListParagraph"/>
        <w:numPr>
          <w:ilvl w:val="0"/>
          <w:numId w:val="6"/>
        </w:numPr>
      </w:pPr>
      <w:r>
        <w:t>Three bedroom rate in inner north London and outer east London*</w:t>
      </w:r>
    </w:p>
    <w:p w:rsidR="001724B7" w:rsidRDefault="001724B7" w:rsidP="00A37A03">
      <w:pPr>
        <w:pStyle w:val="ListParagraph"/>
        <w:numPr>
          <w:ilvl w:val="0"/>
          <w:numId w:val="6"/>
        </w:numPr>
      </w:pPr>
      <w:r>
        <w:t>Four bedroom rate in inner north London and outer north London</w:t>
      </w:r>
    </w:p>
    <w:p w:rsidR="007345FB" w:rsidRDefault="001724B7" w:rsidP="001724B7">
      <w:r>
        <w:t>(*Rate fell by less than 1%)</w:t>
      </w:r>
    </w:p>
    <w:p w:rsidR="001724B7" w:rsidRDefault="001724B7" w:rsidP="00E73589"/>
    <w:p w:rsidR="004141B7" w:rsidRDefault="001724B7" w:rsidP="00E73589">
      <w:r>
        <w:t>While the increases in rent levels were slightly less widespread</w:t>
      </w:r>
      <w:r w:rsidR="0035571B">
        <w:t xml:space="preserve"> in 2014 than in 2013</w:t>
      </w:r>
      <w:r>
        <w:t>, and rents fell in more LHA areas</w:t>
      </w:r>
      <w:r w:rsidR="009B3539">
        <w:t>, there have still been significant increases. The most significant year-on-year 30</w:t>
      </w:r>
      <w:r w:rsidR="009B3539" w:rsidRPr="009B3539">
        <w:rPr>
          <w:vertAlign w:val="superscript"/>
        </w:rPr>
        <w:t>th</w:t>
      </w:r>
      <w:r w:rsidR="009B3539">
        <w:t xml:space="preserve"> percentile rent rises, by property type, were:</w:t>
      </w:r>
    </w:p>
    <w:p w:rsidR="009B3539" w:rsidRDefault="009B3539" w:rsidP="00A37A03">
      <w:pPr>
        <w:pStyle w:val="ListParagraph"/>
        <w:numPr>
          <w:ilvl w:val="0"/>
          <w:numId w:val="7"/>
        </w:numPr>
        <w:ind w:left="851" w:hanging="425"/>
      </w:pPr>
      <w:r>
        <w:t>Shared r</w:t>
      </w:r>
      <w:r w:rsidR="00AD560A">
        <w:t>ate</w:t>
      </w:r>
      <w:r>
        <w:t xml:space="preserve"> – Outer south-west London (+24.7%)</w:t>
      </w:r>
    </w:p>
    <w:p w:rsidR="009B3539" w:rsidRDefault="009B3539" w:rsidP="00A37A03">
      <w:pPr>
        <w:pStyle w:val="ListParagraph"/>
        <w:numPr>
          <w:ilvl w:val="0"/>
          <w:numId w:val="7"/>
        </w:numPr>
        <w:ind w:left="851" w:hanging="425"/>
      </w:pPr>
      <w:r>
        <w:t>One bedroom – Outer west London (+6.4%)</w:t>
      </w:r>
    </w:p>
    <w:p w:rsidR="009B3539" w:rsidRDefault="009B3539" w:rsidP="00A37A03">
      <w:pPr>
        <w:pStyle w:val="ListParagraph"/>
        <w:numPr>
          <w:ilvl w:val="0"/>
          <w:numId w:val="7"/>
        </w:numPr>
        <w:ind w:left="851" w:hanging="425"/>
      </w:pPr>
      <w:r>
        <w:t xml:space="preserve">Two </w:t>
      </w:r>
      <w:proofErr w:type="gramStart"/>
      <w:r>
        <w:t>bedroom</w:t>
      </w:r>
      <w:proofErr w:type="gramEnd"/>
      <w:r>
        <w:t xml:space="preserve"> – Outer west London (+10.2%)</w:t>
      </w:r>
    </w:p>
    <w:p w:rsidR="009B3539" w:rsidRDefault="009B3539" w:rsidP="00A37A03">
      <w:pPr>
        <w:pStyle w:val="ListParagraph"/>
        <w:numPr>
          <w:ilvl w:val="0"/>
          <w:numId w:val="7"/>
        </w:numPr>
        <w:ind w:left="851" w:hanging="425"/>
      </w:pPr>
      <w:r>
        <w:t xml:space="preserve">Three </w:t>
      </w:r>
      <w:proofErr w:type="gramStart"/>
      <w:r>
        <w:t>bedroom</w:t>
      </w:r>
      <w:proofErr w:type="gramEnd"/>
      <w:r>
        <w:t xml:space="preserve"> </w:t>
      </w:r>
      <w:r w:rsidR="008F359B">
        <w:t>–</w:t>
      </w:r>
      <w:r>
        <w:t xml:space="preserve"> </w:t>
      </w:r>
      <w:r w:rsidR="008F359B">
        <w:t>Inner south-east London (+10.0%)</w:t>
      </w:r>
    </w:p>
    <w:p w:rsidR="008F359B" w:rsidRDefault="008F359B" w:rsidP="00A37A03">
      <w:pPr>
        <w:pStyle w:val="ListParagraph"/>
        <w:numPr>
          <w:ilvl w:val="0"/>
          <w:numId w:val="7"/>
        </w:numPr>
        <w:ind w:left="851" w:hanging="425"/>
      </w:pPr>
      <w:r>
        <w:t xml:space="preserve">Four </w:t>
      </w:r>
      <w:proofErr w:type="gramStart"/>
      <w:r>
        <w:t>bedroom</w:t>
      </w:r>
      <w:proofErr w:type="gramEnd"/>
      <w:r>
        <w:t xml:space="preserve"> – Outer west London (+10.5%)</w:t>
      </w:r>
    </w:p>
    <w:p w:rsidR="004141B7" w:rsidRDefault="004141B7" w:rsidP="00E73589"/>
    <w:p w:rsidR="008F359B" w:rsidRDefault="008F359B" w:rsidP="00E73589"/>
    <w:p w:rsidR="008F359B" w:rsidRDefault="008F359B" w:rsidP="00E73589">
      <w:r>
        <w:t xml:space="preserve">In addition, those LHA areas that saw rent levels fall in 2013 experienced significant rent </w:t>
      </w:r>
      <w:r w:rsidRPr="0035571B">
        <w:rPr>
          <w:i/>
        </w:rPr>
        <w:t>increases</w:t>
      </w:r>
      <w:r>
        <w:t xml:space="preserve"> in 2014.</w:t>
      </w:r>
    </w:p>
    <w:p w:rsidR="008F359B" w:rsidRDefault="00AD560A" w:rsidP="00A37A03">
      <w:pPr>
        <w:pStyle w:val="ListParagraph"/>
        <w:numPr>
          <w:ilvl w:val="0"/>
          <w:numId w:val="8"/>
        </w:numPr>
      </w:pPr>
      <w:r>
        <w:t>Shared</w:t>
      </w:r>
      <w:r w:rsidR="008F359B">
        <w:t xml:space="preserve"> rate in outer north-east London: </w:t>
      </w:r>
      <w:r w:rsidR="008F359B" w:rsidRPr="008F359B">
        <w:rPr>
          <w:b/>
        </w:rPr>
        <w:t>fell by 1.0%</w:t>
      </w:r>
      <w:r w:rsidR="008F359B">
        <w:t xml:space="preserve"> in 2013; </w:t>
      </w:r>
      <w:r w:rsidR="008F359B" w:rsidRPr="008F359B">
        <w:rPr>
          <w:b/>
        </w:rPr>
        <w:t>rose by 8.2%</w:t>
      </w:r>
      <w:r w:rsidR="008F359B">
        <w:t xml:space="preserve"> in 2014</w:t>
      </w:r>
    </w:p>
    <w:p w:rsidR="008F359B" w:rsidRDefault="008F359B" w:rsidP="00A37A03">
      <w:pPr>
        <w:pStyle w:val="ListParagraph"/>
        <w:numPr>
          <w:ilvl w:val="0"/>
          <w:numId w:val="8"/>
        </w:numPr>
      </w:pPr>
      <w:r>
        <w:t xml:space="preserve">Three bedroom rate in central London: </w:t>
      </w:r>
      <w:r w:rsidRPr="008F359B">
        <w:rPr>
          <w:b/>
        </w:rPr>
        <w:t>fell by 1.5%</w:t>
      </w:r>
      <w:r>
        <w:t xml:space="preserve"> in 2013; </w:t>
      </w:r>
      <w:r w:rsidRPr="008F359B">
        <w:rPr>
          <w:b/>
        </w:rPr>
        <w:t>rose by 8.6%</w:t>
      </w:r>
      <w:r>
        <w:t xml:space="preserve"> in 2014</w:t>
      </w:r>
    </w:p>
    <w:p w:rsidR="008F359B" w:rsidRDefault="008F359B" w:rsidP="00A37A03">
      <w:pPr>
        <w:pStyle w:val="ListParagraph"/>
        <w:numPr>
          <w:ilvl w:val="0"/>
          <w:numId w:val="8"/>
        </w:numPr>
      </w:pPr>
      <w:r>
        <w:t xml:space="preserve">Four bedroom rate in outer west London: </w:t>
      </w:r>
      <w:r w:rsidRPr="008F359B">
        <w:rPr>
          <w:b/>
        </w:rPr>
        <w:t>fell by 1.9%</w:t>
      </w:r>
      <w:r>
        <w:t xml:space="preserve"> in 2013; </w:t>
      </w:r>
      <w:r w:rsidRPr="008F359B">
        <w:rPr>
          <w:b/>
        </w:rPr>
        <w:t>rose by 10.5%</w:t>
      </w:r>
      <w:r>
        <w:t xml:space="preserve"> in 2014</w:t>
      </w:r>
    </w:p>
    <w:p w:rsidR="008F359B" w:rsidRDefault="008F359B" w:rsidP="00E73589"/>
    <w:p w:rsidR="008F359B" w:rsidRDefault="008F359B" w:rsidP="00E73589">
      <w:r>
        <w:t xml:space="preserve">The Government has now announced </w:t>
      </w:r>
      <w:r w:rsidR="00C12A65">
        <w:t>which LHA rates will benefit from the second year of the TAF. Across the country, 191 rates will increase by more than 1%. In London, 40 or the 70 LHA rates will increase by 4% (one more – the four bedroom rate in outer south-west London – will increase by 2.2% as a result of hitting the overall cap level).</w:t>
      </w:r>
    </w:p>
    <w:p w:rsidR="00C12A65" w:rsidRDefault="00C12A65" w:rsidP="00E73589"/>
    <w:p w:rsidR="00AD560A" w:rsidRDefault="0035571B" w:rsidP="0035571B">
      <w:r>
        <w:t>It is estimated that London will receive almost 60% of the TAF in 2015-16.</w:t>
      </w:r>
    </w:p>
    <w:p w:rsidR="00AD560A" w:rsidRDefault="00AD560A" w:rsidP="00E73589"/>
    <w:p w:rsidR="0035571B" w:rsidRDefault="0035571B" w:rsidP="0035571B">
      <w:r>
        <w:t xml:space="preserve">A full breakdown of the new LHA rates and the reference rents is available at </w:t>
      </w:r>
      <w:r w:rsidRPr="00A37A03">
        <w:rPr>
          <w:b/>
        </w:rPr>
        <w:t>Appendix 1</w:t>
      </w:r>
    </w:p>
    <w:p w:rsidR="0035571B" w:rsidRDefault="0035571B" w:rsidP="00E73589"/>
    <w:p w:rsidR="00C12A65" w:rsidRDefault="00C12A65" w:rsidP="00E73589">
      <w:r>
        <w:t>The above-infla</w:t>
      </w:r>
      <w:r w:rsidR="0035571B">
        <w:t>tion increases permitted for tho</w:t>
      </w:r>
      <w:r>
        <w:t xml:space="preserve">se </w:t>
      </w:r>
      <w:r w:rsidR="0035571B">
        <w:t xml:space="preserve">LHA </w:t>
      </w:r>
      <w:r>
        <w:t xml:space="preserve">rates </w:t>
      </w:r>
      <w:r w:rsidR="0035571B">
        <w:t xml:space="preserve">to benefit from the TAF </w:t>
      </w:r>
      <w:r>
        <w:t>means that they will be less out of step with rents than they otherwise would be.</w:t>
      </w:r>
    </w:p>
    <w:p w:rsidR="008F359B" w:rsidRDefault="008F359B" w:rsidP="00E73589"/>
    <w:p w:rsidR="00F41B3D" w:rsidRDefault="0035571B" w:rsidP="00F41B3D">
      <w:r>
        <w:t>However</w:t>
      </w:r>
      <w:r w:rsidR="00AD560A">
        <w:t>, there are still large disparities between many LHA rates and 30</w:t>
      </w:r>
      <w:r w:rsidR="00AD560A" w:rsidRPr="00AD560A">
        <w:rPr>
          <w:vertAlign w:val="superscript"/>
        </w:rPr>
        <w:t>th</w:t>
      </w:r>
      <w:r w:rsidR="00AD560A">
        <w:t xml:space="preserve"> percentile rent levels. Of the 41 LHA rates to receive an increase of more than 1%, less than a third (13) made up any ground on rent levels. In total, only 25 of London’s 70 LHA rates made up any ground on rent levels.</w:t>
      </w:r>
    </w:p>
    <w:p w:rsidR="00AD560A" w:rsidRDefault="00AD560A" w:rsidP="00F41B3D"/>
    <w:p w:rsidR="00A37A03" w:rsidRDefault="00A37A03" w:rsidP="00F41B3D"/>
    <w:p w:rsidR="0035571B" w:rsidRDefault="0035571B" w:rsidP="00F41B3D"/>
    <w:p w:rsidR="00A37A03" w:rsidRDefault="00A37A03" w:rsidP="00F41B3D"/>
    <w:p w:rsidR="00AD560A" w:rsidRDefault="00AD560A" w:rsidP="00F41B3D">
      <w:r>
        <w:lastRenderedPageBreak/>
        <w:t>The biggest percentage shortfalls between the 30</w:t>
      </w:r>
      <w:r w:rsidRPr="00AD560A">
        <w:rPr>
          <w:vertAlign w:val="superscript"/>
        </w:rPr>
        <w:t>th</w:t>
      </w:r>
      <w:r>
        <w:t xml:space="preserve"> percentile rent levels and actual LHA rates by property type are:</w:t>
      </w:r>
    </w:p>
    <w:p w:rsidR="00AD560A" w:rsidRDefault="00AD560A" w:rsidP="00A37A03">
      <w:pPr>
        <w:pStyle w:val="ListParagraph"/>
        <w:numPr>
          <w:ilvl w:val="0"/>
          <w:numId w:val="9"/>
        </w:numPr>
      </w:pPr>
      <w:r>
        <w:t>Shared rate in outer south-west London (26.2% shortfall)</w:t>
      </w:r>
    </w:p>
    <w:p w:rsidR="00AD560A" w:rsidRDefault="00AD560A" w:rsidP="00A37A03">
      <w:pPr>
        <w:pStyle w:val="ListParagraph"/>
        <w:numPr>
          <w:ilvl w:val="0"/>
          <w:numId w:val="9"/>
        </w:numPr>
      </w:pPr>
      <w:r>
        <w:t>One bedroom rate in central London (29.6% shortfall)</w:t>
      </w:r>
    </w:p>
    <w:p w:rsidR="00AD560A" w:rsidRDefault="00AD560A" w:rsidP="00A37A03">
      <w:pPr>
        <w:pStyle w:val="ListParagraph"/>
        <w:numPr>
          <w:ilvl w:val="0"/>
          <w:numId w:val="9"/>
        </w:numPr>
      </w:pPr>
      <w:r>
        <w:t>Two bedroom rate in central London (39.5% shortfall)</w:t>
      </w:r>
    </w:p>
    <w:p w:rsidR="00AD560A" w:rsidRDefault="00AD560A" w:rsidP="00A37A03">
      <w:pPr>
        <w:pStyle w:val="ListParagraph"/>
        <w:numPr>
          <w:ilvl w:val="0"/>
          <w:numId w:val="9"/>
        </w:numPr>
      </w:pPr>
      <w:r>
        <w:t>Three bedroom rate in central London (49.0% shortfall)</w:t>
      </w:r>
    </w:p>
    <w:p w:rsidR="00AD560A" w:rsidRDefault="00AD560A" w:rsidP="00A37A03">
      <w:pPr>
        <w:pStyle w:val="ListParagraph"/>
        <w:numPr>
          <w:ilvl w:val="0"/>
          <w:numId w:val="9"/>
        </w:numPr>
      </w:pPr>
      <w:r>
        <w:t>Four bedroom rate in central London (53.4% shortfall)</w:t>
      </w:r>
    </w:p>
    <w:p w:rsidR="00F41B3D" w:rsidRDefault="00F41B3D" w:rsidP="00F41B3D"/>
    <w:p w:rsidR="00AF6BE3" w:rsidRDefault="00AF6BE3" w:rsidP="00F41B3D"/>
    <w:p w:rsidR="00AF6BE3" w:rsidRPr="00AF6BE3" w:rsidRDefault="00AF6BE3" w:rsidP="00AF6BE3">
      <w:pPr>
        <w:rPr>
          <w:u w:val="single"/>
        </w:rPr>
      </w:pPr>
      <w:r w:rsidRPr="00AF6BE3">
        <w:rPr>
          <w:u w:val="single"/>
        </w:rPr>
        <w:t>Latest caseload data</w:t>
      </w:r>
    </w:p>
    <w:p w:rsidR="00AF6BE3" w:rsidRDefault="00AF6BE3" w:rsidP="00AF6BE3"/>
    <w:p w:rsidR="00D803BF" w:rsidRDefault="00D803BF" w:rsidP="00AF6BE3">
      <w:r>
        <w:t>The Government spent a little over £24bn on housing benefit in 2013-14</w:t>
      </w:r>
      <w:r w:rsidR="008D54D7">
        <w:t>. T</w:t>
      </w:r>
      <w:r>
        <w:t xml:space="preserve">he amount spent on </w:t>
      </w:r>
      <w:r w:rsidR="008D54D7">
        <w:t>tenants in the private rented sector (PRS) accounted for the largest share at £9.3bn, compared to those in housing associations (£8.9bn) and local authority tenants (£5.9bn). Of the amount spent on housing benefit for PRS tenants, LHA expenditure accounted for almost 83%, at £7.7bn.</w:t>
      </w:r>
    </w:p>
    <w:p w:rsidR="00D803BF" w:rsidRDefault="008D54D7" w:rsidP="00AF6BE3">
      <w:r>
        <w:t xml:space="preserve"> </w:t>
      </w:r>
    </w:p>
    <w:p w:rsidR="00A37A03" w:rsidRDefault="00A37A03" w:rsidP="00A37A03">
      <w:r>
        <w:t>While the mean weekly HB claim for a local authority tenant in London is £113.57 and for a housing association tenant £126.22, the figure for the LHA caseload is £183.51.</w:t>
      </w:r>
    </w:p>
    <w:p w:rsidR="00A37A03" w:rsidRDefault="00A37A03" w:rsidP="00AF6BE3"/>
    <w:p w:rsidR="00AF6BE3" w:rsidRDefault="008D54D7" w:rsidP="00AF6BE3">
      <w:r>
        <w:t>Over the past year, the number of housing benefit recipients in London fell slightly, by 2% from 844,000 to 828,000. Within this, the total LHA caseload also fell from 236,000 to 233,000 but actually increased as a share of the total housing benefit caseload – 27.9% of the total to 28.2%.</w:t>
      </w:r>
    </w:p>
    <w:p w:rsidR="00CC0CD9" w:rsidRDefault="00CC0CD9" w:rsidP="00AF6BE3"/>
    <w:p w:rsidR="00AF6BE3" w:rsidRDefault="00335177" w:rsidP="00AF6BE3">
      <w:r>
        <w:t>While the total LHA caseload for London has begun to fall slightly, this masks a picture of a shift in the caseload from out-of-work claimants to in-work claimants, and from inner London to outer London. Th</w:t>
      </w:r>
      <w:r w:rsidR="00A37A03">
        <w:t>e chart</w:t>
      </w:r>
      <w:r>
        <w:t xml:space="preserve"> below give</w:t>
      </w:r>
      <w:r w:rsidR="00A37A03">
        <w:t>s</w:t>
      </w:r>
      <w:r>
        <w:t xml:space="preserve"> a broad indication of this picture:</w:t>
      </w:r>
    </w:p>
    <w:p w:rsidR="00A37A03" w:rsidRDefault="00A37A03" w:rsidP="00AF6BE3"/>
    <w:p w:rsidR="00335177" w:rsidRDefault="00C31698" w:rsidP="00AF6BE3">
      <w:r>
        <w:rPr>
          <w:noProof/>
        </w:rPr>
        <w:drawing>
          <wp:inline distT="0" distB="0" distL="0" distR="0" wp14:anchorId="0B34723D" wp14:editId="760F4D19">
            <wp:extent cx="5372100" cy="33909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02B36" w:rsidRDefault="00102B36" w:rsidP="00AF6BE3"/>
    <w:p w:rsidR="00102B36" w:rsidRDefault="00102B36" w:rsidP="00AF6BE3"/>
    <w:p w:rsidR="00335177" w:rsidRDefault="00102B36" w:rsidP="00AF6BE3">
      <w:r>
        <w:t>The table overleaf shows how the in-work and out-of-work LHA caseloads have changed for each borough since the coalition’s April 2011 reforms.</w:t>
      </w:r>
    </w:p>
    <w:p w:rsidR="00102B36" w:rsidRDefault="00102B36" w:rsidP="00AF6BE3"/>
    <w:p w:rsidR="00102B36" w:rsidRDefault="00102B36" w:rsidP="00AF6BE3">
      <w:r>
        <w:t xml:space="preserve">While the in-work LHA caseload continues to grow in almost all boroughs – all but the City of London have seen an increase over the past year and all but six have seen an increase over the past quarter – this is generally being </w:t>
      </w:r>
      <w:r w:rsidR="00954C83">
        <w:t xml:space="preserve">marginally </w:t>
      </w:r>
      <w:r>
        <w:t>outweighed by greater falls in the out-of-work LHA caseload.</w:t>
      </w:r>
    </w:p>
    <w:p w:rsidR="00102B36" w:rsidRDefault="00102B36" w:rsidP="00AF6BE3"/>
    <w:p w:rsidR="00102B36" w:rsidRDefault="00102B36" w:rsidP="00AF6BE3">
      <w:r>
        <w:t xml:space="preserve">As a result, the share of London LHA recipient households where a member is in work now stands at </w:t>
      </w:r>
      <w:r w:rsidRPr="00954C83">
        <w:rPr>
          <w:b/>
        </w:rPr>
        <w:t>56%</w:t>
      </w:r>
      <w:r>
        <w:t>.</w:t>
      </w:r>
      <w:bookmarkStart w:id="0" w:name="_GoBack"/>
      <w:bookmarkEnd w:id="0"/>
    </w:p>
    <w:p w:rsidR="00102B36" w:rsidRDefault="00102B36" w:rsidP="00AF6BE3"/>
    <w:p w:rsidR="00954C83" w:rsidRDefault="00954C83" w:rsidP="00AF6BE3">
      <w:r>
        <w:t xml:space="preserve">London is </w:t>
      </w:r>
      <w:r w:rsidRPr="00954C83">
        <w:rPr>
          <w:u w:val="single"/>
        </w:rPr>
        <w:t>still</w:t>
      </w:r>
      <w:r>
        <w:t xml:space="preserve"> the only region where there are more working households in receipt of LHA than recipient households where no-one works.</w:t>
      </w:r>
      <w:r>
        <w:tab/>
      </w:r>
    </w:p>
    <w:p w:rsidR="00954C83" w:rsidRDefault="00954C83" w:rsidP="00AF6BE3"/>
    <w:p w:rsidR="000632AE" w:rsidRDefault="00954C83" w:rsidP="00AF6BE3">
      <w:r>
        <w:t xml:space="preserve">Total LHA caseloads for inner London have now almost returned to the levels they were in April 2011 when the reforms were introduced. However the composition of this caseload has significantly altered, with a third fewer out-of-work households and a third more in-work households. </w:t>
      </w:r>
    </w:p>
    <w:p w:rsidR="00954C83" w:rsidRDefault="00954C83" w:rsidP="00AF6BE3"/>
    <w:p w:rsidR="00954C83" w:rsidRDefault="00954C83" w:rsidP="00AF6BE3">
      <w:r>
        <w:t>In outer London, the total LHA caseload remains 20% higher than it was in April 2011. Again, the in-work caseload is more than 40% higher than it was. It remains to be seen whether the slight fall in the total LHA caseload in outer London seen over the past quarter marks a genuine turning point or if it will begin to rise again.</w:t>
      </w:r>
    </w:p>
    <w:p w:rsidR="00954C83" w:rsidRDefault="00954C83" w:rsidP="00AF6BE3"/>
    <w:p w:rsidR="00954C83" w:rsidRDefault="00A37A03" w:rsidP="00AF6BE3">
      <w:r>
        <w:t>The maps on the following pages give a finer-grained picture of how total, in-work and out-of-work LHA caseloads have changed over the past year</w:t>
      </w:r>
      <w:r w:rsidR="007A13A8">
        <w:t xml:space="preserve"> by giving figures at the medium super output area level.</w:t>
      </w:r>
    </w:p>
    <w:p w:rsidR="00E75CBB" w:rsidRDefault="00E75CBB" w:rsidP="00AF6BE3">
      <w:pPr>
        <w:sectPr w:rsidR="00E75CBB">
          <w:pgSz w:w="12240" w:h="15840"/>
          <w:pgMar w:top="1440" w:right="1800" w:bottom="1440" w:left="1800" w:header="720" w:footer="720" w:gutter="0"/>
          <w:cols w:space="720"/>
          <w:docGrid w:linePitch="360"/>
        </w:sectPr>
      </w:pPr>
      <w:r>
        <w:br w:type="page"/>
      </w:r>
    </w:p>
    <w:tbl>
      <w:tblPr>
        <w:tblW w:w="21720" w:type="dxa"/>
        <w:tblInd w:w="93" w:type="dxa"/>
        <w:tblLook w:val="04A0" w:firstRow="1" w:lastRow="0" w:firstColumn="1" w:lastColumn="0" w:noHBand="0" w:noVBand="1"/>
      </w:tblPr>
      <w:tblGrid>
        <w:gridCol w:w="1660"/>
        <w:gridCol w:w="1660"/>
        <w:gridCol w:w="1660"/>
        <w:gridCol w:w="1660"/>
        <w:gridCol w:w="222"/>
        <w:gridCol w:w="1660"/>
        <w:gridCol w:w="1660"/>
        <w:gridCol w:w="1660"/>
        <w:gridCol w:w="1660"/>
        <w:gridCol w:w="1660"/>
        <w:gridCol w:w="1660"/>
        <w:gridCol w:w="1660"/>
        <w:gridCol w:w="1660"/>
        <w:gridCol w:w="1660"/>
      </w:tblGrid>
      <w:tr w:rsidR="00E75CBB" w:rsidRPr="00E75CBB" w:rsidTr="00E75CBB">
        <w:trPr>
          <w:trHeight w:val="525"/>
        </w:trPr>
        <w:tc>
          <w:tcPr>
            <w:tcW w:w="1660" w:type="dxa"/>
            <w:tcBorders>
              <w:top w:val="nil"/>
              <w:left w:val="nil"/>
              <w:bottom w:val="nil"/>
              <w:right w:val="nil"/>
            </w:tcBorders>
            <w:shd w:val="clear" w:color="auto" w:fill="auto"/>
            <w:vAlign w:val="center"/>
            <w:hideMark/>
          </w:tcPr>
          <w:p w:rsidR="00E75CBB" w:rsidRPr="00E75CBB" w:rsidRDefault="00E75CBB" w:rsidP="00E75CBB">
            <w:pPr>
              <w:rPr>
                <w:rFonts w:ascii="Arial" w:hAnsi="Arial" w:cs="Arial"/>
                <w:b/>
                <w:bCs/>
                <w:sz w:val="20"/>
                <w:szCs w:val="20"/>
              </w:rPr>
            </w:pPr>
            <w:r w:rsidRPr="00E75CBB">
              <w:rPr>
                <w:rFonts w:ascii="Arial" w:hAnsi="Arial" w:cs="Arial"/>
                <w:b/>
                <w:bCs/>
                <w:sz w:val="20"/>
                <w:szCs w:val="20"/>
              </w:rPr>
              <w:lastRenderedPageBreak/>
              <w:t>Month</w:t>
            </w:r>
          </w:p>
        </w:tc>
        <w:tc>
          <w:tcPr>
            <w:tcW w:w="4980" w:type="dxa"/>
            <w:gridSpan w:val="3"/>
            <w:tcBorders>
              <w:top w:val="nil"/>
              <w:left w:val="single" w:sz="4" w:space="0" w:color="auto"/>
              <w:bottom w:val="nil"/>
              <w:right w:val="nil"/>
            </w:tcBorders>
            <w:shd w:val="clear" w:color="auto" w:fill="auto"/>
            <w:vAlign w:val="center"/>
            <w:hideMark/>
          </w:tcPr>
          <w:p w:rsidR="00E75CBB" w:rsidRPr="00E75CBB" w:rsidRDefault="00E75CBB" w:rsidP="00E75CBB">
            <w:pPr>
              <w:jc w:val="center"/>
              <w:rPr>
                <w:rFonts w:ascii="Arial" w:hAnsi="Arial" w:cs="Arial"/>
                <w:sz w:val="20"/>
                <w:szCs w:val="20"/>
              </w:rPr>
            </w:pPr>
            <w:r w:rsidRPr="00E75CBB">
              <w:rPr>
                <w:rFonts w:ascii="Arial" w:hAnsi="Arial" w:cs="Arial"/>
                <w:sz w:val="20"/>
                <w:szCs w:val="20"/>
              </w:rPr>
              <w:t>Nov-14</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r>
      <w:tr w:rsidR="00E75CBB" w:rsidRPr="00E75CBB" w:rsidTr="00E75CBB">
        <w:trPr>
          <w:trHeight w:val="525"/>
        </w:trPr>
        <w:tc>
          <w:tcPr>
            <w:tcW w:w="1660" w:type="dxa"/>
            <w:tcBorders>
              <w:top w:val="nil"/>
              <w:left w:val="nil"/>
              <w:bottom w:val="nil"/>
              <w:right w:val="nil"/>
            </w:tcBorders>
            <w:shd w:val="clear" w:color="auto" w:fill="auto"/>
            <w:vAlign w:val="center"/>
            <w:hideMark/>
          </w:tcPr>
          <w:p w:rsidR="00E75CBB" w:rsidRPr="00E75CBB" w:rsidRDefault="00E75CBB" w:rsidP="00E75CBB">
            <w:pPr>
              <w:rPr>
                <w:rFonts w:ascii="Arial" w:hAnsi="Arial" w:cs="Arial"/>
                <w:b/>
                <w:bCs/>
                <w:sz w:val="20"/>
                <w:szCs w:val="20"/>
              </w:rPr>
            </w:pPr>
            <w:r w:rsidRPr="00E75CBB">
              <w:rPr>
                <w:rFonts w:ascii="Arial" w:hAnsi="Arial" w:cs="Arial"/>
                <w:b/>
                <w:bCs/>
                <w:sz w:val="20"/>
                <w:szCs w:val="20"/>
              </w:rPr>
              <w:t>Detailed Housing Type</w:t>
            </w:r>
          </w:p>
        </w:tc>
        <w:tc>
          <w:tcPr>
            <w:tcW w:w="4980" w:type="dxa"/>
            <w:gridSpan w:val="3"/>
            <w:tcBorders>
              <w:top w:val="nil"/>
              <w:left w:val="single" w:sz="4" w:space="0" w:color="auto"/>
              <w:bottom w:val="nil"/>
              <w:right w:val="nil"/>
            </w:tcBorders>
            <w:shd w:val="clear" w:color="auto" w:fill="auto"/>
            <w:vAlign w:val="center"/>
            <w:hideMark/>
          </w:tcPr>
          <w:p w:rsidR="00E75CBB" w:rsidRPr="00E75CBB" w:rsidRDefault="00E75CBB" w:rsidP="00E75CBB">
            <w:pPr>
              <w:jc w:val="center"/>
              <w:rPr>
                <w:rFonts w:ascii="Arial" w:hAnsi="Arial" w:cs="Arial"/>
                <w:sz w:val="20"/>
                <w:szCs w:val="20"/>
              </w:rPr>
            </w:pPr>
            <w:r w:rsidRPr="00E75CBB">
              <w:rPr>
                <w:rFonts w:ascii="Arial" w:hAnsi="Arial" w:cs="Arial"/>
                <w:sz w:val="20"/>
                <w:szCs w:val="20"/>
              </w:rPr>
              <w:t>Private deregulated tenant (LHA) (PRS)</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4980" w:type="dxa"/>
            <w:gridSpan w:val="3"/>
            <w:tcBorders>
              <w:top w:val="nil"/>
              <w:left w:val="single" w:sz="4" w:space="0" w:color="auto"/>
              <w:bottom w:val="nil"/>
              <w:right w:val="single" w:sz="4" w:space="0" w:color="000000"/>
            </w:tcBorders>
            <w:shd w:val="clear" w:color="auto" w:fill="auto"/>
            <w:noWrap/>
            <w:vAlign w:val="center"/>
            <w:hideMark/>
          </w:tcPr>
          <w:p w:rsidR="00E75CBB" w:rsidRPr="00E75CBB" w:rsidRDefault="00E75CBB" w:rsidP="00E75CBB">
            <w:pPr>
              <w:jc w:val="center"/>
              <w:rPr>
                <w:rFonts w:ascii="Arial" w:hAnsi="Arial" w:cs="Arial"/>
                <w:sz w:val="20"/>
                <w:szCs w:val="20"/>
              </w:rPr>
            </w:pPr>
            <w:r w:rsidRPr="00E75CBB">
              <w:rPr>
                <w:rFonts w:ascii="Arial" w:hAnsi="Arial" w:cs="Arial"/>
                <w:sz w:val="20"/>
                <w:szCs w:val="20"/>
              </w:rPr>
              <w:t>Change over the past three months</w:t>
            </w:r>
          </w:p>
        </w:tc>
        <w:tc>
          <w:tcPr>
            <w:tcW w:w="4980" w:type="dxa"/>
            <w:gridSpan w:val="3"/>
            <w:tcBorders>
              <w:top w:val="nil"/>
              <w:left w:val="nil"/>
              <w:bottom w:val="nil"/>
              <w:right w:val="single" w:sz="4" w:space="0" w:color="000000"/>
            </w:tcBorders>
            <w:shd w:val="clear" w:color="auto" w:fill="auto"/>
            <w:noWrap/>
            <w:vAlign w:val="center"/>
            <w:hideMark/>
          </w:tcPr>
          <w:p w:rsidR="00E75CBB" w:rsidRPr="00E75CBB" w:rsidRDefault="00E75CBB" w:rsidP="00E75CBB">
            <w:pPr>
              <w:jc w:val="center"/>
              <w:rPr>
                <w:rFonts w:ascii="Arial" w:hAnsi="Arial" w:cs="Arial"/>
                <w:sz w:val="20"/>
                <w:szCs w:val="20"/>
              </w:rPr>
            </w:pPr>
            <w:r w:rsidRPr="00E75CBB">
              <w:rPr>
                <w:rFonts w:ascii="Arial" w:hAnsi="Arial" w:cs="Arial"/>
                <w:sz w:val="20"/>
                <w:szCs w:val="20"/>
              </w:rPr>
              <w:t>Change over the past year</w:t>
            </w:r>
          </w:p>
        </w:tc>
        <w:tc>
          <w:tcPr>
            <w:tcW w:w="4980" w:type="dxa"/>
            <w:gridSpan w:val="3"/>
            <w:tcBorders>
              <w:top w:val="nil"/>
              <w:left w:val="nil"/>
              <w:bottom w:val="nil"/>
              <w:right w:val="single" w:sz="4" w:space="0" w:color="000000"/>
            </w:tcBorders>
            <w:shd w:val="clear" w:color="auto" w:fill="auto"/>
            <w:noWrap/>
            <w:vAlign w:val="center"/>
            <w:hideMark/>
          </w:tcPr>
          <w:p w:rsidR="00E75CBB" w:rsidRPr="00E75CBB" w:rsidRDefault="00E75CBB" w:rsidP="00E75CBB">
            <w:pPr>
              <w:jc w:val="center"/>
              <w:rPr>
                <w:rFonts w:ascii="Arial" w:hAnsi="Arial" w:cs="Arial"/>
                <w:sz w:val="20"/>
                <w:szCs w:val="20"/>
              </w:rPr>
            </w:pPr>
            <w:r w:rsidRPr="00E75CBB">
              <w:rPr>
                <w:rFonts w:ascii="Arial" w:hAnsi="Arial" w:cs="Arial"/>
                <w:sz w:val="20"/>
                <w:szCs w:val="20"/>
              </w:rPr>
              <w:t>Change since April 2011</w:t>
            </w:r>
          </w:p>
        </w:tc>
      </w:tr>
      <w:tr w:rsidR="00E75CBB" w:rsidRPr="00E75CBB" w:rsidTr="00E75CBB">
        <w:trPr>
          <w:trHeight w:val="525"/>
        </w:trPr>
        <w:tc>
          <w:tcPr>
            <w:tcW w:w="1660" w:type="dxa"/>
            <w:tcBorders>
              <w:top w:val="nil"/>
              <w:left w:val="nil"/>
              <w:bottom w:val="nil"/>
              <w:right w:val="nil"/>
            </w:tcBorders>
            <w:shd w:val="clear" w:color="auto" w:fill="auto"/>
            <w:vAlign w:val="center"/>
            <w:hideMark/>
          </w:tcPr>
          <w:p w:rsidR="00E75CBB" w:rsidRPr="00E75CBB" w:rsidRDefault="00E75CBB" w:rsidP="00E75CBB">
            <w:pPr>
              <w:rPr>
                <w:rFonts w:ascii="Arial" w:hAnsi="Arial" w:cs="Arial"/>
                <w:b/>
                <w:bCs/>
                <w:sz w:val="20"/>
                <w:szCs w:val="20"/>
              </w:rPr>
            </w:pPr>
          </w:p>
        </w:tc>
        <w:tc>
          <w:tcPr>
            <w:tcW w:w="1660" w:type="dxa"/>
            <w:tcBorders>
              <w:top w:val="nil"/>
              <w:left w:val="single" w:sz="4" w:space="0" w:color="auto"/>
              <w:bottom w:val="nil"/>
              <w:right w:val="single" w:sz="4" w:space="0" w:color="auto"/>
            </w:tcBorders>
            <w:shd w:val="clear" w:color="auto" w:fill="auto"/>
            <w:vAlign w:val="center"/>
            <w:hideMark/>
          </w:tcPr>
          <w:p w:rsidR="00E75CBB" w:rsidRPr="00E75CBB" w:rsidRDefault="00E75CBB" w:rsidP="00E75CBB">
            <w:pPr>
              <w:jc w:val="center"/>
              <w:rPr>
                <w:rFonts w:ascii="Arial" w:hAnsi="Arial" w:cs="Arial"/>
                <w:sz w:val="20"/>
                <w:szCs w:val="20"/>
              </w:rPr>
            </w:pPr>
            <w:r w:rsidRPr="00E75CBB">
              <w:rPr>
                <w:rFonts w:ascii="Arial" w:hAnsi="Arial" w:cs="Arial"/>
                <w:sz w:val="20"/>
                <w:szCs w:val="20"/>
              </w:rPr>
              <w:t>Total</w:t>
            </w:r>
          </w:p>
        </w:tc>
        <w:tc>
          <w:tcPr>
            <w:tcW w:w="1660" w:type="dxa"/>
            <w:tcBorders>
              <w:top w:val="nil"/>
              <w:left w:val="nil"/>
              <w:bottom w:val="nil"/>
              <w:right w:val="single" w:sz="4" w:space="0" w:color="auto"/>
            </w:tcBorders>
            <w:shd w:val="clear" w:color="auto" w:fill="auto"/>
            <w:vAlign w:val="center"/>
            <w:hideMark/>
          </w:tcPr>
          <w:p w:rsidR="00E75CBB" w:rsidRPr="00E75CBB" w:rsidRDefault="00E75CBB" w:rsidP="00E75CBB">
            <w:pPr>
              <w:jc w:val="center"/>
              <w:rPr>
                <w:rFonts w:ascii="Arial" w:hAnsi="Arial" w:cs="Arial"/>
                <w:i/>
                <w:iCs/>
                <w:sz w:val="20"/>
                <w:szCs w:val="20"/>
              </w:rPr>
            </w:pPr>
            <w:r w:rsidRPr="00E75CBB">
              <w:rPr>
                <w:rFonts w:ascii="Arial" w:hAnsi="Arial" w:cs="Arial"/>
                <w:i/>
                <w:iCs/>
                <w:sz w:val="20"/>
                <w:szCs w:val="20"/>
              </w:rPr>
              <w:t>In work</w:t>
            </w:r>
          </w:p>
        </w:tc>
        <w:tc>
          <w:tcPr>
            <w:tcW w:w="1660" w:type="dxa"/>
            <w:tcBorders>
              <w:top w:val="nil"/>
              <w:left w:val="nil"/>
              <w:bottom w:val="nil"/>
              <w:right w:val="nil"/>
            </w:tcBorders>
            <w:shd w:val="clear" w:color="auto" w:fill="auto"/>
            <w:vAlign w:val="center"/>
            <w:hideMark/>
          </w:tcPr>
          <w:p w:rsidR="00E75CBB" w:rsidRPr="00E75CBB" w:rsidRDefault="00E75CBB" w:rsidP="00E75CBB">
            <w:pPr>
              <w:jc w:val="center"/>
              <w:rPr>
                <w:rFonts w:ascii="Arial" w:hAnsi="Arial" w:cs="Arial"/>
                <w:i/>
                <w:iCs/>
                <w:sz w:val="20"/>
                <w:szCs w:val="20"/>
              </w:rPr>
            </w:pPr>
            <w:r w:rsidRPr="00E75CBB">
              <w:rPr>
                <w:rFonts w:ascii="Arial" w:hAnsi="Arial" w:cs="Arial"/>
                <w:i/>
                <w:iCs/>
                <w:sz w:val="20"/>
                <w:szCs w:val="20"/>
              </w:rPr>
              <w:t>Out of work</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single" w:sz="4" w:space="0" w:color="auto"/>
            </w:tcBorders>
            <w:shd w:val="clear" w:color="auto" w:fill="auto"/>
            <w:vAlign w:val="center"/>
            <w:hideMark/>
          </w:tcPr>
          <w:p w:rsidR="00E75CBB" w:rsidRPr="00E75CBB" w:rsidRDefault="00E75CBB" w:rsidP="00E75CBB">
            <w:pPr>
              <w:jc w:val="center"/>
              <w:rPr>
                <w:rFonts w:ascii="Arial" w:hAnsi="Arial" w:cs="Arial"/>
                <w:sz w:val="20"/>
                <w:szCs w:val="20"/>
              </w:rPr>
            </w:pPr>
            <w:r w:rsidRPr="00E75CBB">
              <w:rPr>
                <w:rFonts w:ascii="Arial" w:hAnsi="Arial" w:cs="Arial"/>
                <w:sz w:val="20"/>
                <w:szCs w:val="20"/>
              </w:rPr>
              <w:t>Total</w:t>
            </w:r>
          </w:p>
        </w:tc>
        <w:tc>
          <w:tcPr>
            <w:tcW w:w="1660" w:type="dxa"/>
            <w:tcBorders>
              <w:top w:val="nil"/>
              <w:left w:val="nil"/>
              <w:bottom w:val="nil"/>
              <w:right w:val="single" w:sz="4" w:space="0" w:color="auto"/>
            </w:tcBorders>
            <w:shd w:val="clear" w:color="auto" w:fill="auto"/>
            <w:vAlign w:val="center"/>
            <w:hideMark/>
          </w:tcPr>
          <w:p w:rsidR="00E75CBB" w:rsidRPr="00E75CBB" w:rsidRDefault="00E75CBB" w:rsidP="00E75CBB">
            <w:pPr>
              <w:jc w:val="center"/>
              <w:rPr>
                <w:rFonts w:ascii="Arial" w:hAnsi="Arial" w:cs="Arial"/>
                <w:i/>
                <w:iCs/>
                <w:sz w:val="20"/>
                <w:szCs w:val="20"/>
              </w:rPr>
            </w:pPr>
            <w:r w:rsidRPr="00E75CBB">
              <w:rPr>
                <w:rFonts w:ascii="Arial" w:hAnsi="Arial" w:cs="Arial"/>
                <w:i/>
                <w:iCs/>
                <w:sz w:val="20"/>
                <w:szCs w:val="20"/>
              </w:rPr>
              <w:t>In work</w:t>
            </w:r>
          </w:p>
        </w:tc>
        <w:tc>
          <w:tcPr>
            <w:tcW w:w="1660" w:type="dxa"/>
            <w:tcBorders>
              <w:top w:val="nil"/>
              <w:left w:val="nil"/>
              <w:bottom w:val="nil"/>
              <w:right w:val="single" w:sz="4" w:space="0" w:color="auto"/>
            </w:tcBorders>
            <w:shd w:val="clear" w:color="auto" w:fill="auto"/>
            <w:vAlign w:val="center"/>
            <w:hideMark/>
          </w:tcPr>
          <w:p w:rsidR="00E75CBB" w:rsidRPr="00E75CBB" w:rsidRDefault="00E75CBB" w:rsidP="00E75CBB">
            <w:pPr>
              <w:jc w:val="center"/>
              <w:rPr>
                <w:rFonts w:ascii="Arial" w:hAnsi="Arial" w:cs="Arial"/>
                <w:i/>
                <w:iCs/>
                <w:sz w:val="20"/>
                <w:szCs w:val="20"/>
              </w:rPr>
            </w:pPr>
            <w:r w:rsidRPr="00E75CBB">
              <w:rPr>
                <w:rFonts w:ascii="Arial" w:hAnsi="Arial" w:cs="Arial"/>
                <w:i/>
                <w:iCs/>
                <w:sz w:val="20"/>
                <w:szCs w:val="20"/>
              </w:rPr>
              <w:t>Out of work</w:t>
            </w:r>
          </w:p>
        </w:tc>
        <w:tc>
          <w:tcPr>
            <w:tcW w:w="1660" w:type="dxa"/>
            <w:tcBorders>
              <w:top w:val="nil"/>
              <w:left w:val="nil"/>
              <w:bottom w:val="nil"/>
              <w:right w:val="single" w:sz="4" w:space="0" w:color="auto"/>
            </w:tcBorders>
            <w:shd w:val="clear" w:color="auto" w:fill="auto"/>
            <w:vAlign w:val="center"/>
            <w:hideMark/>
          </w:tcPr>
          <w:p w:rsidR="00E75CBB" w:rsidRPr="00E75CBB" w:rsidRDefault="00E75CBB" w:rsidP="00E75CBB">
            <w:pPr>
              <w:jc w:val="center"/>
              <w:rPr>
                <w:rFonts w:ascii="Arial" w:hAnsi="Arial" w:cs="Arial"/>
                <w:sz w:val="20"/>
                <w:szCs w:val="20"/>
              </w:rPr>
            </w:pPr>
            <w:r w:rsidRPr="00E75CBB">
              <w:rPr>
                <w:rFonts w:ascii="Arial" w:hAnsi="Arial" w:cs="Arial"/>
                <w:sz w:val="20"/>
                <w:szCs w:val="20"/>
              </w:rPr>
              <w:t>Total</w:t>
            </w:r>
          </w:p>
        </w:tc>
        <w:tc>
          <w:tcPr>
            <w:tcW w:w="1660" w:type="dxa"/>
            <w:tcBorders>
              <w:top w:val="nil"/>
              <w:left w:val="nil"/>
              <w:bottom w:val="nil"/>
              <w:right w:val="single" w:sz="4" w:space="0" w:color="auto"/>
            </w:tcBorders>
            <w:shd w:val="clear" w:color="auto" w:fill="auto"/>
            <w:vAlign w:val="center"/>
            <w:hideMark/>
          </w:tcPr>
          <w:p w:rsidR="00E75CBB" w:rsidRPr="00E75CBB" w:rsidRDefault="00E75CBB" w:rsidP="00E75CBB">
            <w:pPr>
              <w:jc w:val="center"/>
              <w:rPr>
                <w:rFonts w:ascii="Arial" w:hAnsi="Arial" w:cs="Arial"/>
                <w:i/>
                <w:iCs/>
                <w:sz w:val="20"/>
                <w:szCs w:val="20"/>
              </w:rPr>
            </w:pPr>
            <w:r w:rsidRPr="00E75CBB">
              <w:rPr>
                <w:rFonts w:ascii="Arial" w:hAnsi="Arial" w:cs="Arial"/>
                <w:i/>
                <w:iCs/>
                <w:sz w:val="20"/>
                <w:szCs w:val="20"/>
              </w:rPr>
              <w:t>In work</w:t>
            </w:r>
          </w:p>
        </w:tc>
        <w:tc>
          <w:tcPr>
            <w:tcW w:w="1660" w:type="dxa"/>
            <w:tcBorders>
              <w:top w:val="nil"/>
              <w:left w:val="nil"/>
              <w:bottom w:val="nil"/>
              <w:right w:val="single" w:sz="4" w:space="0" w:color="auto"/>
            </w:tcBorders>
            <w:shd w:val="clear" w:color="auto" w:fill="auto"/>
            <w:vAlign w:val="center"/>
            <w:hideMark/>
          </w:tcPr>
          <w:p w:rsidR="00E75CBB" w:rsidRPr="00E75CBB" w:rsidRDefault="00E75CBB" w:rsidP="00E75CBB">
            <w:pPr>
              <w:jc w:val="center"/>
              <w:rPr>
                <w:rFonts w:ascii="Arial" w:hAnsi="Arial" w:cs="Arial"/>
                <w:i/>
                <w:iCs/>
                <w:sz w:val="20"/>
                <w:szCs w:val="20"/>
              </w:rPr>
            </w:pPr>
            <w:r w:rsidRPr="00E75CBB">
              <w:rPr>
                <w:rFonts w:ascii="Arial" w:hAnsi="Arial" w:cs="Arial"/>
                <w:i/>
                <w:iCs/>
                <w:sz w:val="20"/>
                <w:szCs w:val="20"/>
              </w:rPr>
              <w:t>Out of work</w:t>
            </w:r>
          </w:p>
        </w:tc>
        <w:tc>
          <w:tcPr>
            <w:tcW w:w="1660" w:type="dxa"/>
            <w:tcBorders>
              <w:top w:val="nil"/>
              <w:left w:val="nil"/>
              <w:bottom w:val="nil"/>
              <w:right w:val="single" w:sz="4" w:space="0" w:color="auto"/>
            </w:tcBorders>
            <w:shd w:val="clear" w:color="auto" w:fill="auto"/>
            <w:vAlign w:val="center"/>
            <w:hideMark/>
          </w:tcPr>
          <w:p w:rsidR="00E75CBB" w:rsidRPr="00E75CBB" w:rsidRDefault="00E75CBB" w:rsidP="00E75CBB">
            <w:pPr>
              <w:jc w:val="center"/>
              <w:rPr>
                <w:rFonts w:ascii="Arial" w:hAnsi="Arial" w:cs="Arial"/>
                <w:sz w:val="20"/>
                <w:szCs w:val="20"/>
              </w:rPr>
            </w:pPr>
            <w:r w:rsidRPr="00E75CBB">
              <w:rPr>
                <w:rFonts w:ascii="Arial" w:hAnsi="Arial" w:cs="Arial"/>
                <w:sz w:val="20"/>
                <w:szCs w:val="20"/>
              </w:rPr>
              <w:t>Total</w:t>
            </w:r>
          </w:p>
        </w:tc>
        <w:tc>
          <w:tcPr>
            <w:tcW w:w="1660" w:type="dxa"/>
            <w:tcBorders>
              <w:top w:val="nil"/>
              <w:left w:val="nil"/>
              <w:bottom w:val="nil"/>
              <w:right w:val="single" w:sz="4" w:space="0" w:color="auto"/>
            </w:tcBorders>
            <w:shd w:val="clear" w:color="auto" w:fill="auto"/>
            <w:vAlign w:val="center"/>
            <w:hideMark/>
          </w:tcPr>
          <w:p w:rsidR="00E75CBB" w:rsidRPr="00E75CBB" w:rsidRDefault="00E75CBB" w:rsidP="00E75CBB">
            <w:pPr>
              <w:jc w:val="center"/>
              <w:rPr>
                <w:rFonts w:ascii="Arial" w:hAnsi="Arial" w:cs="Arial"/>
                <w:i/>
                <w:iCs/>
                <w:sz w:val="20"/>
                <w:szCs w:val="20"/>
              </w:rPr>
            </w:pPr>
            <w:r w:rsidRPr="00E75CBB">
              <w:rPr>
                <w:rFonts w:ascii="Arial" w:hAnsi="Arial" w:cs="Arial"/>
                <w:i/>
                <w:iCs/>
                <w:sz w:val="20"/>
                <w:szCs w:val="20"/>
              </w:rPr>
              <w:t>In work</w:t>
            </w:r>
          </w:p>
        </w:tc>
        <w:tc>
          <w:tcPr>
            <w:tcW w:w="1660" w:type="dxa"/>
            <w:tcBorders>
              <w:top w:val="nil"/>
              <w:left w:val="nil"/>
              <w:bottom w:val="nil"/>
              <w:right w:val="single" w:sz="4" w:space="0" w:color="auto"/>
            </w:tcBorders>
            <w:shd w:val="clear" w:color="auto" w:fill="auto"/>
            <w:vAlign w:val="center"/>
            <w:hideMark/>
          </w:tcPr>
          <w:p w:rsidR="00E75CBB" w:rsidRPr="00E75CBB" w:rsidRDefault="00E75CBB" w:rsidP="00E75CBB">
            <w:pPr>
              <w:jc w:val="center"/>
              <w:rPr>
                <w:rFonts w:ascii="Arial" w:hAnsi="Arial" w:cs="Arial"/>
                <w:i/>
                <w:iCs/>
                <w:sz w:val="20"/>
                <w:szCs w:val="20"/>
              </w:rPr>
            </w:pPr>
            <w:r w:rsidRPr="00E75CBB">
              <w:rPr>
                <w:rFonts w:ascii="Arial" w:hAnsi="Arial" w:cs="Arial"/>
                <w:i/>
                <w:iCs/>
                <w:sz w:val="20"/>
                <w:szCs w:val="20"/>
              </w:rPr>
              <w:t>Out of work</w:t>
            </w:r>
          </w:p>
        </w:tc>
      </w:tr>
      <w:tr w:rsidR="00E75CBB" w:rsidRPr="00E75CBB" w:rsidTr="00E75CBB">
        <w:trPr>
          <w:trHeight w:val="255"/>
        </w:trPr>
        <w:tc>
          <w:tcPr>
            <w:tcW w:w="1660" w:type="dxa"/>
            <w:tcBorders>
              <w:top w:val="single" w:sz="4" w:space="0" w:color="auto"/>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Camden</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3211</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1406</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1805</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-1.80%</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2.03%</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-4.60%</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-3.67%</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7.04%</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-12.02%</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-5.85%</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18.35%</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-24.71%</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City of London</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18</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12</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6</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-30.77%</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-7.69%</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-53.85%</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-77.78%</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-33.33%</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-166.67%</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-111.11%</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8.33%</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-350.00%</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Hackney</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8544</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4983</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3561</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-2.23%</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0.50%</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-5.82%</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-3.86%</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5.30%</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-16.68%</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3.34%</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23.98%</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-25.55%</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Hammersmith and Fulham</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2970</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1387</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1583</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0.07%</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2.21%</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-1.74%</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-2.69%</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5.26%</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-9.67%</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-2.66%</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23.94%</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-25.96%</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Haringey</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11962</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6658</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5304</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-1.84%</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0.83%</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-5.00%</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-2.42%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6.70%</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-13.88%</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11.40%</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34.15%</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-17.16%</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Islington</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2775</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1204</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1571</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-3.24%</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0.25%</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-5.76%</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-9.26%</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3.90%</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-19.35%</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-15.68%</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21.51%</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-44.18%</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Kensington and Chelsea</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1938</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843</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1095</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-0.62%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3.82%</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-3.78%</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-3.15%</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13.05%</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-15.62%</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-42.93%</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0.00%</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-75.98%</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Lambeth</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6469</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3447</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3022</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-2.96%</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-0.09%</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-6.03%</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-10.11%</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2.15%</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-24.09%</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-0.54%</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26.78%</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-31.70%</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Lewisham</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9572</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4950</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4622</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-2.93%</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0.55%</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-6.40%</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-10.76%</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1.98%</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-24.41%</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-9.59%</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24.77%</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-46.39%</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Newham</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12499</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7661</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4838</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-0.26%</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2.30%</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-4.07%</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4.15%</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12.82%</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-9.57%</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35.24%</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52.93%</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7.23%</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Southwark</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3787</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2030</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1757</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-3.47%</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0.59%</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-7.77%</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-10.17%</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0.05%</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-21.97%</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-3.59%</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34.78%</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-47.92%</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Tower Hamlets</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4460</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2657</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1803</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-0.95%</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2.43%</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-5.55%</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-1.46%</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13.47%</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-23.46%</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-3.21%</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36.13%</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-61.18%</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proofErr w:type="spellStart"/>
            <w:r w:rsidRPr="00E75CBB">
              <w:rPr>
                <w:rFonts w:ascii="Arial" w:hAnsi="Arial" w:cs="Arial"/>
                <w:sz w:val="20"/>
                <w:szCs w:val="20"/>
              </w:rPr>
              <w:t>Wandsworth</w:t>
            </w:r>
            <w:proofErr w:type="spellEnd"/>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6924</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3944</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2980</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-1.17%</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0.87%</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-3.75%</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-5.04%</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2.66%</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-15.23%</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-6.21%</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19.02%</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-39.60%</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Westminster</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4001</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1740</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2261</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-3.75%</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-2.36%</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-4.80%</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-9.50%</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0.92%</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-17.51%</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-62.21%</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-26.84%</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-89.43%</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Barking and Dagenham</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6920</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3972</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2948</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0.67%</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4.12%</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-3.63%</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3.48%</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16.52%</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-14.08%</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27.02%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55.54%</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-11.40%</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Barnet</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14206</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8132</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6074</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0.08%</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2.62%</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-3.13%</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4.97%</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11.55%</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-3.84%</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30.47%</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48.12%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6.83%</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Bexley</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4561</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2087</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2474</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-1.47%</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2.50%</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-4.59%</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-2.06%</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9.63%</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-11.92%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19.49%</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46.48%</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-3.27%</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Brent</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15528</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9283</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6245</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-0.03%</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1.68%</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-2.47%</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2.12%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7.89%</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-6.45%</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18.10%</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34.71%</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-6.58%</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Bromley</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4554</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2224</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2330</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-1.56%</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1.55%</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-4.35%</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-4.44%</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4.41%</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-12.88%</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10.96%</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39.52%</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-16.31%</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Croydon</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14204</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7594</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6610</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-1.52%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2.41%</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-5.68%</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-1.86%</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9.84%</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-15.30%</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17.02%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44.89%</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-14.99%</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Ealing</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12861</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7702</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5159</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-0.83%</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1.61%</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-4.27%</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1.84%</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10.05%</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-10.43%</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22.15%</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40.47%</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-5.19%</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Enfield</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16682</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9315</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7367</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-0.96%</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1.98%</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-4.45%</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1.20%</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12.52%</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-13.11%</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25.49%</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52.99%</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-9.27%</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Greenwich</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5312</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2330</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2982</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-1.14%</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-0.13%</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-1.91%</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-4.31%</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3.30%</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-10.26%</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19.43%</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40.43%</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3.02%</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Harrow</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8607</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5506</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3101</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-0.80%</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0.82%</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-3.55%</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0.91%</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7.43%</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-10.67%</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23.72%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43.28%</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-11.00%</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Havering</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4534</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2057</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2477</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-0.48%</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3.94%</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-3.88%</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-0.18%</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12.06%</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-10.34%</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23.11%</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50.66%</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0.24%</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Hillingdon</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7755</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4366</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3389</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0.70%</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3.71%</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-2.92%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2.23%</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12.67%</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-11.21%</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23.89%</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46.84%</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-5.67%</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Hounslow</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6826</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4034</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2792</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-0.71%</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0.50%</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-2.41%</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2.02%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8.06%</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-6.70%</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21.13%</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40.48%</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-6.84%</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Kingston upon Thames</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3381</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1914</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1467</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-0.06%</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0.84%</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-1.21%</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2.69%</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5.07%</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-0.41%</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18.63%</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32.97%</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-0.07%</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Merton</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4718</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2798</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1920</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-2.30%</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0.21%</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-5.74%</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-1.31%</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4.97%</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-10.47%</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17.15%</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33.27%</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-6.35%</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Redbridge</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8776</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5428</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3348</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-1.36%</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0.56%</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-4.32%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3.02%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12.56%</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-12.46%</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21.87%</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48.31%</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-21.00%</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Richmond upon Thames</w:t>
            </w:r>
          </w:p>
        </w:tc>
        <w:tc>
          <w:tcPr>
            <w:tcW w:w="1660" w:type="dxa"/>
            <w:tcBorders>
              <w:top w:val="nil"/>
              <w:left w:val="single" w:sz="4" w:space="0" w:color="auto"/>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2329</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1247</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1082</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-1.44%</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-0.56%</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-2.43%</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2.75%</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6.01%</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-1.02%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13.40%</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31.52%</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-7.49%</w:t>
            </w:r>
          </w:p>
        </w:tc>
      </w:tr>
      <w:tr w:rsidR="00E75CBB" w:rsidRPr="00E75CBB" w:rsidTr="00E75CBB">
        <w:trPr>
          <w:trHeight w:val="255"/>
        </w:trPr>
        <w:tc>
          <w:tcPr>
            <w:tcW w:w="1660" w:type="dxa"/>
            <w:tcBorders>
              <w:top w:val="nil"/>
              <w:left w:val="nil"/>
              <w:bottom w:val="single" w:sz="4" w:space="0" w:color="auto"/>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Sutton</w:t>
            </w:r>
          </w:p>
        </w:tc>
        <w:tc>
          <w:tcPr>
            <w:tcW w:w="1660" w:type="dxa"/>
            <w:tcBorders>
              <w:top w:val="nil"/>
              <w:bottom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4438</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2569</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1869</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0.63%</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3.09%</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-2.55%</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-1.42%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9.26%</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-16.10%</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22.42%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44.34%</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-7.70%</w:t>
            </w:r>
          </w:p>
        </w:tc>
      </w:tr>
      <w:tr w:rsidR="00E75CBB" w:rsidRPr="00E75CBB" w:rsidTr="00E75CBB">
        <w:trPr>
          <w:trHeight w:val="255"/>
        </w:trPr>
        <w:tc>
          <w:tcPr>
            <w:tcW w:w="1660" w:type="dxa"/>
            <w:tcBorders>
              <w:top w:val="nil"/>
              <w:left w:val="nil"/>
              <w:bottom w:val="single" w:sz="4" w:space="0" w:color="auto"/>
              <w:right w:val="nil"/>
            </w:tcBorders>
            <w:shd w:val="clear" w:color="auto" w:fill="auto"/>
            <w:vAlign w:val="center"/>
            <w:hideMark/>
          </w:tcPr>
          <w:p w:rsidR="00E75CBB" w:rsidRPr="00E75CBB" w:rsidRDefault="00E75CBB" w:rsidP="00E75CBB">
            <w:pPr>
              <w:rPr>
                <w:rFonts w:ascii="Arial" w:hAnsi="Arial" w:cs="Arial"/>
                <w:sz w:val="20"/>
                <w:szCs w:val="20"/>
              </w:rPr>
            </w:pPr>
            <w:r w:rsidRPr="00E75CBB">
              <w:rPr>
                <w:rFonts w:ascii="Arial" w:hAnsi="Arial" w:cs="Arial"/>
                <w:sz w:val="20"/>
                <w:szCs w:val="20"/>
              </w:rPr>
              <w:t>Waltham Forest</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7860</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4826</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3034</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-4.03%</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-0.56%</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-9.08%</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-8.64%</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2.76%</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-26.76%</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-4.62%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20.49%</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-44.56%</w:t>
            </w:r>
          </w:p>
        </w:tc>
      </w:tr>
      <w:tr w:rsidR="00E75CBB" w:rsidRPr="00E75CBB" w:rsidTr="00E75CBB">
        <w:trPr>
          <w:trHeight w:val="255"/>
        </w:trPr>
        <w:tc>
          <w:tcPr>
            <w:tcW w:w="166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r w:rsidRPr="00E75CBB">
              <w:rPr>
                <w:rFonts w:ascii="Arial" w:hAnsi="Arial" w:cs="Arial"/>
                <w:sz w:val="20"/>
                <w:szCs w:val="20"/>
              </w:rPr>
              <w:t> </w:t>
            </w:r>
          </w:p>
        </w:tc>
        <w:tc>
          <w:tcPr>
            <w:tcW w:w="166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i/>
                <w:iCs/>
                <w:sz w:val="20"/>
                <w:szCs w:val="20"/>
              </w:rPr>
            </w:pPr>
          </w:p>
        </w:tc>
        <w:tc>
          <w:tcPr>
            <w:tcW w:w="166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i/>
                <w:iCs/>
                <w:sz w:val="20"/>
                <w:szCs w:val="20"/>
              </w:rPr>
            </w:pP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r w:rsidRPr="00E75CBB">
              <w:rPr>
                <w:rFonts w:ascii="Arial" w:hAnsi="Arial" w:cs="Arial"/>
                <w:sz w:val="20"/>
                <w:szCs w:val="20"/>
              </w:rPr>
              <w:t> </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r w:rsidRPr="00E75CBB">
              <w:rPr>
                <w:rFonts w:ascii="Arial" w:hAnsi="Arial" w:cs="Arial"/>
                <w:sz w:val="20"/>
                <w:szCs w:val="20"/>
              </w:rPr>
              <w:t> </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r w:rsidRPr="00E75CBB">
              <w:rPr>
                <w:rFonts w:ascii="Arial" w:hAnsi="Arial" w:cs="Arial"/>
                <w:sz w:val="20"/>
                <w:szCs w:val="20"/>
              </w:rPr>
              <w:t> </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r w:rsidRPr="00E75CBB">
              <w:rPr>
                <w:rFonts w:ascii="Arial" w:hAnsi="Arial" w:cs="Arial"/>
                <w:sz w:val="20"/>
                <w:szCs w:val="20"/>
              </w:rPr>
              <w:t> </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r w:rsidRPr="00E75CBB">
              <w:rPr>
                <w:rFonts w:ascii="Arial" w:hAnsi="Arial" w:cs="Arial"/>
                <w:sz w:val="20"/>
                <w:szCs w:val="20"/>
              </w:rPr>
              <w:t> </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r w:rsidRPr="00E75CBB">
              <w:rPr>
                <w:rFonts w:ascii="Arial" w:hAnsi="Arial" w:cs="Arial"/>
                <w:sz w:val="20"/>
                <w:szCs w:val="20"/>
              </w:rPr>
              <w:t> </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r w:rsidRPr="00E75CBB">
              <w:rPr>
                <w:rFonts w:ascii="Arial" w:hAnsi="Arial" w:cs="Arial"/>
                <w:sz w:val="20"/>
                <w:szCs w:val="20"/>
              </w:rPr>
              <w:t> </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r w:rsidRPr="00E75CBB">
              <w:rPr>
                <w:rFonts w:ascii="Arial" w:hAnsi="Arial" w:cs="Arial"/>
                <w:sz w:val="20"/>
                <w:szCs w:val="20"/>
              </w:rPr>
              <w:t> </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r w:rsidRPr="00E75CBB">
              <w:rPr>
                <w:rFonts w:ascii="Arial" w:hAnsi="Arial" w:cs="Arial"/>
                <w:sz w:val="20"/>
                <w:szCs w:val="20"/>
              </w:rPr>
              <w:t> </w:t>
            </w:r>
          </w:p>
        </w:tc>
      </w:tr>
      <w:tr w:rsidR="00E75CBB" w:rsidRPr="00E75CBB" w:rsidTr="00E75CBB">
        <w:trPr>
          <w:trHeight w:val="255"/>
        </w:trPr>
        <w:tc>
          <w:tcPr>
            <w:tcW w:w="166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r w:rsidRPr="00E75CBB">
              <w:rPr>
                <w:rFonts w:ascii="Arial" w:hAnsi="Arial" w:cs="Arial"/>
                <w:sz w:val="20"/>
                <w:szCs w:val="20"/>
              </w:rPr>
              <w:t>Inner London</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79130</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42922</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36208</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-1.89%</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1.02%</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-5.13%</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-4.42%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6.22%</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-17.02%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0.44%</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29.06%</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-33.48%</w:t>
            </w:r>
          </w:p>
        </w:tc>
      </w:tr>
      <w:tr w:rsidR="00E75CBB" w:rsidRPr="00E75CBB" w:rsidTr="00E75CBB">
        <w:trPr>
          <w:trHeight w:val="255"/>
        </w:trPr>
        <w:tc>
          <w:tcPr>
            <w:tcW w:w="166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r w:rsidRPr="00E75CBB">
              <w:rPr>
                <w:rFonts w:ascii="Arial" w:hAnsi="Arial" w:cs="Arial"/>
                <w:sz w:val="20"/>
                <w:szCs w:val="20"/>
              </w:rPr>
              <w:t>Outer London</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154052</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87384</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66668</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-0.83%</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1.72%</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-3.99%</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0.60%</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9.49%</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-11.05%</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20.54%</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42.80%</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-8.65%</w:t>
            </w:r>
          </w:p>
        </w:tc>
      </w:tr>
      <w:tr w:rsidR="00E75CBB" w:rsidRPr="00E75CBB" w:rsidTr="00E75CBB">
        <w:trPr>
          <w:trHeight w:val="255"/>
        </w:trPr>
        <w:tc>
          <w:tcPr>
            <w:tcW w:w="166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r w:rsidRPr="00E75CBB">
              <w:rPr>
                <w:rFonts w:ascii="Arial" w:hAnsi="Arial" w:cs="Arial"/>
                <w:sz w:val="20"/>
                <w:szCs w:val="20"/>
              </w:rPr>
              <w:t>London</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sz w:val="20"/>
                <w:szCs w:val="20"/>
              </w:rPr>
            </w:pPr>
            <w:r w:rsidRPr="00E75CBB">
              <w:rPr>
                <w:rFonts w:ascii="Arial" w:hAnsi="Arial" w:cs="Arial"/>
                <w:sz w:val="20"/>
                <w:szCs w:val="20"/>
              </w:rPr>
              <w:t>233182</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130306</w:t>
            </w:r>
          </w:p>
        </w:tc>
        <w:tc>
          <w:tcPr>
            <w:tcW w:w="1660" w:type="dxa"/>
            <w:tcBorders>
              <w:top w:val="nil"/>
              <w:left w:val="single" w:sz="4" w:space="0" w:color="auto"/>
              <w:bottom w:val="nil"/>
              <w:right w:val="nil"/>
            </w:tcBorders>
            <w:shd w:val="clear" w:color="auto" w:fill="auto"/>
            <w:noWrap/>
            <w:vAlign w:val="bottom"/>
            <w:hideMark/>
          </w:tcPr>
          <w:p w:rsidR="00E75CBB" w:rsidRPr="00E75CBB" w:rsidRDefault="00E75CBB" w:rsidP="00E75CBB">
            <w:pPr>
              <w:jc w:val="right"/>
              <w:rPr>
                <w:rFonts w:ascii="Arial" w:hAnsi="Arial" w:cs="Arial"/>
                <w:i/>
                <w:iCs/>
                <w:sz w:val="20"/>
                <w:szCs w:val="20"/>
              </w:rPr>
            </w:pPr>
            <w:r w:rsidRPr="00E75CBB">
              <w:rPr>
                <w:rFonts w:ascii="Arial" w:hAnsi="Arial" w:cs="Arial"/>
                <w:i/>
                <w:iCs/>
                <w:sz w:val="20"/>
                <w:szCs w:val="20"/>
              </w:rPr>
              <w:t>102876</w:t>
            </w:r>
          </w:p>
        </w:tc>
        <w:tc>
          <w:tcPr>
            <w:tcW w:w="140" w:type="dxa"/>
            <w:tcBorders>
              <w:top w:val="nil"/>
              <w:left w:val="nil"/>
              <w:bottom w:val="nil"/>
              <w:right w:val="nil"/>
            </w:tcBorders>
            <w:shd w:val="clear" w:color="auto" w:fill="auto"/>
            <w:noWrap/>
            <w:vAlign w:val="bottom"/>
            <w:hideMark/>
          </w:tcPr>
          <w:p w:rsidR="00E75CBB" w:rsidRPr="00E75CBB" w:rsidRDefault="00E75CBB" w:rsidP="00E75CBB">
            <w:pPr>
              <w:rPr>
                <w:rFonts w:ascii="Arial" w:hAnsi="Arial" w:cs="Arial"/>
                <w:sz w:val="20"/>
                <w:szCs w:val="20"/>
              </w:rPr>
            </w:pP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-1.19%</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1.49%</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-4.39%</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-1.10%</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8.41%</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-13.15%</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13.72%</w:t>
            </w:r>
          </w:p>
        </w:tc>
        <w:tc>
          <w:tcPr>
            <w:tcW w:w="1660" w:type="dxa"/>
            <w:tcBorders>
              <w:top w:val="nil"/>
              <w:left w:val="single" w:sz="4" w:space="0" w:color="auto"/>
              <w:bottom w:val="nil"/>
              <w:right w:val="nil"/>
            </w:tcBorders>
            <w:shd w:val="clear" w:color="000000" w:fill="FFC7CE"/>
            <w:noWrap/>
            <w:vAlign w:val="bottom"/>
            <w:hideMark/>
          </w:tcPr>
          <w:p w:rsidR="00E75CBB" w:rsidRPr="00E75CBB" w:rsidRDefault="00E75CBB" w:rsidP="00E75CBB">
            <w:pPr>
              <w:jc w:val="right"/>
              <w:rPr>
                <w:rFonts w:ascii="Arial" w:hAnsi="Arial" w:cs="Arial"/>
                <w:color w:val="9C0006"/>
                <w:sz w:val="20"/>
                <w:szCs w:val="20"/>
              </w:rPr>
            </w:pPr>
            <w:r w:rsidRPr="00E75CBB">
              <w:rPr>
                <w:rFonts w:ascii="Arial" w:hAnsi="Arial" w:cs="Arial"/>
                <w:color w:val="9C0006"/>
                <w:sz w:val="20"/>
                <w:szCs w:val="20"/>
              </w:rPr>
              <w:t>38.27%</w:t>
            </w:r>
          </w:p>
        </w:tc>
        <w:tc>
          <w:tcPr>
            <w:tcW w:w="1660" w:type="dxa"/>
            <w:tcBorders>
              <w:top w:val="nil"/>
              <w:left w:val="single" w:sz="4" w:space="0" w:color="auto"/>
              <w:bottom w:val="nil"/>
              <w:right w:val="nil"/>
            </w:tcBorders>
            <w:shd w:val="clear" w:color="000000" w:fill="C6EFCE"/>
            <w:noWrap/>
            <w:vAlign w:val="bottom"/>
            <w:hideMark/>
          </w:tcPr>
          <w:p w:rsidR="00E75CBB" w:rsidRPr="00E75CBB" w:rsidRDefault="00E75CBB" w:rsidP="00E75CBB">
            <w:pPr>
              <w:jc w:val="right"/>
              <w:rPr>
                <w:rFonts w:ascii="Arial" w:hAnsi="Arial" w:cs="Arial"/>
                <w:color w:val="006100"/>
                <w:sz w:val="20"/>
                <w:szCs w:val="20"/>
              </w:rPr>
            </w:pPr>
            <w:r w:rsidRPr="00E75CBB">
              <w:rPr>
                <w:rFonts w:ascii="Arial" w:hAnsi="Arial" w:cs="Arial"/>
                <w:color w:val="006100"/>
                <w:sz w:val="20"/>
                <w:szCs w:val="20"/>
              </w:rPr>
              <w:t>-17.39%</w:t>
            </w:r>
          </w:p>
        </w:tc>
      </w:tr>
    </w:tbl>
    <w:p w:rsidR="00E75CBB" w:rsidRDefault="00E75CBB" w:rsidP="00AF6BE3">
      <w:pPr>
        <w:sectPr w:rsidR="00E75CBB" w:rsidSect="00E75CBB">
          <w:pgSz w:w="23814" w:h="16839" w:orient="landscape" w:code="8"/>
          <w:pgMar w:top="1800" w:right="1440" w:bottom="1800" w:left="1440" w:header="720" w:footer="720" w:gutter="0"/>
          <w:cols w:space="720"/>
          <w:docGrid w:linePitch="360"/>
        </w:sectPr>
      </w:pPr>
    </w:p>
    <w:p w:rsidR="00AF6BE3" w:rsidRDefault="00E75CBB" w:rsidP="00AF6BE3">
      <w:r>
        <w:rPr>
          <w:noProof/>
        </w:rPr>
        <w:lastRenderedPageBreak/>
        <w:drawing>
          <wp:inline distT="0" distB="0" distL="0" distR="0">
            <wp:extent cx="9626400" cy="6015600"/>
            <wp:effectExtent l="0" t="4445"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map.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9626400" cy="6015600"/>
                    </a:xfrm>
                    <a:prstGeom prst="rect">
                      <a:avLst/>
                    </a:prstGeom>
                  </pic:spPr>
                </pic:pic>
              </a:graphicData>
            </a:graphic>
          </wp:inline>
        </w:drawing>
      </w:r>
    </w:p>
    <w:p w:rsidR="00F31B2E" w:rsidRDefault="00F31B2E" w:rsidP="00AF6BE3">
      <w:r>
        <w:rPr>
          <w:noProof/>
        </w:rPr>
        <w:lastRenderedPageBreak/>
        <w:drawing>
          <wp:inline distT="0" distB="0" distL="0" distR="0">
            <wp:extent cx="9626400" cy="6015600"/>
            <wp:effectExtent l="0" t="4445"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work map.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9626400" cy="6015600"/>
                    </a:xfrm>
                    <a:prstGeom prst="rect">
                      <a:avLst/>
                    </a:prstGeom>
                  </pic:spPr>
                </pic:pic>
              </a:graphicData>
            </a:graphic>
          </wp:inline>
        </w:drawing>
      </w:r>
    </w:p>
    <w:p w:rsidR="00FB44B6" w:rsidRDefault="00FB44B6" w:rsidP="00AF6BE3">
      <w:r>
        <w:rPr>
          <w:noProof/>
        </w:rPr>
        <w:lastRenderedPageBreak/>
        <w:drawing>
          <wp:inline distT="0" distB="0" distL="0" distR="0">
            <wp:extent cx="9795600" cy="5400000"/>
            <wp:effectExtent l="7302" t="0" r="3493" b="349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of-work map.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9795600" cy="5400000"/>
                    </a:xfrm>
                    <a:prstGeom prst="rect">
                      <a:avLst/>
                    </a:prstGeom>
                  </pic:spPr>
                </pic:pic>
              </a:graphicData>
            </a:graphic>
          </wp:inline>
        </w:drawing>
      </w:r>
    </w:p>
    <w:p w:rsidR="00FB44B6" w:rsidRPr="007A13A8" w:rsidRDefault="007A13A8" w:rsidP="00AF6BE3">
      <w:pPr>
        <w:rPr>
          <w:u w:val="single"/>
        </w:rPr>
      </w:pPr>
      <w:r w:rsidRPr="007A13A8">
        <w:rPr>
          <w:u w:val="single"/>
        </w:rPr>
        <w:lastRenderedPageBreak/>
        <w:t>Appendix 1</w:t>
      </w:r>
      <w:r w:rsidR="00AD6185">
        <w:rPr>
          <w:u w:val="single"/>
        </w:rPr>
        <w:t xml:space="preserve"> – Divergence between 30</w:t>
      </w:r>
      <w:r w:rsidR="00AD6185" w:rsidRPr="00AD6185">
        <w:rPr>
          <w:u w:val="single"/>
          <w:vertAlign w:val="superscript"/>
        </w:rPr>
        <w:t>th</w:t>
      </w:r>
      <w:r w:rsidR="00AD6185">
        <w:rPr>
          <w:u w:val="single"/>
        </w:rPr>
        <w:t xml:space="preserve"> percentile rent levels and 2015-16 LHA rates</w:t>
      </w:r>
    </w:p>
    <w:p w:rsidR="007A13A8" w:rsidRDefault="007A13A8" w:rsidP="00AF6BE3"/>
    <w:tbl>
      <w:tblPr>
        <w:tblStyle w:val="TableGrid"/>
        <w:tblW w:w="0" w:type="auto"/>
        <w:tblLook w:val="04A0" w:firstRow="1" w:lastRow="0" w:firstColumn="1" w:lastColumn="0" w:noHBand="0" w:noVBand="1"/>
      </w:tblPr>
      <w:tblGrid>
        <w:gridCol w:w="1912"/>
        <w:gridCol w:w="972"/>
        <w:gridCol w:w="972"/>
        <w:gridCol w:w="962"/>
        <w:gridCol w:w="855"/>
        <w:gridCol w:w="1070"/>
        <w:gridCol w:w="1070"/>
        <w:gridCol w:w="1006"/>
      </w:tblGrid>
      <w:tr w:rsidR="00AD6185" w:rsidRPr="00AD6185" w:rsidTr="00AD6185">
        <w:trPr>
          <w:trHeight w:val="1500"/>
        </w:trPr>
        <w:tc>
          <w:tcPr>
            <w:tcW w:w="1912" w:type="dxa"/>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BRMA - Shared rate</w:t>
            </w:r>
          </w:p>
        </w:tc>
        <w:tc>
          <w:tcPr>
            <w:tcW w:w="876" w:type="dxa"/>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Old 30th percentile (14/15)</w:t>
            </w:r>
          </w:p>
        </w:tc>
        <w:tc>
          <w:tcPr>
            <w:tcW w:w="876" w:type="dxa"/>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New 30th percentile (15/16)</w:t>
            </w:r>
          </w:p>
        </w:tc>
        <w:tc>
          <w:tcPr>
            <w:tcW w:w="962" w:type="dxa"/>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New LHA rate (15/16)</w:t>
            </w:r>
          </w:p>
        </w:tc>
        <w:tc>
          <w:tcPr>
            <w:tcW w:w="855" w:type="dxa"/>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LHA % change</w:t>
            </w:r>
          </w:p>
        </w:tc>
        <w:tc>
          <w:tcPr>
            <w:tcW w:w="1070" w:type="dxa"/>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Shortfall between LHA rate and 30th percentile (£, 15/16)</w:t>
            </w:r>
          </w:p>
        </w:tc>
        <w:tc>
          <w:tcPr>
            <w:tcW w:w="1070" w:type="dxa"/>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Shortfall between LHA rate and 30th percentile (%, 15/16)</w:t>
            </w:r>
          </w:p>
        </w:tc>
        <w:tc>
          <w:tcPr>
            <w:tcW w:w="1006" w:type="dxa"/>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Change in 30th percentile rent (%)</w:t>
            </w:r>
          </w:p>
        </w:tc>
      </w:tr>
      <w:tr w:rsidR="00AD6185" w:rsidRPr="00AD6185" w:rsidTr="00AD6185">
        <w:trPr>
          <w:trHeight w:val="285"/>
        </w:trPr>
        <w:tc>
          <w:tcPr>
            <w:tcW w:w="191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Central London</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£140.00</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£178.01</w:t>
            </w:r>
          </w:p>
        </w:tc>
        <w:tc>
          <w:tcPr>
            <w:tcW w:w="96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£136.52</w:t>
            </w:r>
          </w:p>
        </w:tc>
        <w:tc>
          <w:tcPr>
            <w:tcW w:w="855" w:type="dxa"/>
            <w:noWrap/>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4.00%</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£41.49</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23.31%</w:t>
            </w:r>
          </w:p>
        </w:tc>
        <w:tc>
          <w:tcPr>
            <w:tcW w:w="100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27.15%</w:t>
            </w:r>
          </w:p>
        </w:tc>
      </w:tr>
      <w:tr w:rsidR="00AD6185" w:rsidRPr="00AD6185" w:rsidTr="00AD6185">
        <w:trPr>
          <w:trHeight w:val="285"/>
        </w:trPr>
        <w:tc>
          <w:tcPr>
            <w:tcW w:w="191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Inner East London</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£108.50</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£118.50</w:t>
            </w:r>
          </w:p>
        </w:tc>
        <w:tc>
          <w:tcPr>
            <w:tcW w:w="96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£102.09</w:t>
            </w:r>
          </w:p>
        </w:tc>
        <w:tc>
          <w:tcPr>
            <w:tcW w:w="855" w:type="dxa"/>
            <w:noWrap/>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4.00%</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£16.41</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13.85%</w:t>
            </w:r>
          </w:p>
        </w:tc>
        <w:tc>
          <w:tcPr>
            <w:tcW w:w="100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9.22%</w:t>
            </w:r>
          </w:p>
        </w:tc>
      </w:tr>
      <w:tr w:rsidR="00AD6185" w:rsidRPr="00AD6185" w:rsidTr="00AD6185">
        <w:trPr>
          <w:trHeight w:val="285"/>
        </w:trPr>
        <w:tc>
          <w:tcPr>
            <w:tcW w:w="191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Inner North London</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£118.50</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£130.00</w:t>
            </w:r>
          </w:p>
        </w:tc>
        <w:tc>
          <w:tcPr>
            <w:tcW w:w="96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£97.83</w:t>
            </w:r>
          </w:p>
        </w:tc>
        <w:tc>
          <w:tcPr>
            <w:tcW w:w="855" w:type="dxa"/>
            <w:noWrap/>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4.00%</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£32.17</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24.75%</w:t>
            </w:r>
          </w:p>
        </w:tc>
        <w:tc>
          <w:tcPr>
            <w:tcW w:w="100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9.70%</w:t>
            </w:r>
          </w:p>
        </w:tc>
      </w:tr>
      <w:tr w:rsidR="00AD6185" w:rsidRPr="00AD6185" w:rsidTr="00AD6185">
        <w:trPr>
          <w:trHeight w:val="285"/>
        </w:trPr>
        <w:tc>
          <w:tcPr>
            <w:tcW w:w="191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Inner South East London</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£96.15</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£103.56</w:t>
            </w:r>
          </w:p>
        </w:tc>
        <w:tc>
          <w:tcPr>
            <w:tcW w:w="96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£95.18</w:t>
            </w:r>
          </w:p>
        </w:tc>
        <w:tc>
          <w:tcPr>
            <w:tcW w:w="855" w:type="dxa"/>
            <w:noWrap/>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4.00%</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£8.38</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8.09%</w:t>
            </w:r>
          </w:p>
        </w:tc>
        <w:tc>
          <w:tcPr>
            <w:tcW w:w="100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7.71%</w:t>
            </w:r>
          </w:p>
        </w:tc>
      </w:tr>
      <w:tr w:rsidR="00AD6185" w:rsidRPr="00AD6185" w:rsidTr="00AD6185">
        <w:trPr>
          <w:trHeight w:val="285"/>
        </w:trPr>
        <w:tc>
          <w:tcPr>
            <w:tcW w:w="191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Inner South West London</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£106.15</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£103.56</w:t>
            </w:r>
          </w:p>
        </w:tc>
        <w:tc>
          <w:tcPr>
            <w:tcW w:w="96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£94.38</w:t>
            </w:r>
          </w:p>
        </w:tc>
        <w:tc>
          <w:tcPr>
            <w:tcW w:w="855" w:type="dxa"/>
            <w:noWrap/>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4.00%</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£9.18</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8.86%</w:t>
            </w:r>
          </w:p>
        </w:tc>
        <w:tc>
          <w:tcPr>
            <w:tcW w:w="100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-2.44%</w:t>
            </w:r>
          </w:p>
        </w:tc>
      </w:tr>
      <w:tr w:rsidR="00AD6185" w:rsidRPr="00AD6185" w:rsidTr="00AD6185">
        <w:trPr>
          <w:trHeight w:val="285"/>
        </w:trPr>
        <w:tc>
          <w:tcPr>
            <w:tcW w:w="191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Inner West London</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£108.50</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£113.50</w:t>
            </w:r>
          </w:p>
        </w:tc>
        <w:tc>
          <w:tcPr>
            <w:tcW w:w="96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£110.54</w:t>
            </w:r>
          </w:p>
        </w:tc>
        <w:tc>
          <w:tcPr>
            <w:tcW w:w="855" w:type="dxa"/>
            <w:noWrap/>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4.00%</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£2.96</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2.61%</w:t>
            </w:r>
          </w:p>
        </w:tc>
        <w:tc>
          <w:tcPr>
            <w:tcW w:w="100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4.61%</w:t>
            </w:r>
          </w:p>
        </w:tc>
      </w:tr>
      <w:tr w:rsidR="00AD6185" w:rsidRPr="00AD6185" w:rsidTr="00AD6185">
        <w:trPr>
          <w:trHeight w:val="285"/>
        </w:trPr>
        <w:tc>
          <w:tcPr>
            <w:tcW w:w="191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North West London</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£92.35</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£92.09</w:t>
            </w:r>
          </w:p>
        </w:tc>
        <w:tc>
          <w:tcPr>
            <w:tcW w:w="96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£87.40</w:t>
            </w:r>
          </w:p>
        </w:tc>
        <w:tc>
          <w:tcPr>
            <w:tcW w:w="855" w:type="dxa"/>
            <w:noWrap/>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4.00%</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£4.69</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5.09%</w:t>
            </w:r>
          </w:p>
        </w:tc>
        <w:tc>
          <w:tcPr>
            <w:tcW w:w="100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-0.28%</w:t>
            </w:r>
          </w:p>
        </w:tc>
      </w:tr>
      <w:tr w:rsidR="00AD6185" w:rsidRPr="00AD6185" w:rsidTr="00AD6185">
        <w:trPr>
          <w:trHeight w:val="285"/>
        </w:trPr>
        <w:tc>
          <w:tcPr>
            <w:tcW w:w="191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Outer East London</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£87.50</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£92.09</w:t>
            </w:r>
          </w:p>
        </w:tc>
        <w:tc>
          <w:tcPr>
            <w:tcW w:w="96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£76.56</w:t>
            </w:r>
          </w:p>
        </w:tc>
        <w:tc>
          <w:tcPr>
            <w:tcW w:w="855" w:type="dxa"/>
            <w:noWrap/>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4.00%</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£15.53</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16.86%</w:t>
            </w:r>
          </w:p>
        </w:tc>
        <w:tc>
          <w:tcPr>
            <w:tcW w:w="100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5.25%</w:t>
            </w:r>
          </w:p>
        </w:tc>
      </w:tr>
      <w:tr w:rsidR="00AD6185" w:rsidRPr="00AD6185" w:rsidTr="00AD6185">
        <w:trPr>
          <w:trHeight w:val="285"/>
        </w:trPr>
        <w:tc>
          <w:tcPr>
            <w:tcW w:w="191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Outer North East London</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£74.49</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£80.59</w:t>
            </w:r>
          </w:p>
        </w:tc>
        <w:tc>
          <w:tcPr>
            <w:tcW w:w="96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£75.15</w:t>
            </w:r>
          </w:p>
        </w:tc>
        <w:tc>
          <w:tcPr>
            <w:tcW w:w="855" w:type="dxa"/>
            <w:noWrap/>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4.00%</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£5.44</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6.75%</w:t>
            </w:r>
          </w:p>
        </w:tc>
        <w:tc>
          <w:tcPr>
            <w:tcW w:w="100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8.19%</w:t>
            </w:r>
          </w:p>
        </w:tc>
      </w:tr>
      <w:tr w:rsidR="00AD6185" w:rsidRPr="00AD6185" w:rsidTr="00AD6185">
        <w:trPr>
          <w:trHeight w:val="285"/>
        </w:trPr>
        <w:tc>
          <w:tcPr>
            <w:tcW w:w="191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Outer North London</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£92.35</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£99.65</w:t>
            </w:r>
          </w:p>
        </w:tc>
        <w:tc>
          <w:tcPr>
            <w:tcW w:w="96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£90.64</w:t>
            </w:r>
          </w:p>
        </w:tc>
        <w:tc>
          <w:tcPr>
            <w:tcW w:w="855" w:type="dxa"/>
            <w:noWrap/>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4.00%</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£9.01</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9.04%</w:t>
            </w:r>
          </w:p>
        </w:tc>
        <w:tc>
          <w:tcPr>
            <w:tcW w:w="100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7.90%</w:t>
            </w:r>
          </w:p>
        </w:tc>
      </w:tr>
      <w:tr w:rsidR="00AD6185" w:rsidRPr="00AD6185" w:rsidTr="00AD6185">
        <w:trPr>
          <w:trHeight w:val="285"/>
        </w:trPr>
        <w:tc>
          <w:tcPr>
            <w:tcW w:w="191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Outer South East London</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£83.08</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£86.34</w:t>
            </w:r>
          </w:p>
        </w:tc>
        <w:tc>
          <w:tcPr>
            <w:tcW w:w="96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£84.27</w:t>
            </w:r>
          </w:p>
        </w:tc>
        <w:tc>
          <w:tcPr>
            <w:tcW w:w="855" w:type="dxa"/>
            <w:noWrap/>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4.00%</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£2.07</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2.40%</w:t>
            </w:r>
          </w:p>
        </w:tc>
        <w:tc>
          <w:tcPr>
            <w:tcW w:w="100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3.92%</w:t>
            </w:r>
          </w:p>
        </w:tc>
      </w:tr>
      <w:tr w:rsidR="00AD6185" w:rsidRPr="00AD6185" w:rsidTr="00AD6185">
        <w:trPr>
          <w:trHeight w:val="285"/>
        </w:trPr>
        <w:tc>
          <w:tcPr>
            <w:tcW w:w="191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Outer South London</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£80.81</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£87.49</w:t>
            </w:r>
          </w:p>
        </w:tc>
        <w:tc>
          <w:tcPr>
            <w:tcW w:w="96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£82.46</w:t>
            </w:r>
          </w:p>
        </w:tc>
        <w:tc>
          <w:tcPr>
            <w:tcW w:w="855" w:type="dxa"/>
            <w:noWrap/>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4.00%</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£5.03</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5.75%</w:t>
            </w:r>
          </w:p>
        </w:tc>
        <w:tc>
          <w:tcPr>
            <w:tcW w:w="100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8.27%</w:t>
            </w:r>
          </w:p>
        </w:tc>
      </w:tr>
      <w:tr w:rsidR="00AD6185" w:rsidRPr="00AD6185" w:rsidTr="00AD6185">
        <w:trPr>
          <w:trHeight w:val="285"/>
        </w:trPr>
        <w:tc>
          <w:tcPr>
            <w:tcW w:w="191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Outer South West London</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£92.31</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£115.11</w:t>
            </w:r>
          </w:p>
        </w:tc>
        <w:tc>
          <w:tcPr>
            <w:tcW w:w="96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£84.91</w:t>
            </w:r>
          </w:p>
        </w:tc>
        <w:tc>
          <w:tcPr>
            <w:tcW w:w="855" w:type="dxa"/>
            <w:noWrap/>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4.00%</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£30.20</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26.24%</w:t>
            </w:r>
          </w:p>
        </w:tc>
        <w:tc>
          <w:tcPr>
            <w:tcW w:w="100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24.70%</w:t>
            </w:r>
          </w:p>
        </w:tc>
      </w:tr>
      <w:tr w:rsidR="00AD6185" w:rsidRPr="00AD6185" w:rsidTr="00AD6185">
        <w:trPr>
          <w:trHeight w:val="285"/>
        </w:trPr>
        <w:tc>
          <w:tcPr>
            <w:tcW w:w="191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Outer West London</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£80.81</w:t>
            </w:r>
          </w:p>
        </w:tc>
        <w:tc>
          <w:tcPr>
            <w:tcW w:w="87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£84.62</w:t>
            </w:r>
          </w:p>
        </w:tc>
        <w:tc>
          <w:tcPr>
            <w:tcW w:w="962"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£82.41</w:t>
            </w:r>
          </w:p>
        </w:tc>
        <w:tc>
          <w:tcPr>
            <w:tcW w:w="855" w:type="dxa"/>
            <w:noWrap/>
            <w:vAlign w:val="center"/>
            <w:hideMark/>
          </w:tcPr>
          <w:p w:rsidR="00AD6185" w:rsidRPr="00AD6185" w:rsidRDefault="00AD6185" w:rsidP="00AD6185">
            <w:pPr>
              <w:jc w:val="center"/>
              <w:rPr>
                <w:rFonts w:ascii="Arial" w:hAnsi="Arial" w:cs="Arial"/>
                <w:b/>
                <w:bCs/>
                <w:sz w:val="16"/>
                <w:szCs w:val="16"/>
              </w:rPr>
            </w:pPr>
            <w:r w:rsidRPr="00AD6185">
              <w:rPr>
                <w:rFonts w:ascii="Arial" w:hAnsi="Arial" w:cs="Arial"/>
                <w:b/>
                <w:bCs/>
                <w:sz w:val="16"/>
                <w:szCs w:val="16"/>
              </w:rPr>
              <w:t>4.00%</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£2.21</w:t>
            </w:r>
          </w:p>
        </w:tc>
        <w:tc>
          <w:tcPr>
            <w:tcW w:w="1070"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2.61%</w:t>
            </w:r>
          </w:p>
        </w:tc>
        <w:tc>
          <w:tcPr>
            <w:tcW w:w="1006" w:type="dxa"/>
            <w:noWrap/>
            <w:vAlign w:val="center"/>
            <w:hideMark/>
          </w:tcPr>
          <w:p w:rsidR="00AD6185" w:rsidRPr="00AD6185" w:rsidRDefault="00AD6185" w:rsidP="00AD6185">
            <w:pPr>
              <w:jc w:val="center"/>
              <w:rPr>
                <w:rFonts w:ascii="Arial" w:hAnsi="Arial" w:cs="Arial"/>
                <w:sz w:val="16"/>
                <w:szCs w:val="16"/>
              </w:rPr>
            </w:pPr>
            <w:r w:rsidRPr="00AD6185">
              <w:rPr>
                <w:rFonts w:ascii="Arial" w:hAnsi="Arial" w:cs="Arial"/>
                <w:sz w:val="16"/>
                <w:szCs w:val="16"/>
              </w:rPr>
              <w:t>4.71%</w:t>
            </w:r>
          </w:p>
        </w:tc>
      </w:tr>
    </w:tbl>
    <w:p w:rsidR="00AD6185" w:rsidRDefault="00AD6185" w:rsidP="00AD6185"/>
    <w:tbl>
      <w:tblPr>
        <w:tblStyle w:val="TableGrid"/>
        <w:tblW w:w="0" w:type="auto"/>
        <w:tblLook w:val="04A0" w:firstRow="1" w:lastRow="0" w:firstColumn="1" w:lastColumn="0" w:noHBand="0" w:noVBand="1"/>
      </w:tblPr>
      <w:tblGrid>
        <w:gridCol w:w="1951"/>
        <w:gridCol w:w="972"/>
        <w:gridCol w:w="972"/>
        <w:gridCol w:w="894"/>
        <w:gridCol w:w="848"/>
        <w:gridCol w:w="1091"/>
        <w:gridCol w:w="1091"/>
        <w:gridCol w:w="1025"/>
      </w:tblGrid>
      <w:tr w:rsidR="009A122D" w:rsidRPr="009A122D" w:rsidTr="009A122D">
        <w:trPr>
          <w:trHeight w:val="1500"/>
        </w:trPr>
        <w:tc>
          <w:tcPr>
            <w:tcW w:w="1951"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BRMA - One bedroom</w:t>
            </w:r>
          </w:p>
        </w:tc>
        <w:tc>
          <w:tcPr>
            <w:tcW w:w="972"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Old 30th percentile (14/15)</w:t>
            </w:r>
          </w:p>
        </w:tc>
        <w:tc>
          <w:tcPr>
            <w:tcW w:w="972"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New 30th percentile (15/16)</w:t>
            </w:r>
          </w:p>
        </w:tc>
        <w:tc>
          <w:tcPr>
            <w:tcW w:w="894"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New LHA rate (15/16)</w:t>
            </w:r>
          </w:p>
        </w:tc>
        <w:tc>
          <w:tcPr>
            <w:tcW w:w="848"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LHA % change</w:t>
            </w:r>
          </w:p>
        </w:tc>
        <w:tc>
          <w:tcPr>
            <w:tcW w:w="1091"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Shortfall between LHA rate and 30th percentile (£, 15/16)</w:t>
            </w:r>
          </w:p>
        </w:tc>
        <w:tc>
          <w:tcPr>
            <w:tcW w:w="1091"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Shortfall between LHA rate and 30th percentile (%, 15/16)</w:t>
            </w:r>
          </w:p>
        </w:tc>
        <w:tc>
          <w:tcPr>
            <w:tcW w:w="1025"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Change in 30th percentile rent (%)</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Central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£360.00</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£370.00</w:t>
            </w:r>
          </w:p>
        </w:tc>
        <w:tc>
          <w:tcPr>
            <w:tcW w:w="89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£260.64</w:t>
            </w:r>
          </w:p>
        </w:tc>
        <w:tc>
          <w:tcPr>
            <w:tcW w:w="848"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1.00%</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£109.36</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29.56%</w:t>
            </w:r>
          </w:p>
        </w:tc>
        <w:tc>
          <w:tcPr>
            <w:tcW w:w="102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2.78%</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East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£265.00</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£264.20</w:t>
            </w:r>
          </w:p>
        </w:tc>
        <w:tc>
          <w:tcPr>
            <w:tcW w:w="89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£257.35</w:t>
            </w:r>
          </w:p>
        </w:tc>
        <w:tc>
          <w:tcPr>
            <w:tcW w:w="848"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1.00%</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£6.85</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2.59%</w:t>
            </w:r>
          </w:p>
        </w:tc>
        <w:tc>
          <w:tcPr>
            <w:tcW w:w="102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-0.30%</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North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£280.00</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£290.00</w:t>
            </w:r>
          </w:p>
        </w:tc>
        <w:tc>
          <w:tcPr>
            <w:tcW w:w="89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£260.64</w:t>
            </w:r>
          </w:p>
        </w:tc>
        <w:tc>
          <w:tcPr>
            <w:tcW w:w="848"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1.00%</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£29.36</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10.12%</w:t>
            </w:r>
          </w:p>
        </w:tc>
        <w:tc>
          <w:tcPr>
            <w:tcW w:w="102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3.57%</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South East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£207.69</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£219.90</w:t>
            </w:r>
          </w:p>
        </w:tc>
        <w:tc>
          <w:tcPr>
            <w:tcW w:w="89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£204.08</w:t>
            </w:r>
          </w:p>
        </w:tc>
        <w:tc>
          <w:tcPr>
            <w:tcW w:w="848"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£15.82</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7.19%</w:t>
            </w:r>
          </w:p>
        </w:tc>
        <w:tc>
          <w:tcPr>
            <w:tcW w:w="102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5.88%</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South West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£254.00</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£265.00</w:t>
            </w:r>
          </w:p>
        </w:tc>
        <w:tc>
          <w:tcPr>
            <w:tcW w:w="89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£253.82</w:t>
            </w:r>
          </w:p>
        </w:tc>
        <w:tc>
          <w:tcPr>
            <w:tcW w:w="848"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£11.18</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4.22%</w:t>
            </w:r>
          </w:p>
        </w:tc>
        <w:tc>
          <w:tcPr>
            <w:tcW w:w="102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4.33%</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West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£253.85</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£253.15</w:t>
            </w:r>
          </w:p>
        </w:tc>
        <w:tc>
          <w:tcPr>
            <w:tcW w:w="89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£243.18</w:t>
            </w:r>
          </w:p>
        </w:tc>
        <w:tc>
          <w:tcPr>
            <w:tcW w:w="848"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£9.97</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3.94%</w:t>
            </w:r>
          </w:p>
        </w:tc>
        <w:tc>
          <w:tcPr>
            <w:tcW w:w="102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-0.28%</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North West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£189.92</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£195.62</w:t>
            </w:r>
          </w:p>
        </w:tc>
        <w:tc>
          <w:tcPr>
            <w:tcW w:w="89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£185.81</w:t>
            </w:r>
          </w:p>
        </w:tc>
        <w:tc>
          <w:tcPr>
            <w:tcW w:w="848"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1.00%</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£9.81</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5.01%</w:t>
            </w:r>
          </w:p>
        </w:tc>
        <w:tc>
          <w:tcPr>
            <w:tcW w:w="102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3.00%</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East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£184.62</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£184.11</w:t>
            </w:r>
          </w:p>
        </w:tc>
        <w:tc>
          <w:tcPr>
            <w:tcW w:w="89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£181.80</w:t>
            </w:r>
          </w:p>
        </w:tc>
        <w:tc>
          <w:tcPr>
            <w:tcW w:w="848"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1.00%</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£2.31</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1.25%</w:t>
            </w:r>
          </w:p>
        </w:tc>
        <w:tc>
          <w:tcPr>
            <w:tcW w:w="102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-0.28%</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North East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£160.85</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£155.57</w:t>
            </w:r>
          </w:p>
        </w:tc>
        <w:tc>
          <w:tcPr>
            <w:tcW w:w="89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£155.57</w:t>
            </w:r>
          </w:p>
        </w:tc>
        <w:tc>
          <w:tcPr>
            <w:tcW w:w="848"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0.48%</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£0.00</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0.00%</w:t>
            </w:r>
          </w:p>
        </w:tc>
        <w:tc>
          <w:tcPr>
            <w:tcW w:w="102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-3.28%</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North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£196.00</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£207.12</w:t>
            </w:r>
          </w:p>
        </w:tc>
        <w:tc>
          <w:tcPr>
            <w:tcW w:w="89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£199.68</w:t>
            </w:r>
          </w:p>
        </w:tc>
        <w:tc>
          <w:tcPr>
            <w:tcW w:w="848"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£7.44</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3.59%</w:t>
            </w:r>
          </w:p>
        </w:tc>
        <w:tc>
          <w:tcPr>
            <w:tcW w:w="102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5.67%</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South East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£161.54</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£166.85</w:t>
            </w:r>
          </w:p>
        </w:tc>
        <w:tc>
          <w:tcPr>
            <w:tcW w:w="89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£161.02</w:t>
            </w:r>
          </w:p>
        </w:tc>
        <w:tc>
          <w:tcPr>
            <w:tcW w:w="848"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£5.83</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3.49%</w:t>
            </w:r>
          </w:p>
        </w:tc>
        <w:tc>
          <w:tcPr>
            <w:tcW w:w="102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3.29%</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South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£167.31</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£172.60</w:t>
            </w:r>
          </w:p>
        </w:tc>
        <w:tc>
          <w:tcPr>
            <w:tcW w:w="89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£167.22</w:t>
            </w:r>
          </w:p>
        </w:tc>
        <w:tc>
          <w:tcPr>
            <w:tcW w:w="848"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£5.38</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3.12%</w:t>
            </w:r>
          </w:p>
        </w:tc>
        <w:tc>
          <w:tcPr>
            <w:tcW w:w="102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3.16%</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South West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£207.69</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£218.63</w:t>
            </w:r>
          </w:p>
        </w:tc>
        <w:tc>
          <w:tcPr>
            <w:tcW w:w="89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£209.77</w:t>
            </w:r>
          </w:p>
        </w:tc>
        <w:tc>
          <w:tcPr>
            <w:tcW w:w="848"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1.00%</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£8.86</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4.05%</w:t>
            </w:r>
          </w:p>
        </w:tc>
        <w:tc>
          <w:tcPr>
            <w:tcW w:w="102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5.27%</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West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£173.08</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£184.11</w:t>
            </w:r>
          </w:p>
        </w:tc>
        <w:tc>
          <w:tcPr>
            <w:tcW w:w="89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£175.74</w:t>
            </w:r>
          </w:p>
        </w:tc>
        <w:tc>
          <w:tcPr>
            <w:tcW w:w="848"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£8.37</w:t>
            </w:r>
          </w:p>
        </w:tc>
        <w:tc>
          <w:tcPr>
            <w:tcW w:w="109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4.55%</w:t>
            </w:r>
          </w:p>
        </w:tc>
        <w:tc>
          <w:tcPr>
            <w:tcW w:w="102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6.37%</w:t>
            </w:r>
          </w:p>
        </w:tc>
      </w:tr>
    </w:tbl>
    <w:p w:rsidR="00AD6185" w:rsidRDefault="00AD6185" w:rsidP="00AD6185"/>
    <w:tbl>
      <w:tblPr>
        <w:tblStyle w:val="TableGrid"/>
        <w:tblW w:w="0" w:type="auto"/>
        <w:tblLook w:val="04A0" w:firstRow="1" w:lastRow="0" w:firstColumn="1" w:lastColumn="0" w:noHBand="0" w:noVBand="1"/>
      </w:tblPr>
      <w:tblGrid>
        <w:gridCol w:w="1966"/>
        <w:gridCol w:w="972"/>
        <w:gridCol w:w="972"/>
        <w:gridCol w:w="986"/>
        <w:gridCol w:w="777"/>
        <w:gridCol w:w="1076"/>
        <w:gridCol w:w="1076"/>
        <w:gridCol w:w="1031"/>
      </w:tblGrid>
      <w:tr w:rsidR="009A122D" w:rsidRPr="009A122D" w:rsidTr="009A122D">
        <w:trPr>
          <w:trHeight w:val="1500"/>
        </w:trPr>
        <w:tc>
          <w:tcPr>
            <w:tcW w:w="1967"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BRMA - Two bedroom</w:t>
            </w:r>
          </w:p>
        </w:tc>
        <w:tc>
          <w:tcPr>
            <w:tcW w:w="897"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Old 30th percentile (14/15)</w:t>
            </w:r>
          </w:p>
        </w:tc>
        <w:tc>
          <w:tcPr>
            <w:tcW w:w="897"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New 30th percentile (15/16)</w:t>
            </w:r>
          </w:p>
        </w:tc>
        <w:tc>
          <w:tcPr>
            <w:tcW w:w="986"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New LHA rate (15/16)</w:t>
            </w:r>
          </w:p>
        </w:tc>
        <w:tc>
          <w:tcPr>
            <w:tcW w:w="697"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LHA % change</w:t>
            </w:r>
          </w:p>
        </w:tc>
        <w:tc>
          <w:tcPr>
            <w:tcW w:w="1076"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Shortfall between LHA rate and 30th percentile (£, 15/16)</w:t>
            </w:r>
          </w:p>
        </w:tc>
        <w:tc>
          <w:tcPr>
            <w:tcW w:w="1076"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Shortfall between LHA rate and 30th percentile (%, 15/16)</w:t>
            </w:r>
          </w:p>
        </w:tc>
        <w:tc>
          <w:tcPr>
            <w:tcW w:w="1031"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Change in 30th percentile rent (%)</w:t>
            </w:r>
          </w:p>
        </w:tc>
      </w:tr>
      <w:tr w:rsidR="009A122D" w:rsidRPr="009A122D" w:rsidTr="009A122D">
        <w:trPr>
          <w:trHeight w:val="285"/>
        </w:trPr>
        <w:tc>
          <w:tcPr>
            <w:tcW w:w="196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Central London</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£495.00</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£500.00</w:t>
            </w:r>
          </w:p>
        </w:tc>
        <w:tc>
          <w:tcPr>
            <w:tcW w:w="98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£302.33</w:t>
            </w:r>
          </w:p>
        </w:tc>
        <w:tc>
          <w:tcPr>
            <w:tcW w:w="6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1.00%</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£197.67</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39.53%</w:t>
            </w:r>
          </w:p>
        </w:tc>
        <w:tc>
          <w:tcPr>
            <w:tcW w:w="103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1.01%</w:t>
            </w:r>
          </w:p>
        </w:tc>
      </w:tr>
      <w:tr w:rsidR="009A122D" w:rsidRPr="009A122D" w:rsidTr="009A122D">
        <w:trPr>
          <w:trHeight w:val="285"/>
        </w:trPr>
        <w:tc>
          <w:tcPr>
            <w:tcW w:w="196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East London</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£335.00</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£325.00</w:t>
            </w:r>
          </w:p>
        </w:tc>
        <w:tc>
          <w:tcPr>
            <w:tcW w:w="98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£302.33</w:t>
            </w:r>
          </w:p>
        </w:tc>
        <w:tc>
          <w:tcPr>
            <w:tcW w:w="6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1.00%</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£22.67</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6.98%</w:t>
            </w:r>
          </w:p>
        </w:tc>
        <w:tc>
          <w:tcPr>
            <w:tcW w:w="103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-2.99%</w:t>
            </w:r>
          </w:p>
        </w:tc>
      </w:tr>
      <w:tr w:rsidR="009A122D" w:rsidRPr="009A122D" w:rsidTr="009A122D">
        <w:trPr>
          <w:trHeight w:val="285"/>
        </w:trPr>
        <w:tc>
          <w:tcPr>
            <w:tcW w:w="196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North London</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£350.00</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£350.00</w:t>
            </w:r>
          </w:p>
        </w:tc>
        <w:tc>
          <w:tcPr>
            <w:tcW w:w="98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£302.33</w:t>
            </w:r>
          </w:p>
        </w:tc>
        <w:tc>
          <w:tcPr>
            <w:tcW w:w="6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1.00%</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£47.67</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13.62%</w:t>
            </w:r>
          </w:p>
        </w:tc>
        <w:tc>
          <w:tcPr>
            <w:tcW w:w="103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0.00%</w:t>
            </w:r>
          </w:p>
        </w:tc>
      </w:tr>
      <w:tr w:rsidR="009A122D" w:rsidRPr="009A122D" w:rsidTr="009A122D">
        <w:trPr>
          <w:trHeight w:val="285"/>
        </w:trPr>
        <w:tc>
          <w:tcPr>
            <w:tcW w:w="196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South East London</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£276.92</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£287.67</w:t>
            </w:r>
          </w:p>
        </w:tc>
        <w:tc>
          <w:tcPr>
            <w:tcW w:w="98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£265.29</w:t>
            </w:r>
          </w:p>
        </w:tc>
        <w:tc>
          <w:tcPr>
            <w:tcW w:w="69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£22.38</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7.78%</w:t>
            </w:r>
          </w:p>
        </w:tc>
        <w:tc>
          <w:tcPr>
            <w:tcW w:w="103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3.88%</w:t>
            </w:r>
          </w:p>
        </w:tc>
      </w:tr>
      <w:tr w:rsidR="009A122D" w:rsidRPr="009A122D" w:rsidTr="009A122D">
        <w:trPr>
          <w:trHeight w:val="285"/>
        </w:trPr>
        <w:tc>
          <w:tcPr>
            <w:tcW w:w="196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South West London</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£323.08</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£330.00</w:t>
            </w:r>
          </w:p>
        </w:tc>
        <w:tc>
          <w:tcPr>
            <w:tcW w:w="98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£302.33</w:t>
            </w:r>
          </w:p>
        </w:tc>
        <w:tc>
          <w:tcPr>
            <w:tcW w:w="6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1.00%</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£27.67</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8.38%</w:t>
            </w:r>
          </w:p>
        </w:tc>
        <w:tc>
          <w:tcPr>
            <w:tcW w:w="103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2.14%</w:t>
            </w:r>
          </w:p>
        </w:tc>
      </w:tr>
      <w:tr w:rsidR="009A122D" w:rsidRPr="009A122D" w:rsidTr="009A122D">
        <w:trPr>
          <w:trHeight w:val="285"/>
        </w:trPr>
        <w:tc>
          <w:tcPr>
            <w:tcW w:w="196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West London</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£323.00</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£322.19</w:t>
            </w:r>
          </w:p>
        </w:tc>
        <w:tc>
          <w:tcPr>
            <w:tcW w:w="98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£302.33</w:t>
            </w:r>
          </w:p>
        </w:tc>
        <w:tc>
          <w:tcPr>
            <w:tcW w:w="6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1.00%</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£19.86</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6.16%</w:t>
            </w:r>
          </w:p>
        </w:tc>
        <w:tc>
          <w:tcPr>
            <w:tcW w:w="103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-0.25%</w:t>
            </w:r>
          </w:p>
        </w:tc>
      </w:tr>
      <w:tr w:rsidR="009A122D" w:rsidRPr="009A122D" w:rsidTr="009A122D">
        <w:trPr>
          <w:trHeight w:val="285"/>
        </w:trPr>
        <w:tc>
          <w:tcPr>
            <w:tcW w:w="196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North West London</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£242.31</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£253.15</w:t>
            </w:r>
          </w:p>
        </w:tc>
        <w:tc>
          <w:tcPr>
            <w:tcW w:w="98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£242.33</w:t>
            </w:r>
          </w:p>
        </w:tc>
        <w:tc>
          <w:tcPr>
            <w:tcW w:w="69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£10.82</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4.27%</w:t>
            </w:r>
          </w:p>
        </w:tc>
        <w:tc>
          <w:tcPr>
            <w:tcW w:w="103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4.47%</w:t>
            </w:r>
          </w:p>
        </w:tc>
      </w:tr>
      <w:tr w:rsidR="009A122D" w:rsidRPr="009A122D" w:rsidTr="009A122D">
        <w:trPr>
          <w:trHeight w:val="285"/>
        </w:trPr>
        <w:tc>
          <w:tcPr>
            <w:tcW w:w="196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East London</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£230.77</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£237.20</w:t>
            </w:r>
          </w:p>
        </w:tc>
        <w:tc>
          <w:tcPr>
            <w:tcW w:w="98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£229.58</w:t>
            </w:r>
          </w:p>
        </w:tc>
        <w:tc>
          <w:tcPr>
            <w:tcW w:w="69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£7.62</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3.21%</w:t>
            </w:r>
          </w:p>
        </w:tc>
        <w:tc>
          <w:tcPr>
            <w:tcW w:w="103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2.79%</w:t>
            </w:r>
          </w:p>
        </w:tc>
      </w:tr>
      <w:tr w:rsidR="009A122D" w:rsidRPr="009A122D" w:rsidTr="009A122D">
        <w:trPr>
          <w:trHeight w:val="285"/>
        </w:trPr>
        <w:tc>
          <w:tcPr>
            <w:tcW w:w="196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North East London</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£196.15</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£192.62</w:t>
            </w:r>
          </w:p>
        </w:tc>
        <w:tc>
          <w:tcPr>
            <w:tcW w:w="98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£192.62</w:t>
            </w:r>
          </w:p>
        </w:tc>
        <w:tc>
          <w:tcPr>
            <w:tcW w:w="6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0.87%</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£0.00</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0.00%</w:t>
            </w:r>
          </w:p>
        </w:tc>
        <w:tc>
          <w:tcPr>
            <w:tcW w:w="103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-1.80%</w:t>
            </w:r>
          </w:p>
        </w:tc>
      </w:tr>
      <w:tr w:rsidR="009A122D" w:rsidRPr="009A122D" w:rsidTr="009A122D">
        <w:trPr>
          <w:trHeight w:val="285"/>
        </w:trPr>
        <w:tc>
          <w:tcPr>
            <w:tcW w:w="196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North London</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£253.85</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£264.66</w:t>
            </w:r>
          </w:p>
        </w:tc>
        <w:tc>
          <w:tcPr>
            <w:tcW w:w="98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£255.34</w:t>
            </w:r>
          </w:p>
        </w:tc>
        <w:tc>
          <w:tcPr>
            <w:tcW w:w="69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£9.32</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3.52%</w:t>
            </w:r>
          </w:p>
        </w:tc>
        <w:tc>
          <w:tcPr>
            <w:tcW w:w="103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4.26%</w:t>
            </w:r>
          </w:p>
        </w:tc>
      </w:tr>
      <w:tr w:rsidR="009A122D" w:rsidRPr="009A122D" w:rsidTr="009A122D">
        <w:trPr>
          <w:trHeight w:val="285"/>
        </w:trPr>
        <w:tc>
          <w:tcPr>
            <w:tcW w:w="196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South East London</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£196.15</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£207.12</w:t>
            </w:r>
          </w:p>
        </w:tc>
        <w:tc>
          <w:tcPr>
            <w:tcW w:w="98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£198.11</w:t>
            </w:r>
          </w:p>
        </w:tc>
        <w:tc>
          <w:tcPr>
            <w:tcW w:w="6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1.00%</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£9.01</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4.35%</w:t>
            </w:r>
          </w:p>
        </w:tc>
        <w:tc>
          <w:tcPr>
            <w:tcW w:w="103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5.59%</w:t>
            </w:r>
          </w:p>
        </w:tc>
      </w:tr>
      <w:tr w:rsidR="009A122D" w:rsidRPr="009A122D" w:rsidTr="009A122D">
        <w:trPr>
          <w:trHeight w:val="285"/>
        </w:trPr>
        <w:tc>
          <w:tcPr>
            <w:tcW w:w="196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South London</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£207.69</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£219.23</w:t>
            </w:r>
          </w:p>
        </w:tc>
        <w:tc>
          <w:tcPr>
            <w:tcW w:w="98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£210.57</w:t>
            </w:r>
          </w:p>
        </w:tc>
        <w:tc>
          <w:tcPr>
            <w:tcW w:w="69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£8.66</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3.95%</w:t>
            </w:r>
          </w:p>
        </w:tc>
        <w:tc>
          <w:tcPr>
            <w:tcW w:w="103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5.56%</w:t>
            </w:r>
          </w:p>
        </w:tc>
      </w:tr>
      <w:tr w:rsidR="009A122D" w:rsidRPr="009A122D" w:rsidTr="009A122D">
        <w:trPr>
          <w:trHeight w:val="285"/>
        </w:trPr>
        <w:tc>
          <w:tcPr>
            <w:tcW w:w="196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South West London</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£280.38</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£287.67</w:t>
            </w:r>
          </w:p>
        </w:tc>
        <w:tc>
          <w:tcPr>
            <w:tcW w:w="98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£280.60</w:t>
            </w:r>
          </w:p>
        </w:tc>
        <w:tc>
          <w:tcPr>
            <w:tcW w:w="69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£7.07</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2.46%</w:t>
            </w:r>
          </w:p>
        </w:tc>
        <w:tc>
          <w:tcPr>
            <w:tcW w:w="103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2.60%</w:t>
            </w:r>
          </w:p>
        </w:tc>
      </w:tr>
      <w:tr w:rsidR="009A122D" w:rsidRPr="009A122D" w:rsidTr="009A122D">
        <w:trPr>
          <w:trHeight w:val="285"/>
        </w:trPr>
        <w:tc>
          <w:tcPr>
            <w:tcW w:w="196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West London</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£219.23</w:t>
            </w:r>
          </w:p>
        </w:tc>
        <w:tc>
          <w:tcPr>
            <w:tcW w:w="8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£241.64</w:t>
            </w:r>
          </w:p>
        </w:tc>
        <w:tc>
          <w:tcPr>
            <w:tcW w:w="98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£222.96</w:t>
            </w:r>
          </w:p>
        </w:tc>
        <w:tc>
          <w:tcPr>
            <w:tcW w:w="69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£18.68</w:t>
            </w:r>
          </w:p>
        </w:tc>
        <w:tc>
          <w:tcPr>
            <w:tcW w:w="107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7.73%</w:t>
            </w:r>
          </w:p>
        </w:tc>
        <w:tc>
          <w:tcPr>
            <w:tcW w:w="103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10.22%</w:t>
            </w:r>
          </w:p>
        </w:tc>
      </w:tr>
    </w:tbl>
    <w:p w:rsidR="009A122D" w:rsidRDefault="009A122D" w:rsidP="00AD6185"/>
    <w:tbl>
      <w:tblPr>
        <w:tblStyle w:val="TableGrid"/>
        <w:tblW w:w="8897" w:type="dxa"/>
        <w:tblLook w:val="04A0" w:firstRow="1" w:lastRow="0" w:firstColumn="1" w:lastColumn="0" w:noHBand="0" w:noVBand="1"/>
      </w:tblPr>
      <w:tblGrid>
        <w:gridCol w:w="1941"/>
        <w:gridCol w:w="972"/>
        <w:gridCol w:w="972"/>
        <w:gridCol w:w="975"/>
        <w:gridCol w:w="777"/>
        <w:gridCol w:w="1136"/>
        <w:gridCol w:w="990"/>
        <w:gridCol w:w="1134"/>
      </w:tblGrid>
      <w:tr w:rsidR="009A122D" w:rsidRPr="009A122D" w:rsidTr="009A122D">
        <w:trPr>
          <w:trHeight w:val="1500"/>
        </w:trPr>
        <w:tc>
          <w:tcPr>
            <w:tcW w:w="1941"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BRMA - Three bedroom</w:t>
            </w:r>
          </w:p>
        </w:tc>
        <w:tc>
          <w:tcPr>
            <w:tcW w:w="972"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Old 30th percentile (14/15)</w:t>
            </w:r>
          </w:p>
        </w:tc>
        <w:tc>
          <w:tcPr>
            <w:tcW w:w="972"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New 30th percentile (15/16)</w:t>
            </w:r>
          </w:p>
        </w:tc>
        <w:tc>
          <w:tcPr>
            <w:tcW w:w="975"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New LHA rate (15/16)</w:t>
            </w:r>
          </w:p>
        </w:tc>
        <w:tc>
          <w:tcPr>
            <w:tcW w:w="777"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LHA % change</w:t>
            </w:r>
          </w:p>
        </w:tc>
        <w:tc>
          <w:tcPr>
            <w:tcW w:w="1136"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Shortfall between LHA rate and 30th percentile (£, 15/16)</w:t>
            </w:r>
          </w:p>
        </w:tc>
        <w:tc>
          <w:tcPr>
            <w:tcW w:w="990"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Shortfall between LHA rate and 30th percentile (%, 15/16)</w:t>
            </w:r>
          </w:p>
        </w:tc>
        <w:tc>
          <w:tcPr>
            <w:tcW w:w="1134"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Change in 30th percentile rent (%)</w:t>
            </w:r>
          </w:p>
        </w:tc>
      </w:tr>
      <w:tr w:rsidR="009A122D" w:rsidRPr="009A122D" w:rsidTr="009A122D">
        <w:trPr>
          <w:trHeight w:val="285"/>
        </w:trPr>
        <w:tc>
          <w:tcPr>
            <w:tcW w:w="194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Central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£640.00</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£695.00</w:t>
            </w:r>
          </w:p>
        </w:tc>
        <w:tc>
          <w:tcPr>
            <w:tcW w:w="97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£354.46</w:t>
            </w:r>
          </w:p>
        </w:tc>
        <w:tc>
          <w:tcPr>
            <w:tcW w:w="77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1.00%</w:t>
            </w:r>
          </w:p>
        </w:tc>
        <w:tc>
          <w:tcPr>
            <w:tcW w:w="113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£340.54</w:t>
            </w:r>
          </w:p>
        </w:tc>
        <w:tc>
          <w:tcPr>
            <w:tcW w:w="99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49.00%</w:t>
            </w:r>
          </w:p>
        </w:tc>
        <w:tc>
          <w:tcPr>
            <w:tcW w:w="113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8.59%</w:t>
            </w:r>
          </w:p>
        </w:tc>
      </w:tr>
      <w:tr w:rsidR="009A122D" w:rsidRPr="009A122D" w:rsidTr="009A122D">
        <w:trPr>
          <w:trHeight w:val="285"/>
        </w:trPr>
        <w:tc>
          <w:tcPr>
            <w:tcW w:w="194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North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£465.00</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£460.00</w:t>
            </w:r>
          </w:p>
        </w:tc>
        <w:tc>
          <w:tcPr>
            <w:tcW w:w="97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£354.46</w:t>
            </w:r>
          </w:p>
        </w:tc>
        <w:tc>
          <w:tcPr>
            <w:tcW w:w="77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1.00%</w:t>
            </w:r>
          </w:p>
        </w:tc>
        <w:tc>
          <w:tcPr>
            <w:tcW w:w="113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£105.54</w:t>
            </w:r>
          </w:p>
        </w:tc>
        <w:tc>
          <w:tcPr>
            <w:tcW w:w="99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22.94%</w:t>
            </w:r>
          </w:p>
        </w:tc>
        <w:tc>
          <w:tcPr>
            <w:tcW w:w="113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-1.08%</w:t>
            </w:r>
          </w:p>
        </w:tc>
      </w:tr>
      <w:tr w:rsidR="009A122D" w:rsidRPr="009A122D" w:rsidTr="009A122D">
        <w:trPr>
          <w:trHeight w:val="285"/>
        </w:trPr>
        <w:tc>
          <w:tcPr>
            <w:tcW w:w="194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East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£410.00</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£430.75</w:t>
            </w:r>
          </w:p>
        </w:tc>
        <w:tc>
          <w:tcPr>
            <w:tcW w:w="97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£354.46</w:t>
            </w:r>
          </w:p>
        </w:tc>
        <w:tc>
          <w:tcPr>
            <w:tcW w:w="77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1.00%</w:t>
            </w:r>
          </w:p>
        </w:tc>
        <w:tc>
          <w:tcPr>
            <w:tcW w:w="113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£76.29</w:t>
            </w:r>
          </w:p>
        </w:tc>
        <w:tc>
          <w:tcPr>
            <w:tcW w:w="99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17.71%</w:t>
            </w:r>
          </w:p>
        </w:tc>
        <w:tc>
          <w:tcPr>
            <w:tcW w:w="113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5.06%</w:t>
            </w:r>
          </w:p>
        </w:tc>
      </w:tr>
      <w:tr w:rsidR="009A122D" w:rsidRPr="009A122D" w:rsidTr="009A122D">
        <w:trPr>
          <w:trHeight w:val="285"/>
        </w:trPr>
        <w:tc>
          <w:tcPr>
            <w:tcW w:w="194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South West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£414.23</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£415.00</w:t>
            </w:r>
          </w:p>
        </w:tc>
        <w:tc>
          <w:tcPr>
            <w:tcW w:w="97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£354.46</w:t>
            </w:r>
          </w:p>
        </w:tc>
        <w:tc>
          <w:tcPr>
            <w:tcW w:w="77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1.00%</w:t>
            </w:r>
          </w:p>
        </w:tc>
        <w:tc>
          <w:tcPr>
            <w:tcW w:w="113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£60.54</w:t>
            </w:r>
          </w:p>
        </w:tc>
        <w:tc>
          <w:tcPr>
            <w:tcW w:w="99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14.59%</w:t>
            </w:r>
          </w:p>
        </w:tc>
        <w:tc>
          <w:tcPr>
            <w:tcW w:w="113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0.19%</w:t>
            </w:r>
          </w:p>
        </w:tc>
      </w:tr>
      <w:tr w:rsidR="009A122D" w:rsidRPr="009A122D" w:rsidTr="009A122D">
        <w:trPr>
          <w:trHeight w:val="285"/>
        </w:trPr>
        <w:tc>
          <w:tcPr>
            <w:tcW w:w="194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West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£415.00</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£415.00</w:t>
            </w:r>
          </w:p>
        </w:tc>
        <w:tc>
          <w:tcPr>
            <w:tcW w:w="97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£354.46</w:t>
            </w:r>
          </w:p>
        </w:tc>
        <w:tc>
          <w:tcPr>
            <w:tcW w:w="77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1.00%</w:t>
            </w:r>
          </w:p>
        </w:tc>
        <w:tc>
          <w:tcPr>
            <w:tcW w:w="113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£60.54</w:t>
            </w:r>
          </w:p>
        </w:tc>
        <w:tc>
          <w:tcPr>
            <w:tcW w:w="99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14.59%</w:t>
            </w:r>
          </w:p>
        </w:tc>
        <w:tc>
          <w:tcPr>
            <w:tcW w:w="113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0.00%</w:t>
            </w:r>
          </w:p>
        </w:tc>
      </w:tr>
      <w:tr w:rsidR="009A122D" w:rsidRPr="009A122D" w:rsidTr="009A122D">
        <w:trPr>
          <w:trHeight w:val="285"/>
        </w:trPr>
        <w:tc>
          <w:tcPr>
            <w:tcW w:w="194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South East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£334.62</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£367.99</w:t>
            </w:r>
          </w:p>
        </w:tc>
        <w:tc>
          <w:tcPr>
            <w:tcW w:w="97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£330.72</w:t>
            </w:r>
          </w:p>
        </w:tc>
        <w:tc>
          <w:tcPr>
            <w:tcW w:w="77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13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£37.27</w:t>
            </w:r>
          </w:p>
        </w:tc>
        <w:tc>
          <w:tcPr>
            <w:tcW w:w="99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10.13%</w:t>
            </w:r>
          </w:p>
        </w:tc>
        <w:tc>
          <w:tcPr>
            <w:tcW w:w="113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9.97%</w:t>
            </w:r>
          </w:p>
        </w:tc>
      </w:tr>
      <w:tr w:rsidR="009A122D" w:rsidRPr="009A122D" w:rsidTr="009A122D">
        <w:trPr>
          <w:trHeight w:val="285"/>
        </w:trPr>
        <w:tc>
          <w:tcPr>
            <w:tcW w:w="194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South East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£242.31</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£264.66</w:t>
            </w:r>
          </w:p>
        </w:tc>
        <w:tc>
          <w:tcPr>
            <w:tcW w:w="97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£242.40</w:t>
            </w:r>
          </w:p>
        </w:tc>
        <w:tc>
          <w:tcPr>
            <w:tcW w:w="77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13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£22.26</w:t>
            </w:r>
          </w:p>
        </w:tc>
        <w:tc>
          <w:tcPr>
            <w:tcW w:w="99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8.41%</w:t>
            </w:r>
          </w:p>
        </w:tc>
        <w:tc>
          <w:tcPr>
            <w:tcW w:w="113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9.22%</w:t>
            </w:r>
          </w:p>
        </w:tc>
      </w:tr>
      <w:tr w:rsidR="009A122D" w:rsidRPr="009A122D" w:rsidTr="009A122D">
        <w:trPr>
          <w:trHeight w:val="285"/>
        </w:trPr>
        <w:tc>
          <w:tcPr>
            <w:tcW w:w="194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South West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£346.15</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£356.71</w:t>
            </w:r>
          </w:p>
        </w:tc>
        <w:tc>
          <w:tcPr>
            <w:tcW w:w="97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£336.96</w:t>
            </w:r>
          </w:p>
        </w:tc>
        <w:tc>
          <w:tcPr>
            <w:tcW w:w="77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13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£19.75</w:t>
            </w:r>
          </w:p>
        </w:tc>
        <w:tc>
          <w:tcPr>
            <w:tcW w:w="99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5.54%</w:t>
            </w:r>
          </w:p>
        </w:tc>
        <w:tc>
          <w:tcPr>
            <w:tcW w:w="113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3.05%</w:t>
            </w:r>
          </w:p>
        </w:tc>
      </w:tr>
      <w:tr w:rsidR="009A122D" w:rsidRPr="009A122D" w:rsidTr="009A122D">
        <w:trPr>
          <w:trHeight w:val="285"/>
        </w:trPr>
        <w:tc>
          <w:tcPr>
            <w:tcW w:w="194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West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£265.38</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£287.67</w:t>
            </w:r>
          </w:p>
        </w:tc>
        <w:tc>
          <w:tcPr>
            <w:tcW w:w="97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£272.50</w:t>
            </w:r>
          </w:p>
        </w:tc>
        <w:tc>
          <w:tcPr>
            <w:tcW w:w="77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13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£15.17</w:t>
            </w:r>
          </w:p>
        </w:tc>
        <w:tc>
          <w:tcPr>
            <w:tcW w:w="99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5.27%</w:t>
            </w:r>
          </w:p>
        </w:tc>
        <w:tc>
          <w:tcPr>
            <w:tcW w:w="113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8.40%</w:t>
            </w:r>
          </w:p>
        </w:tc>
      </w:tr>
      <w:tr w:rsidR="009A122D" w:rsidRPr="009A122D" w:rsidTr="009A122D">
        <w:trPr>
          <w:trHeight w:val="285"/>
        </w:trPr>
        <w:tc>
          <w:tcPr>
            <w:tcW w:w="194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East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£300.00</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£299.18</w:t>
            </w:r>
          </w:p>
        </w:tc>
        <w:tc>
          <w:tcPr>
            <w:tcW w:w="97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£286.98</w:t>
            </w:r>
          </w:p>
        </w:tc>
        <w:tc>
          <w:tcPr>
            <w:tcW w:w="77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13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£12.20</w:t>
            </w:r>
          </w:p>
        </w:tc>
        <w:tc>
          <w:tcPr>
            <w:tcW w:w="99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4.08%</w:t>
            </w:r>
          </w:p>
        </w:tc>
        <w:tc>
          <w:tcPr>
            <w:tcW w:w="113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-0.27%</w:t>
            </w:r>
          </w:p>
        </w:tc>
      </w:tr>
      <w:tr w:rsidR="009A122D" w:rsidRPr="009A122D" w:rsidTr="009A122D">
        <w:trPr>
          <w:trHeight w:val="285"/>
        </w:trPr>
        <w:tc>
          <w:tcPr>
            <w:tcW w:w="194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North East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£242.31</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£253.15</w:t>
            </w:r>
          </w:p>
        </w:tc>
        <w:tc>
          <w:tcPr>
            <w:tcW w:w="97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£242.40</w:t>
            </w:r>
          </w:p>
        </w:tc>
        <w:tc>
          <w:tcPr>
            <w:tcW w:w="77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13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£10.75</w:t>
            </w:r>
          </w:p>
        </w:tc>
        <w:tc>
          <w:tcPr>
            <w:tcW w:w="99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4.25%</w:t>
            </w:r>
          </w:p>
        </w:tc>
        <w:tc>
          <w:tcPr>
            <w:tcW w:w="113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4.47%</w:t>
            </w:r>
          </w:p>
        </w:tc>
      </w:tr>
      <w:tr w:rsidR="009A122D" w:rsidRPr="009A122D" w:rsidTr="009A122D">
        <w:trPr>
          <w:trHeight w:val="285"/>
        </w:trPr>
        <w:tc>
          <w:tcPr>
            <w:tcW w:w="194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South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£276.92</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£287.67</w:t>
            </w:r>
          </w:p>
        </w:tc>
        <w:tc>
          <w:tcPr>
            <w:tcW w:w="97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£279.14</w:t>
            </w:r>
          </w:p>
        </w:tc>
        <w:tc>
          <w:tcPr>
            <w:tcW w:w="77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13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£8.53</w:t>
            </w:r>
          </w:p>
        </w:tc>
        <w:tc>
          <w:tcPr>
            <w:tcW w:w="99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2.97%</w:t>
            </w:r>
          </w:p>
        </w:tc>
        <w:tc>
          <w:tcPr>
            <w:tcW w:w="113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3.88%</w:t>
            </w:r>
          </w:p>
        </w:tc>
      </w:tr>
      <w:tr w:rsidR="009A122D" w:rsidRPr="009A122D" w:rsidTr="009A122D">
        <w:trPr>
          <w:trHeight w:val="285"/>
        </w:trPr>
        <w:tc>
          <w:tcPr>
            <w:tcW w:w="194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North West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£305.77</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£310.68</w:t>
            </w:r>
          </w:p>
        </w:tc>
        <w:tc>
          <w:tcPr>
            <w:tcW w:w="97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£303.00</w:t>
            </w:r>
          </w:p>
        </w:tc>
        <w:tc>
          <w:tcPr>
            <w:tcW w:w="77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1.00%</w:t>
            </w:r>
          </w:p>
        </w:tc>
        <w:tc>
          <w:tcPr>
            <w:tcW w:w="113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£7.68</w:t>
            </w:r>
          </w:p>
        </w:tc>
        <w:tc>
          <w:tcPr>
            <w:tcW w:w="99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2.47%</w:t>
            </w:r>
          </w:p>
        </w:tc>
        <w:tc>
          <w:tcPr>
            <w:tcW w:w="113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1.61%</w:t>
            </w:r>
          </w:p>
        </w:tc>
      </w:tr>
      <w:tr w:rsidR="009A122D" w:rsidRPr="009A122D" w:rsidTr="009A122D">
        <w:trPr>
          <w:trHeight w:val="285"/>
        </w:trPr>
        <w:tc>
          <w:tcPr>
            <w:tcW w:w="194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North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£305.77</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£322.19</w:t>
            </w:r>
          </w:p>
        </w:tc>
        <w:tc>
          <w:tcPr>
            <w:tcW w:w="975"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£315.12</w:t>
            </w:r>
          </w:p>
        </w:tc>
        <w:tc>
          <w:tcPr>
            <w:tcW w:w="77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4.00%</w:t>
            </w:r>
          </w:p>
        </w:tc>
        <w:tc>
          <w:tcPr>
            <w:tcW w:w="113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£7.07</w:t>
            </w:r>
          </w:p>
        </w:tc>
        <w:tc>
          <w:tcPr>
            <w:tcW w:w="99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2.19%</w:t>
            </w:r>
          </w:p>
        </w:tc>
        <w:tc>
          <w:tcPr>
            <w:tcW w:w="1134"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5.37%</w:t>
            </w:r>
          </w:p>
        </w:tc>
      </w:tr>
    </w:tbl>
    <w:p w:rsidR="009A122D" w:rsidRDefault="009A122D" w:rsidP="00AD6185"/>
    <w:tbl>
      <w:tblPr>
        <w:tblStyle w:val="TableGrid"/>
        <w:tblW w:w="8897" w:type="dxa"/>
        <w:tblLook w:val="04A0" w:firstRow="1" w:lastRow="0" w:firstColumn="1" w:lastColumn="0" w:noHBand="0" w:noVBand="1"/>
      </w:tblPr>
      <w:tblGrid>
        <w:gridCol w:w="1951"/>
        <w:gridCol w:w="972"/>
        <w:gridCol w:w="972"/>
        <w:gridCol w:w="1006"/>
        <w:gridCol w:w="777"/>
        <w:gridCol w:w="1097"/>
        <w:gridCol w:w="972"/>
        <w:gridCol w:w="1150"/>
      </w:tblGrid>
      <w:tr w:rsidR="009A122D" w:rsidRPr="009A122D" w:rsidTr="009A122D">
        <w:trPr>
          <w:trHeight w:val="1800"/>
        </w:trPr>
        <w:tc>
          <w:tcPr>
            <w:tcW w:w="1951"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lastRenderedPageBreak/>
              <w:t>BRMA - Four bedroom</w:t>
            </w:r>
          </w:p>
        </w:tc>
        <w:tc>
          <w:tcPr>
            <w:tcW w:w="972"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Old 30th percentile (14/15)</w:t>
            </w:r>
          </w:p>
        </w:tc>
        <w:tc>
          <w:tcPr>
            <w:tcW w:w="972"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New 30th percentile (15/16)</w:t>
            </w:r>
          </w:p>
        </w:tc>
        <w:tc>
          <w:tcPr>
            <w:tcW w:w="1006"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New LHA rate (15/16)</w:t>
            </w:r>
          </w:p>
        </w:tc>
        <w:tc>
          <w:tcPr>
            <w:tcW w:w="777"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LHA % change</w:t>
            </w:r>
          </w:p>
        </w:tc>
        <w:tc>
          <w:tcPr>
            <w:tcW w:w="1097"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Shortfall between LHA rate and 30th percentile (£, 15/16)</w:t>
            </w:r>
          </w:p>
        </w:tc>
        <w:tc>
          <w:tcPr>
            <w:tcW w:w="972"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Shortfall between LHA rate and 30th percentile (%, 15/16)</w:t>
            </w:r>
          </w:p>
        </w:tc>
        <w:tc>
          <w:tcPr>
            <w:tcW w:w="1150" w:type="dxa"/>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Change in 30th percentile rent (%)</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Central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£850.00</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£895.00</w:t>
            </w:r>
          </w:p>
        </w:tc>
        <w:tc>
          <w:tcPr>
            <w:tcW w:w="100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£417.02</w:t>
            </w:r>
          </w:p>
        </w:tc>
        <w:tc>
          <w:tcPr>
            <w:tcW w:w="77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w:t>
            </w:r>
          </w:p>
        </w:tc>
        <w:tc>
          <w:tcPr>
            <w:tcW w:w="10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£477.98</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53.4%</w:t>
            </w:r>
          </w:p>
        </w:tc>
        <w:tc>
          <w:tcPr>
            <w:tcW w:w="115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5.29%</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North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£587.43</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£575.34</w:t>
            </w:r>
          </w:p>
        </w:tc>
        <w:tc>
          <w:tcPr>
            <w:tcW w:w="100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£417.02</w:t>
            </w:r>
          </w:p>
        </w:tc>
        <w:tc>
          <w:tcPr>
            <w:tcW w:w="77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w:t>
            </w:r>
          </w:p>
        </w:tc>
        <w:tc>
          <w:tcPr>
            <w:tcW w:w="10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£158.32</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27.5%</w:t>
            </w:r>
          </w:p>
        </w:tc>
        <w:tc>
          <w:tcPr>
            <w:tcW w:w="115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-2.06%</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South West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£553.85</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£569.59</w:t>
            </w:r>
          </w:p>
        </w:tc>
        <w:tc>
          <w:tcPr>
            <w:tcW w:w="100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£417.02</w:t>
            </w:r>
          </w:p>
        </w:tc>
        <w:tc>
          <w:tcPr>
            <w:tcW w:w="77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w:t>
            </w:r>
          </w:p>
        </w:tc>
        <w:tc>
          <w:tcPr>
            <w:tcW w:w="10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£152.57</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26.8%</w:t>
            </w:r>
          </w:p>
        </w:tc>
        <w:tc>
          <w:tcPr>
            <w:tcW w:w="115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2.84%</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West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£530.00</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£540.82</w:t>
            </w:r>
          </w:p>
        </w:tc>
        <w:tc>
          <w:tcPr>
            <w:tcW w:w="100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£417.02</w:t>
            </w:r>
          </w:p>
        </w:tc>
        <w:tc>
          <w:tcPr>
            <w:tcW w:w="77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w:t>
            </w:r>
          </w:p>
        </w:tc>
        <w:tc>
          <w:tcPr>
            <w:tcW w:w="10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£123.80</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22.9%</w:t>
            </w:r>
          </w:p>
        </w:tc>
        <w:tc>
          <w:tcPr>
            <w:tcW w:w="115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2.04%</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East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£500.00</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£530.00</w:t>
            </w:r>
          </w:p>
        </w:tc>
        <w:tc>
          <w:tcPr>
            <w:tcW w:w="100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£417.02</w:t>
            </w:r>
          </w:p>
        </w:tc>
        <w:tc>
          <w:tcPr>
            <w:tcW w:w="77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w:t>
            </w:r>
          </w:p>
        </w:tc>
        <w:tc>
          <w:tcPr>
            <w:tcW w:w="10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£112.98</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21.3%</w:t>
            </w:r>
          </w:p>
        </w:tc>
        <w:tc>
          <w:tcPr>
            <w:tcW w:w="115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6.00%</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Inner South East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£449.00</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£460.27</w:t>
            </w:r>
          </w:p>
        </w:tc>
        <w:tc>
          <w:tcPr>
            <w:tcW w:w="100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£417.02</w:t>
            </w:r>
          </w:p>
        </w:tc>
        <w:tc>
          <w:tcPr>
            <w:tcW w:w="77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w:t>
            </w:r>
          </w:p>
        </w:tc>
        <w:tc>
          <w:tcPr>
            <w:tcW w:w="10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£43.25</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9.4%</w:t>
            </w:r>
          </w:p>
        </w:tc>
        <w:tc>
          <w:tcPr>
            <w:tcW w:w="115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2.51%</w:t>
            </w:r>
          </w:p>
        </w:tc>
      </w:tr>
      <w:tr w:rsidR="009A122D" w:rsidRPr="009A122D" w:rsidTr="009A122D">
        <w:trPr>
          <w:trHeight w:val="300"/>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South West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£438.46</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£460.27</w:t>
            </w:r>
          </w:p>
        </w:tc>
        <w:tc>
          <w:tcPr>
            <w:tcW w:w="100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£417.02</w:t>
            </w:r>
          </w:p>
        </w:tc>
        <w:tc>
          <w:tcPr>
            <w:tcW w:w="77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2.2%</w:t>
            </w:r>
          </w:p>
        </w:tc>
        <w:tc>
          <w:tcPr>
            <w:tcW w:w="10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£43.25</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9.4%</w:t>
            </w:r>
          </w:p>
        </w:tc>
        <w:tc>
          <w:tcPr>
            <w:tcW w:w="115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4.97%</w:t>
            </w:r>
          </w:p>
        </w:tc>
      </w:tr>
      <w:tr w:rsidR="009A122D" w:rsidRPr="009A122D" w:rsidTr="009A122D">
        <w:trPr>
          <w:trHeight w:val="300"/>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East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£334.62</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£356.71</w:t>
            </w:r>
          </w:p>
        </w:tc>
        <w:tc>
          <w:tcPr>
            <w:tcW w:w="100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£331.61</w:t>
            </w:r>
          </w:p>
        </w:tc>
        <w:tc>
          <w:tcPr>
            <w:tcW w:w="77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w:t>
            </w:r>
          </w:p>
        </w:tc>
        <w:tc>
          <w:tcPr>
            <w:tcW w:w="10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£25.10</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7.0%</w:t>
            </w:r>
          </w:p>
        </w:tc>
        <w:tc>
          <w:tcPr>
            <w:tcW w:w="115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6.60%</w:t>
            </w:r>
          </w:p>
        </w:tc>
      </w:tr>
      <w:tr w:rsidR="009A122D" w:rsidRPr="009A122D" w:rsidTr="009A122D">
        <w:trPr>
          <w:trHeight w:val="300"/>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West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£305.77</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£338.00</w:t>
            </w:r>
          </w:p>
        </w:tc>
        <w:tc>
          <w:tcPr>
            <w:tcW w:w="100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£318.00</w:t>
            </w:r>
          </w:p>
        </w:tc>
        <w:tc>
          <w:tcPr>
            <w:tcW w:w="77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w:t>
            </w:r>
          </w:p>
        </w:tc>
        <w:tc>
          <w:tcPr>
            <w:tcW w:w="10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£20.00</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5.9%</w:t>
            </w:r>
          </w:p>
        </w:tc>
        <w:tc>
          <w:tcPr>
            <w:tcW w:w="115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10.54%</w:t>
            </w:r>
          </w:p>
        </w:tc>
      </w:tr>
      <w:tr w:rsidR="009A122D" w:rsidRPr="009A122D" w:rsidTr="009A122D">
        <w:trPr>
          <w:trHeight w:val="300"/>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North West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£369.23</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£390.08</w:t>
            </w:r>
          </w:p>
        </w:tc>
        <w:tc>
          <w:tcPr>
            <w:tcW w:w="100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£374.40</w:t>
            </w:r>
          </w:p>
        </w:tc>
        <w:tc>
          <w:tcPr>
            <w:tcW w:w="77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w:t>
            </w:r>
          </w:p>
        </w:tc>
        <w:tc>
          <w:tcPr>
            <w:tcW w:w="10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£15.68</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4.0%</w:t>
            </w:r>
          </w:p>
        </w:tc>
        <w:tc>
          <w:tcPr>
            <w:tcW w:w="115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5.65%</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North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£415.38</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£402.74</w:t>
            </w:r>
          </w:p>
        </w:tc>
        <w:tc>
          <w:tcPr>
            <w:tcW w:w="100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£388.65</w:t>
            </w:r>
          </w:p>
        </w:tc>
        <w:tc>
          <w:tcPr>
            <w:tcW w:w="77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w:t>
            </w:r>
          </w:p>
        </w:tc>
        <w:tc>
          <w:tcPr>
            <w:tcW w:w="10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£14.09</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3.5%</w:t>
            </w:r>
          </w:p>
        </w:tc>
        <w:tc>
          <w:tcPr>
            <w:tcW w:w="115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-3.04%</w:t>
            </w:r>
          </w:p>
        </w:tc>
      </w:tr>
      <w:tr w:rsidR="009A122D" w:rsidRPr="009A122D" w:rsidTr="009A122D">
        <w:trPr>
          <w:trHeight w:val="300"/>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South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£346.15</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£356.71</w:t>
            </w:r>
          </w:p>
        </w:tc>
        <w:tc>
          <w:tcPr>
            <w:tcW w:w="100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£344.38</w:t>
            </w:r>
          </w:p>
        </w:tc>
        <w:tc>
          <w:tcPr>
            <w:tcW w:w="777" w:type="dxa"/>
            <w:noWrap/>
            <w:vAlign w:val="center"/>
            <w:hideMark/>
          </w:tcPr>
          <w:p w:rsidR="009A122D" w:rsidRPr="009A122D" w:rsidRDefault="009A122D" w:rsidP="009A122D">
            <w:pPr>
              <w:jc w:val="center"/>
              <w:rPr>
                <w:rFonts w:ascii="Arial" w:hAnsi="Arial" w:cs="Arial"/>
                <w:b/>
                <w:bCs/>
                <w:sz w:val="16"/>
                <w:szCs w:val="16"/>
              </w:rPr>
            </w:pPr>
            <w:r w:rsidRPr="009A122D">
              <w:rPr>
                <w:rFonts w:ascii="Arial" w:hAnsi="Arial" w:cs="Arial"/>
                <w:b/>
                <w:bCs/>
                <w:sz w:val="16"/>
                <w:szCs w:val="16"/>
              </w:rPr>
              <w:t>4.0%</w:t>
            </w:r>
          </w:p>
        </w:tc>
        <w:tc>
          <w:tcPr>
            <w:tcW w:w="10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£12.33</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3.5%</w:t>
            </w:r>
          </w:p>
        </w:tc>
        <w:tc>
          <w:tcPr>
            <w:tcW w:w="115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3.05%</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North East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£311.54</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£322.19</w:t>
            </w:r>
          </w:p>
        </w:tc>
        <w:tc>
          <w:tcPr>
            <w:tcW w:w="100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£312.77</w:t>
            </w:r>
          </w:p>
        </w:tc>
        <w:tc>
          <w:tcPr>
            <w:tcW w:w="77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w:t>
            </w:r>
          </w:p>
        </w:tc>
        <w:tc>
          <w:tcPr>
            <w:tcW w:w="10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£9.42</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2.9%</w:t>
            </w:r>
          </w:p>
        </w:tc>
        <w:tc>
          <w:tcPr>
            <w:tcW w:w="115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3.42%</w:t>
            </w:r>
          </w:p>
        </w:tc>
      </w:tr>
      <w:tr w:rsidR="009A122D" w:rsidRPr="009A122D" w:rsidTr="009A122D">
        <w:trPr>
          <w:trHeight w:val="285"/>
        </w:trPr>
        <w:tc>
          <w:tcPr>
            <w:tcW w:w="1951"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Outer South East London</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£311.54</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£322.19</w:t>
            </w:r>
          </w:p>
        </w:tc>
        <w:tc>
          <w:tcPr>
            <w:tcW w:w="1006"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£312.77</w:t>
            </w:r>
          </w:p>
        </w:tc>
        <w:tc>
          <w:tcPr>
            <w:tcW w:w="77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1.0%</w:t>
            </w:r>
          </w:p>
        </w:tc>
        <w:tc>
          <w:tcPr>
            <w:tcW w:w="1097"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£9.42</w:t>
            </w:r>
          </w:p>
        </w:tc>
        <w:tc>
          <w:tcPr>
            <w:tcW w:w="972"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2.9%</w:t>
            </w:r>
          </w:p>
        </w:tc>
        <w:tc>
          <w:tcPr>
            <w:tcW w:w="1150" w:type="dxa"/>
            <w:noWrap/>
            <w:vAlign w:val="center"/>
            <w:hideMark/>
          </w:tcPr>
          <w:p w:rsidR="009A122D" w:rsidRPr="009A122D" w:rsidRDefault="009A122D" w:rsidP="009A122D">
            <w:pPr>
              <w:jc w:val="center"/>
              <w:rPr>
                <w:rFonts w:ascii="Arial" w:hAnsi="Arial" w:cs="Arial"/>
                <w:sz w:val="16"/>
                <w:szCs w:val="16"/>
              </w:rPr>
            </w:pPr>
            <w:r w:rsidRPr="009A122D">
              <w:rPr>
                <w:rFonts w:ascii="Arial" w:hAnsi="Arial" w:cs="Arial"/>
                <w:sz w:val="16"/>
                <w:szCs w:val="16"/>
              </w:rPr>
              <w:t>3.42%</w:t>
            </w:r>
          </w:p>
        </w:tc>
      </w:tr>
    </w:tbl>
    <w:p w:rsidR="009A122D" w:rsidRDefault="009A122D" w:rsidP="00AD6185"/>
    <w:sectPr w:rsidR="009A122D" w:rsidSect="00E75CB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977561C-38A6-49E0-8AEC-97F79EC8F997}"/>
    <w:embedBold r:id="rId2" w:fontKey="{691D551D-0F91-4FAB-8E90-0BB085FBE96D}"/>
    <w:embedItalic r:id="rId3" w:fontKey="{8FD2F6C3-0B69-41C6-B79B-EB871F2CA1A1}"/>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30B48"/>
    <w:multiLevelType w:val="hybridMultilevel"/>
    <w:tmpl w:val="14F44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E924B7"/>
    <w:multiLevelType w:val="hybridMultilevel"/>
    <w:tmpl w:val="7C124D1A"/>
    <w:lvl w:ilvl="0" w:tplc="4AB6751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54C644C"/>
    <w:multiLevelType w:val="hybridMultilevel"/>
    <w:tmpl w:val="E7B21B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39844E0A"/>
    <w:multiLevelType w:val="hybridMultilevel"/>
    <w:tmpl w:val="28D274B2"/>
    <w:lvl w:ilvl="0" w:tplc="C4628BCA">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3915E1E"/>
    <w:multiLevelType w:val="hybridMultilevel"/>
    <w:tmpl w:val="F858E1C4"/>
    <w:lvl w:ilvl="0" w:tplc="2814D9C6">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88F0235"/>
    <w:multiLevelType w:val="hybridMultilevel"/>
    <w:tmpl w:val="DE88A8B8"/>
    <w:lvl w:ilvl="0" w:tplc="5922E2F2">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A2E2240"/>
    <w:multiLevelType w:val="hybridMultilevel"/>
    <w:tmpl w:val="6E9E2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1E540A4"/>
    <w:multiLevelType w:val="hybridMultilevel"/>
    <w:tmpl w:val="3130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322421E"/>
    <w:multiLevelType w:val="hybridMultilevel"/>
    <w:tmpl w:val="7DE64B20"/>
    <w:lvl w:ilvl="0" w:tplc="5922E2F2">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3"/>
  </w:num>
  <w:num w:numId="5">
    <w:abstractNumId w:val="1"/>
  </w:num>
  <w:num w:numId="6">
    <w:abstractNumId w:val="6"/>
  </w:num>
  <w:num w:numId="7">
    <w:abstractNumId w:val="2"/>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589"/>
    <w:rsid w:val="00002F39"/>
    <w:rsid w:val="0000675D"/>
    <w:rsid w:val="0001536E"/>
    <w:rsid w:val="00016C9F"/>
    <w:rsid w:val="00020F70"/>
    <w:rsid w:val="00031C28"/>
    <w:rsid w:val="0005493E"/>
    <w:rsid w:val="00061989"/>
    <w:rsid w:val="000632AE"/>
    <w:rsid w:val="0006713B"/>
    <w:rsid w:val="0006723A"/>
    <w:rsid w:val="00071317"/>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2B36"/>
    <w:rsid w:val="00107A3C"/>
    <w:rsid w:val="0011281D"/>
    <w:rsid w:val="00115CFA"/>
    <w:rsid w:val="00120438"/>
    <w:rsid w:val="00122770"/>
    <w:rsid w:val="00136B6D"/>
    <w:rsid w:val="00143442"/>
    <w:rsid w:val="0014356F"/>
    <w:rsid w:val="00153A0E"/>
    <w:rsid w:val="00160F57"/>
    <w:rsid w:val="00162CC7"/>
    <w:rsid w:val="001724B7"/>
    <w:rsid w:val="00175685"/>
    <w:rsid w:val="001845A5"/>
    <w:rsid w:val="00186056"/>
    <w:rsid w:val="00187FC4"/>
    <w:rsid w:val="001A029B"/>
    <w:rsid w:val="001A6C97"/>
    <w:rsid w:val="001A715E"/>
    <w:rsid w:val="001B09A1"/>
    <w:rsid w:val="001B4045"/>
    <w:rsid w:val="001B6637"/>
    <w:rsid w:val="001C3206"/>
    <w:rsid w:val="001D25B4"/>
    <w:rsid w:val="001D3DF2"/>
    <w:rsid w:val="001D6F45"/>
    <w:rsid w:val="001E51A2"/>
    <w:rsid w:val="001F4BDF"/>
    <w:rsid w:val="001F6D82"/>
    <w:rsid w:val="001F7A23"/>
    <w:rsid w:val="002073C5"/>
    <w:rsid w:val="0021281E"/>
    <w:rsid w:val="00212FB6"/>
    <w:rsid w:val="00213E9B"/>
    <w:rsid w:val="002150D8"/>
    <w:rsid w:val="002207B5"/>
    <w:rsid w:val="00224584"/>
    <w:rsid w:val="0022469E"/>
    <w:rsid w:val="00227ADF"/>
    <w:rsid w:val="00233773"/>
    <w:rsid w:val="0023449C"/>
    <w:rsid w:val="00240437"/>
    <w:rsid w:val="002437B3"/>
    <w:rsid w:val="00245834"/>
    <w:rsid w:val="0025197F"/>
    <w:rsid w:val="00251A38"/>
    <w:rsid w:val="00252BEF"/>
    <w:rsid w:val="00255143"/>
    <w:rsid w:val="002577DC"/>
    <w:rsid w:val="00263353"/>
    <w:rsid w:val="002670F4"/>
    <w:rsid w:val="00280C67"/>
    <w:rsid w:val="00281B2B"/>
    <w:rsid w:val="002934A1"/>
    <w:rsid w:val="002A2EC9"/>
    <w:rsid w:val="002A680C"/>
    <w:rsid w:val="002B29AF"/>
    <w:rsid w:val="002B560E"/>
    <w:rsid w:val="002D3E36"/>
    <w:rsid w:val="002E0B89"/>
    <w:rsid w:val="002E2C82"/>
    <w:rsid w:val="002E48E1"/>
    <w:rsid w:val="002F620B"/>
    <w:rsid w:val="003027F6"/>
    <w:rsid w:val="00302E87"/>
    <w:rsid w:val="0030459E"/>
    <w:rsid w:val="00306EC7"/>
    <w:rsid w:val="00316B13"/>
    <w:rsid w:val="00320776"/>
    <w:rsid w:val="003278DA"/>
    <w:rsid w:val="003313DF"/>
    <w:rsid w:val="00335177"/>
    <w:rsid w:val="00336DA5"/>
    <w:rsid w:val="0033708F"/>
    <w:rsid w:val="003402A6"/>
    <w:rsid w:val="00342B86"/>
    <w:rsid w:val="00345213"/>
    <w:rsid w:val="00347A1D"/>
    <w:rsid w:val="00354BE6"/>
    <w:rsid w:val="00355115"/>
    <w:rsid w:val="0035571B"/>
    <w:rsid w:val="00370DB6"/>
    <w:rsid w:val="00375DFD"/>
    <w:rsid w:val="00380617"/>
    <w:rsid w:val="0038330E"/>
    <w:rsid w:val="00384E83"/>
    <w:rsid w:val="00391998"/>
    <w:rsid w:val="0039499D"/>
    <w:rsid w:val="003B2080"/>
    <w:rsid w:val="003B3B19"/>
    <w:rsid w:val="003B4BBB"/>
    <w:rsid w:val="003B77F1"/>
    <w:rsid w:val="003B7E78"/>
    <w:rsid w:val="003C37AD"/>
    <w:rsid w:val="003C5C03"/>
    <w:rsid w:val="003D4A2D"/>
    <w:rsid w:val="003D5D26"/>
    <w:rsid w:val="003D6440"/>
    <w:rsid w:val="003E0569"/>
    <w:rsid w:val="003E6C08"/>
    <w:rsid w:val="003E7E59"/>
    <w:rsid w:val="004141B7"/>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61DA4"/>
    <w:rsid w:val="00462C4F"/>
    <w:rsid w:val="00467579"/>
    <w:rsid w:val="0048270B"/>
    <w:rsid w:val="004862CB"/>
    <w:rsid w:val="00487472"/>
    <w:rsid w:val="00487A16"/>
    <w:rsid w:val="00487C9C"/>
    <w:rsid w:val="00491E5D"/>
    <w:rsid w:val="00494A00"/>
    <w:rsid w:val="004955D1"/>
    <w:rsid w:val="00497618"/>
    <w:rsid w:val="004B60F5"/>
    <w:rsid w:val="004D1D8C"/>
    <w:rsid w:val="004D32AB"/>
    <w:rsid w:val="004D351F"/>
    <w:rsid w:val="004F1B78"/>
    <w:rsid w:val="0050470F"/>
    <w:rsid w:val="005066AF"/>
    <w:rsid w:val="00513088"/>
    <w:rsid w:val="005263F2"/>
    <w:rsid w:val="00531313"/>
    <w:rsid w:val="00540E46"/>
    <w:rsid w:val="00560798"/>
    <w:rsid w:val="00565B96"/>
    <w:rsid w:val="00577198"/>
    <w:rsid w:val="00580627"/>
    <w:rsid w:val="00581871"/>
    <w:rsid w:val="00583B8E"/>
    <w:rsid w:val="005851F9"/>
    <w:rsid w:val="005863EE"/>
    <w:rsid w:val="00591B78"/>
    <w:rsid w:val="005935EA"/>
    <w:rsid w:val="005A6399"/>
    <w:rsid w:val="005B1FDB"/>
    <w:rsid w:val="005B25E9"/>
    <w:rsid w:val="005C284E"/>
    <w:rsid w:val="005C412D"/>
    <w:rsid w:val="005C4338"/>
    <w:rsid w:val="005C45DF"/>
    <w:rsid w:val="005C7DA2"/>
    <w:rsid w:val="005D06C3"/>
    <w:rsid w:val="005D1EEB"/>
    <w:rsid w:val="005D6C1F"/>
    <w:rsid w:val="005D7502"/>
    <w:rsid w:val="00600A40"/>
    <w:rsid w:val="00606E9C"/>
    <w:rsid w:val="0061216F"/>
    <w:rsid w:val="00612418"/>
    <w:rsid w:val="00620ECB"/>
    <w:rsid w:val="006239EF"/>
    <w:rsid w:val="00624D3C"/>
    <w:rsid w:val="006258AC"/>
    <w:rsid w:val="0065203C"/>
    <w:rsid w:val="006529C1"/>
    <w:rsid w:val="0066128F"/>
    <w:rsid w:val="00664C22"/>
    <w:rsid w:val="006774D9"/>
    <w:rsid w:val="006835B9"/>
    <w:rsid w:val="00687F55"/>
    <w:rsid w:val="006A5576"/>
    <w:rsid w:val="006B55B3"/>
    <w:rsid w:val="006C5FD1"/>
    <w:rsid w:val="006C6DA4"/>
    <w:rsid w:val="006D2D96"/>
    <w:rsid w:val="006D3C00"/>
    <w:rsid w:val="006D535B"/>
    <w:rsid w:val="006D6774"/>
    <w:rsid w:val="006D6B8B"/>
    <w:rsid w:val="006E1684"/>
    <w:rsid w:val="006E7788"/>
    <w:rsid w:val="006F034C"/>
    <w:rsid w:val="006F1F74"/>
    <w:rsid w:val="006F2520"/>
    <w:rsid w:val="006F3333"/>
    <w:rsid w:val="006F4999"/>
    <w:rsid w:val="006F4CB2"/>
    <w:rsid w:val="006F6176"/>
    <w:rsid w:val="006F62D7"/>
    <w:rsid w:val="0070480C"/>
    <w:rsid w:val="00704ABD"/>
    <w:rsid w:val="00712D75"/>
    <w:rsid w:val="00712D9C"/>
    <w:rsid w:val="00714799"/>
    <w:rsid w:val="00716F42"/>
    <w:rsid w:val="00717CE0"/>
    <w:rsid w:val="00721503"/>
    <w:rsid w:val="007215EF"/>
    <w:rsid w:val="0072280F"/>
    <w:rsid w:val="0072727A"/>
    <w:rsid w:val="00732271"/>
    <w:rsid w:val="007345FB"/>
    <w:rsid w:val="00736DF6"/>
    <w:rsid w:val="00740AB0"/>
    <w:rsid w:val="007439BF"/>
    <w:rsid w:val="007466AC"/>
    <w:rsid w:val="00747FBD"/>
    <w:rsid w:val="007515A3"/>
    <w:rsid w:val="00754159"/>
    <w:rsid w:val="007619AF"/>
    <w:rsid w:val="00761BCD"/>
    <w:rsid w:val="00767C03"/>
    <w:rsid w:val="00777C48"/>
    <w:rsid w:val="007842FA"/>
    <w:rsid w:val="0078773D"/>
    <w:rsid w:val="00796B14"/>
    <w:rsid w:val="007A13A8"/>
    <w:rsid w:val="007A461E"/>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30AB"/>
    <w:rsid w:val="00826FFD"/>
    <w:rsid w:val="00827E87"/>
    <w:rsid w:val="0083056B"/>
    <w:rsid w:val="00834293"/>
    <w:rsid w:val="00837224"/>
    <w:rsid w:val="00837490"/>
    <w:rsid w:val="00837689"/>
    <w:rsid w:val="00842AFD"/>
    <w:rsid w:val="008463F1"/>
    <w:rsid w:val="00846775"/>
    <w:rsid w:val="008531C7"/>
    <w:rsid w:val="008644F9"/>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F3E"/>
    <w:rsid w:val="008D22B5"/>
    <w:rsid w:val="008D54D7"/>
    <w:rsid w:val="008E3158"/>
    <w:rsid w:val="008E65FF"/>
    <w:rsid w:val="008E7A6E"/>
    <w:rsid w:val="008F0C56"/>
    <w:rsid w:val="008F1054"/>
    <w:rsid w:val="008F359B"/>
    <w:rsid w:val="008F3698"/>
    <w:rsid w:val="008F7583"/>
    <w:rsid w:val="008F785F"/>
    <w:rsid w:val="00923E08"/>
    <w:rsid w:val="00926F25"/>
    <w:rsid w:val="00930454"/>
    <w:rsid w:val="00947D0F"/>
    <w:rsid w:val="0095242D"/>
    <w:rsid w:val="009535BD"/>
    <w:rsid w:val="00954C83"/>
    <w:rsid w:val="00963520"/>
    <w:rsid w:val="0097365C"/>
    <w:rsid w:val="00976944"/>
    <w:rsid w:val="00980689"/>
    <w:rsid w:val="00993943"/>
    <w:rsid w:val="009A122D"/>
    <w:rsid w:val="009A56C3"/>
    <w:rsid w:val="009A5C6A"/>
    <w:rsid w:val="009B0939"/>
    <w:rsid w:val="009B0BB5"/>
    <w:rsid w:val="009B3539"/>
    <w:rsid w:val="009B629D"/>
    <w:rsid w:val="009C41AB"/>
    <w:rsid w:val="009D01C9"/>
    <w:rsid w:val="009D451B"/>
    <w:rsid w:val="009D6AEA"/>
    <w:rsid w:val="009F7CEF"/>
    <w:rsid w:val="009F7EB7"/>
    <w:rsid w:val="00A00942"/>
    <w:rsid w:val="00A00A6B"/>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37A03"/>
    <w:rsid w:val="00A42B36"/>
    <w:rsid w:val="00A66FD1"/>
    <w:rsid w:val="00A722BB"/>
    <w:rsid w:val="00A73D3D"/>
    <w:rsid w:val="00A86966"/>
    <w:rsid w:val="00A92209"/>
    <w:rsid w:val="00A95871"/>
    <w:rsid w:val="00A95F67"/>
    <w:rsid w:val="00AA4E82"/>
    <w:rsid w:val="00AA6201"/>
    <w:rsid w:val="00AA685F"/>
    <w:rsid w:val="00AB1ECC"/>
    <w:rsid w:val="00AB6136"/>
    <w:rsid w:val="00AB7675"/>
    <w:rsid w:val="00AC2C10"/>
    <w:rsid w:val="00AC2D0B"/>
    <w:rsid w:val="00AD560A"/>
    <w:rsid w:val="00AD6185"/>
    <w:rsid w:val="00AE5925"/>
    <w:rsid w:val="00AE5A0F"/>
    <w:rsid w:val="00AE6E42"/>
    <w:rsid w:val="00AE72A4"/>
    <w:rsid w:val="00AF05DF"/>
    <w:rsid w:val="00AF5264"/>
    <w:rsid w:val="00AF5596"/>
    <w:rsid w:val="00AF633A"/>
    <w:rsid w:val="00AF6BE3"/>
    <w:rsid w:val="00AF787D"/>
    <w:rsid w:val="00B02183"/>
    <w:rsid w:val="00B048F4"/>
    <w:rsid w:val="00B05F43"/>
    <w:rsid w:val="00B06607"/>
    <w:rsid w:val="00B07A08"/>
    <w:rsid w:val="00B10831"/>
    <w:rsid w:val="00B3335C"/>
    <w:rsid w:val="00B34053"/>
    <w:rsid w:val="00B533C7"/>
    <w:rsid w:val="00B67AE8"/>
    <w:rsid w:val="00B75B42"/>
    <w:rsid w:val="00B86E76"/>
    <w:rsid w:val="00B930D1"/>
    <w:rsid w:val="00B944F9"/>
    <w:rsid w:val="00BA5425"/>
    <w:rsid w:val="00BB0377"/>
    <w:rsid w:val="00BC1106"/>
    <w:rsid w:val="00BC12BB"/>
    <w:rsid w:val="00BC1414"/>
    <w:rsid w:val="00BC429E"/>
    <w:rsid w:val="00BC4A9B"/>
    <w:rsid w:val="00BC5A00"/>
    <w:rsid w:val="00BC60F9"/>
    <w:rsid w:val="00BD3543"/>
    <w:rsid w:val="00BD51ED"/>
    <w:rsid w:val="00BD710E"/>
    <w:rsid w:val="00BF42BF"/>
    <w:rsid w:val="00BF652C"/>
    <w:rsid w:val="00C02D13"/>
    <w:rsid w:val="00C1207A"/>
    <w:rsid w:val="00C12A65"/>
    <w:rsid w:val="00C23C6B"/>
    <w:rsid w:val="00C313AE"/>
    <w:rsid w:val="00C31698"/>
    <w:rsid w:val="00C31AE2"/>
    <w:rsid w:val="00C334E2"/>
    <w:rsid w:val="00C35075"/>
    <w:rsid w:val="00C360F9"/>
    <w:rsid w:val="00C36216"/>
    <w:rsid w:val="00C40C17"/>
    <w:rsid w:val="00C411C7"/>
    <w:rsid w:val="00C41EBD"/>
    <w:rsid w:val="00C575AF"/>
    <w:rsid w:val="00C60D02"/>
    <w:rsid w:val="00C6116F"/>
    <w:rsid w:val="00C75526"/>
    <w:rsid w:val="00C8198E"/>
    <w:rsid w:val="00C86F7E"/>
    <w:rsid w:val="00C9351E"/>
    <w:rsid w:val="00CA4015"/>
    <w:rsid w:val="00CA5785"/>
    <w:rsid w:val="00CA7E84"/>
    <w:rsid w:val="00CC0CD9"/>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7806"/>
    <w:rsid w:val="00D43F83"/>
    <w:rsid w:val="00D457D7"/>
    <w:rsid w:val="00D51D2A"/>
    <w:rsid w:val="00D51D37"/>
    <w:rsid w:val="00D52818"/>
    <w:rsid w:val="00D52866"/>
    <w:rsid w:val="00D53E9B"/>
    <w:rsid w:val="00D62891"/>
    <w:rsid w:val="00D767F8"/>
    <w:rsid w:val="00D77557"/>
    <w:rsid w:val="00D7755F"/>
    <w:rsid w:val="00D803BF"/>
    <w:rsid w:val="00D94C82"/>
    <w:rsid w:val="00DA0C3A"/>
    <w:rsid w:val="00DA50E8"/>
    <w:rsid w:val="00DB3A19"/>
    <w:rsid w:val="00DB4C39"/>
    <w:rsid w:val="00DC10C1"/>
    <w:rsid w:val="00DC5AFE"/>
    <w:rsid w:val="00DC7113"/>
    <w:rsid w:val="00DD0620"/>
    <w:rsid w:val="00DD6593"/>
    <w:rsid w:val="00DD692F"/>
    <w:rsid w:val="00DE041B"/>
    <w:rsid w:val="00DE06D5"/>
    <w:rsid w:val="00DE3871"/>
    <w:rsid w:val="00DE5055"/>
    <w:rsid w:val="00DE63A1"/>
    <w:rsid w:val="00DF24AB"/>
    <w:rsid w:val="00DF7646"/>
    <w:rsid w:val="00E014B1"/>
    <w:rsid w:val="00E07287"/>
    <w:rsid w:val="00E148E8"/>
    <w:rsid w:val="00E16C02"/>
    <w:rsid w:val="00E16F8B"/>
    <w:rsid w:val="00E224ED"/>
    <w:rsid w:val="00E2258E"/>
    <w:rsid w:val="00E234D4"/>
    <w:rsid w:val="00E23BCA"/>
    <w:rsid w:val="00E33D83"/>
    <w:rsid w:val="00E35CF1"/>
    <w:rsid w:val="00E47F7E"/>
    <w:rsid w:val="00E50680"/>
    <w:rsid w:val="00E53CC4"/>
    <w:rsid w:val="00E57522"/>
    <w:rsid w:val="00E6738C"/>
    <w:rsid w:val="00E73589"/>
    <w:rsid w:val="00E75CBB"/>
    <w:rsid w:val="00E75EAB"/>
    <w:rsid w:val="00EA0F61"/>
    <w:rsid w:val="00EA4973"/>
    <w:rsid w:val="00EA6A54"/>
    <w:rsid w:val="00EB46D2"/>
    <w:rsid w:val="00EC1131"/>
    <w:rsid w:val="00EC2B77"/>
    <w:rsid w:val="00EC58AC"/>
    <w:rsid w:val="00ED5C8F"/>
    <w:rsid w:val="00EF2BFE"/>
    <w:rsid w:val="00EF2C4C"/>
    <w:rsid w:val="00F02386"/>
    <w:rsid w:val="00F0241D"/>
    <w:rsid w:val="00F031BC"/>
    <w:rsid w:val="00F0530E"/>
    <w:rsid w:val="00F219B5"/>
    <w:rsid w:val="00F21DC3"/>
    <w:rsid w:val="00F263F6"/>
    <w:rsid w:val="00F27848"/>
    <w:rsid w:val="00F31B2E"/>
    <w:rsid w:val="00F366BA"/>
    <w:rsid w:val="00F414C7"/>
    <w:rsid w:val="00F41B3D"/>
    <w:rsid w:val="00F55342"/>
    <w:rsid w:val="00F554C7"/>
    <w:rsid w:val="00F63392"/>
    <w:rsid w:val="00F64BEB"/>
    <w:rsid w:val="00F675D9"/>
    <w:rsid w:val="00F67A8A"/>
    <w:rsid w:val="00F7465F"/>
    <w:rsid w:val="00F80656"/>
    <w:rsid w:val="00F8232A"/>
    <w:rsid w:val="00F90D61"/>
    <w:rsid w:val="00FB2DC1"/>
    <w:rsid w:val="00FB35EC"/>
    <w:rsid w:val="00FB44B6"/>
    <w:rsid w:val="00FB6EDF"/>
    <w:rsid w:val="00FC1F03"/>
    <w:rsid w:val="00FC2479"/>
    <w:rsid w:val="00FC3C7D"/>
    <w:rsid w:val="00FC732B"/>
    <w:rsid w:val="00FD5263"/>
    <w:rsid w:val="00FE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73589"/>
    <w:rPr>
      <w:color w:val="0000FF" w:themeColor="hyperlink"/>
      <w:u w:val="single"/>
    </w:rPr>
  </w:style>
  <w:style w:type="paragraph" w:styleId="ListParagraph">
    <w:name w:val="List Paragraph"/>
    <w:basedOn w:val="Normal"/>
    <w:uiPriority w:val="34"/>
    <w:qFormat/>
    <w:rsid w:val="00E73589"/>
    <w:pPr>
      <w:ind w:left="720"/>
      <w:contextualSpacing/>
    </w:pPr>
  </w:style>
  <w:style w:type="paragraph" w:styleId="BalloonText">
    <w:name w:val="Balloon Text"/>
    <w:basedOn w:val="Normal"/>
    <w:link w:val="BalloonTextChar"/>
    <w:rsid w:val="00102B36"/>
    <w:rPr>
      <w:rFonts w:ascii="Tahoma" w:hAnsi="Tahoma" w:cs="Tahoma"/>
      <w:sz w:val="16"/>
      <w:szCs w:val="16"/>
    </w:rPr>
  </w:style>
  <w:style w:type="character" w:customStyle="1" w:styleId="BalloonTextChar">
    <w:name w:val="Balloon Text Char"/>
    <w:basedOn w:val="DefaultParagraphFont"/>
    <w:link w:val="BalloonText"/>
    <w:rsid w:val="00102B36"/>
    <w:rPr>
      <w:rFonts w:ascii="Tahoma" w:hAnsi="Tahoma" w:cs="Tahoma"/>
      <w:sz w:val="16"/>
      <w:szCs w:val="16"/>
    </w:rPr>
  </w:style>
  <w:style w:type="table" w:styleId="TableGrid">
    <w:name w:val="Table Grid"/>
    <w:basedOn w:val="TableNormal"/>
    <w:rsid w:val="00AD61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73589"/>
    <w:rPr>
      <w:color w:val="0000FF" w:themeColor="hyperlink"/>
      <w:u w:val="single"/>
    </w:rPr>
  </w:style>
  <w:style w:type="paragraph" w:styleId="ListParagraph">
    <w:name w:val="List Paragraph"/>
    <w:basedOn w:val="Normal"/>
    <w:uiPriority w:val="34"/>
    <w:qFormat/>
    <w:rsid w:val="00E73589"/>
    <w:pPr>
      <w:ind w:left="720"/>
      <w:contextualSpacing/>
    </w:pPr>
  </w:style>
  <w:style w:type="paragraph" w:styleId="BalloonText">
    <w:name w:val="Balloon Text"/>
    <w:basedOn w:val="Normal"/>
    <w:link w:val="BalloonTextChar"/>
    <w:rsid w:val="00102B36"/>
    <w:rPr>
      <w:rFonts w:ascii="Tahoma" w:hAnsi="Tahoma" w:cs="Tahoma"/>
      <w:sz w:val="16"/>
      <w:szCs w:val="16"/>
    </w:rPr>
  </w:style>
  <w:style w:type="character" w:customStyle="1" w:styleId="BalloonTextChar">
    <w:name w:val="Balloon Text Char"/>
    <w:basedOn w:val="DefaultParagraphFont"/>
    <w:link w:val="BalloonText"/>
    <w:rsid w:val="00102B36"/>
    <w:rPr>
      <w:rFonts w:ascii="Tahoma" w:hAnsi="Tahoma" w:cs="Tahoma"/>
      <w:sz w:val="16"/>
      <w:szCs w:val="16"/>
    </w:rPr>
  </w:style>
  <w:style w:type="table" w:styleId="TableGrid">
    <w:name w:val="Table Grid"/>
    <w:basedOn w:val="TableNormal"/>
    <w:rsid w:val="00AD61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816906">
      <w:bodyDiv w:val="1"/>
      <w:marLeft w:val="0"/>
      <w:marRight w:val="0"/>
      <w:marTop w:val="0"/>
      <w:marBottom w:val="0"/>
      <w:divBdr>
        <w:top w:val="none" w:sz="0" w:space="0" w:color="auto"/>
        <w:left w:val="none" w:sz="0" w:space="0" w:color="auto"/>
        <w:bottom w:val="none" w:sz="0" w:space="0" w:color="auto"/>
        <w:right w:val="none" w:sz="0" w:space="0" w:color="auto"/>
      </w:divBdr>
    </w:div>
    <w:div w:id="1039747191">
      <w:bodyDiv w:val="1"/>
      <w:marLeft w:val="0"/>
      <w:marRight w:val="0"/>
      <w:marTop w:val="0"/>
      <w:marBottom w:val="0"/>
      <w:divBdr>
        <w:top w:val="none" w:sz="0" w:space="0" w:color="auto"/>
        <w:left w:val="none" w:sz="0" w:space="0" w:color="auto"/>
        <w:bottom w:val="none" w:sz="0" w:space="0" w:color="auto"/>
        <w:right w:val="none" w:sz="0" w:space="0" w:color="auto"/>
      </w:divBdr>
    </w:div>
    <w:div w:id="1097024091">
      <w:bodyDiv w:val="1"/>
      <w:marLeft w:val="0"/>
      <w:marRight w:val="0"/>
      <w:marTop w:val="0"/>
      <w:marBottom w:val="0"/>
      <w:divBdr>
        <w:top w:val="none" w:sz="0" w:space="0" w:color="auto"/>
        <w:left w:val="none" w:sz="0" w:space="0" w:color="auto"/>
        <w:bottom w:val="none" w:sz="0" w:space="0" w:color="auto"/>
        <w:right w:val="none" w:sz="0" w:space="0" w:color="auto"/>
      </w:divBdr>
    </w:div>
    <w:div w:id="1188519929">
      <w:bodyDiv w:val="1"/>
      <w:marLeft w:val="0"/>
      <w:marRight w:val="0"/>
      <w:marTop w:val="0"/>
      <w:marBottom w:val="0"/>
      <w:divBdr>
        <w:top w:val="none" w:sz="0" w:space="0" w:color="auto"/>
        <w:left w:val="none" w:sz="0" w:space="0" w:color="auto"/>
        <w:bottom w:val="none" w:sz="0" w:space="0" w:color="auto"/>
        <w:right w:val="none" w:sz="0" w:space="0" w:color="auto"/>
      </w:divBdr>
    </w:div>
    <w:div w:id="1860044356">
      <w:bodyDiv w:val="1"/>
      <w:marLeft w:val="0"/>
      <w:marRight w:val="0"/>
      <w:marTop w:val="0"/>
      <w:marBottom w:val="0"/>
      <w:divBdr>
        <w:top w:val="none" w:sz="0" w:space="0" w:color="auto"/>
        <w:left w:val="none" w:sz="0" w:space="0" w:color="auto"/>
        <w:bottom w:val="none" w:sz="0" w:space="0" w:color="auto"/>
        <w:right w:val="none" w:sz="0" w:space="0" w:color="auto"/>
      </w:divBdr>
    </w:div>
    <w:div w:id="1952935425">
      <w:bodyDiv w:val="1"/>
      <w:marLeft w:val="0"/>
      <w:marRight w:val="0"/>
      <w:marTop w:val="0"/>
      <w:marBottom w:val="0"/>
      <w:divBdr>
        <w:top w:val="none" w:sz="0" w:space="0" w:color="auto"/>
        <w:left w:val="none" w:sz="0" w:space="0" w:color="auto"/>
        <w:bottom w:val="none" w:sz="0" w:space="0" w:color="auto"/>
        <w:right w:val="none" w:sz="0" w:space="0" w:color="auto"/>
      </w:divBdr>
    </w:div>
    <w:div w:id="211578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chart" Target="charts/chart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aniel.drillsma-milgrom@londoncouncils.gov.uk"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algdata.alg.gov.uk\CorporateKnowledge$\Policy%20and%20Public%20Affairs\Strategic%20Policy\Strategic%20Policy%20Areas\People-Life%20Chances%20and%20Opportunity\Welfare%20reform\2015%20Welfare%20Reform\Local%20Housing%20Allowance\Feb%20figures\In%20and%20out%20LHA%20since%20Apr%2011%20edi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London LHA caseloads</a:t>
            </a:r>
          </a:p>
        </c:rich>
      </c:tx>
      <c:layout/>
      <c:overlay val="0"/>
    </c:title>
    <c:autoTitleDeleted val="0"/>
    <c:plotArea>
      <c:layout/>
      <c:lineChart>
        <c:grouping val="standard"/>
        <c:varyColors val="0"/>
        <c:ser>
          <c:idx val="0"/>
          <c:order val="0"/>
          <c:tx>
            <c:strRef>
              <c:f>'Data Sheet'!$A$7</c:f>
              <c:strCache>
                <c:ptCount val="1"/>
                <c:pt idx="0">
                  <c:v>Outer London in-work</c:v>
                </c:pt>
              </c:strCache>
            </c:strRef>
          </c:tx>
          <c:marker>
            <c:symbol val="none"/>
          </c:marker>
          <c:cat>
            <c:numRef>
              <c:f>'Data Sheet'!$B$6:$AS$6</c:f>
              <c:numCache>
                <c:formatCode>mmm\-yy</c:formatCode>
                <c:ptCount val="44"/>
                <c:pt idx="0">
                  <c:v>40634</c:v>
                </c:pt>
                <c:pt idx="1">
                  <c:v>40664</c:v>
                </c:pt>
                <c:pt idx="2">
                  <c:v>40695</c:v>
                </c:pt>
                <c:pt idx="3">
                  <c:v>40725</c:v>
                </c:pt>
                <c:pt idx="4">
                  <c:v>40756</c:v>
                </c:pt>
                <c:pt idx="5">
                  <c:v>40787</c:v>
                </c:pt>
                <c:pt idx="6">
                  <c:v>40817</c:v>
                </c:pt>
                <c:pt idx="7">
                  <c:v>40848</c:v>
                </c:pt>
                <c:pt idx="8">
                  <c:v>40878</c:v>
                </c:pt>
                <c:pt idx="9">
                  <c:v>40909</c:v>
                </c:pt>
                <c:pt idx="10">
                  <c:v>40940</c:v>
                </c:pt>
                <c:pt idx="11">
                  <c:v>40969</c:v>
                </c:pt>
                <c:pt idx="12">
                  <c:v>41000</c:v>
                </c:pt>
                <c:pt idx="13">
                  <c:v>41030</c:v>
                </c:pt>
                <c:pt idx="14">
                  <c:v>41061</c:v>
                </c:pt>
                <c:pt idx="15">
                  <c:v>41091</c:v>
                </c:pt>
                <c:pt idx="16">
                  <c:v>41122</c:v>
                </c:pt>
                <c:pt idx="17">
                  <c:v>41153</c:v>
                </c:pt>
                <c:pt idx="18">
                  <c:v>41183</c:v>
                </c:pt>
                <c:pt idx="19">
                  <c:v>41214</c:v>
                </c:pt>
                <c:pt idx="20">
                  <c:v>41244</c:v>
                </c:pt>
                <c:pt idx="21">
                  <c:v>41275</c:v>
                </c:pt>
                <c:pt idx="22">
                  <c:v>41306</c:v>
                </c:pt>
                <c:pt idx="23">
                  <c:v>41334</c:v>
                </c:pt>
                <c:pt idx="24">
                  <c:v>41365</c:v>
                </c:pt>
                <c:pt idx="25">
                  <c:v>41395</c:v>
                </c:pt>
                <c:pt idx="26">
                  <c:v>41426</c:v>
                </c:pt>
                <c:pt idx="27">
                  <c:v>41456</c:v>
                </c:pt>
                <c:pt idx="28">
                  <c:v>41487</c:v>
                </c:pt>
                <c:pt idx="29">
                  <c:v>41518</c:v>
                </c:pt>
                <c:pt idx="30">
                  <c:v>41548</c:v>
                </c:pt>
                <c:pt idx="31">
                  <c:v>41579</c:v>
                </c:pt>
                <c:pt idx="32">
                  <c:v>41609</c:v>
                </c:pt>
                <c:pt idx="33">
                  <c:v>41640</c:v>
                </c:pt>
                <c:pt idx="34">
                  <c:v>41671</c:v>
                </c:pt>
                <c:pt idx="35">
                  <c:v>41699</c:v>
                </c:pt>
                <c:pt idx="36">
                  <c:v>41730</c:v>
                </c:pt>
                <c:pt idx="37">
                  <c:v>41760</c:v>
                </c:pt>
                <c:pt idx="38">
                  <c:v>41791</c:v>
                </c:pt>
                <c:pt idx="39">
                  <c:v>41821</c:v>
                </c:pt>
                <c:pt idx="40">
                  <c:v>41852</c:v>
                </c:pt>
                <c:pt idx="41">
                  <c:v>41883</c:v>
                </c:pt>
                <c:pt idx="42">
                  <c:v>41913</c:v>
                </c:pt>
                <c:pt idx="43">
                  <c:v>41944</c:v>
                </c:pt>
              </c:numCache>
            </c:numRef>
          </c:cat>
          <c:val>
            <c:numRef>
              <c:f>'Data Sheet'!$B$7:$AS$7</c:f>
              <c:numCache>
                <c:formatCode>General</c:formatCode>
                <c:ptCount val="44"/>
                <c:pt idx="0">
                  <c:v>49987</c:v>
                </c:pt>
                <c:pt idx="1">
                  <c:v>51446</c:v>
                </c:pt>
                <c:pt idx="2">
                  <c:v>52759</c:v>
                </c:pt>
                <c:pt idx="3">
                  <c:v>53827</c:v>
                </c:pt>
                <c:pt idx="4">
                  <c:v>54684</c:v>
                </c:pt>
                <c:pt idx="5">
                  <c:v>55534</c:v>
                </c:pt>
                <c:pt idx="6">
                  <c:v>56079</c:v>
                </c:pt>
                <c:pt idx="7">
                  <c:v>56974</c:v>
                </c:pt>
                <c:pt idx="8">
                  <c:v>58263</c:v>
                </c:pt>
                <c:pt idx="9">
                  <c:v>59416</c:v>
                </c:pt>
                <c:pt idx="10">
                  <c:v>60282</c:v>
                </c:pt>
                <c:pt idx="11">
                  <c:v>60972</c:v>
                </c:pt>
                <c:pt idx="12">
                  <c:v>61725</c:v>
                </c:pt>
                <c:pt idx="13">
                  <c:v>62525</c:v>
                </c:pt>
                <c:pt idx="14">
                  <c:v>63449</c:v>
                </c:pt>
                <c:pt idx="15">
                  <c:v>64149</c:v>
                </c:pt>
                <c:pt idx="16">
                  <c:v>65227</c:v>
                </c:pt>
                <c:pt idx="17">
                  <c:v>65842</c:v>
                </c:pt>
                <c:pt idx="18">
                  <c:v>66645</c:v>
                </c:pt>
                <c:pt idx="19">
                  <c:v>67635</c:v>
                </c:pt>
                <c:pt idx="20">
                  <c:v>68969</c:v>
                </c:pt>
                <c:pt idx="21">
                  <c:v>69891</c:v>
                </c:pt>
                <c:pt idx="22">
                  <c:v>70514</c:v>
                </c:pt>
                <c:pt idx="23">
                  <c:v>70774</c:v>
                </c:pt>
                <c:pt idx="24">
                  <c:v>71556</c:v>
                </c:pt>
                <c:pt idx="25">
                  <c:v>73187</c:v>
                </c:pt>
                <c:pt idx="26">
                  <c:v>73892</c:v>
                </c:pt>
                <c:pt idx="27">
                  <c:v>74930</c:v>
                </c:pt>
                <c:pt idx="28">
                  <c:v>76343</c:v>
                </c:pt>
                <c:pt idx="29">
                  <c:v>77261</c:v>
                </c:pt>
                <c:pt idx="30">
                  <c:v>78208</c:v>
                </c:pt>
                <c:pt idx="31">
                  <c:v>79100</c:v>
                </c:pt>
                <c:pt idx="32">
                  <c:v>80634</c:v>
                </c:pt>
                <c:pt idx="33">
                  <c:v>81530</c:v>
                </c:pt>
                <c:pt idx="34">
                  <c:v>82089</c:v>
                </c:pt>
                <c:pt idx="35">
                  <c:v>82420</c:v>
                </c:pt>
                <c:pt idx="36">
                  <c:v>82887</c:v>
                </c:pt>
                <c:pt idx="37">
                  <c:v>83573</c:v>
                </c:pt>
                <c:pt idx="38">
                  <c:v>84647</c:v>
                </c:pt>
                <c:pt idx="39">
                  <c:v>85436</c:v>
                </c:pt>
                <c:pt idx="40">
                  <c:v>85908</c:v>
                </c:pt>
                <c:pt idx="41">
                  <c:v>86379</c:v>
                </c:pt>
                <c:pt idx="42">
                  <c:v>86909</c:v>
                </c:pt>
                <c:pt idx="43">
                  <c:v>87393</c:v>
                </c:pt>
              </c:numCache>
            </c:numRef>
          </c:val>
          <c:smooth val="0"/>
        </c:ser>
        <c:ser>
          <c:idx val="1"/>
          <c:order val="1"/>
          <c:tx>
            <c:strRef>
              <c:f>'Data Sheet'!$A$9</c:f>
              <c:strCache>
                <c:ptCount val="1"/>
                <c:pt idx="0">
                  <c:v>Inner London in-work</c:v>
                </c:pt>
              </c:strCache>
            </c:strRef>
          </c:tx>
          <c:marker>
            <c:symbol val="none"/>
          </c:marker>
          <c:cat>
            <c:numRef>
              <c:f>'Data Sheet'!$B$6:$AS$6</c:f>
              <c:numCache>
                <c:formatCode>mmm\-yy</c:formatCode>
                <c:ptCount val="44"/>
                <c:pt idx="0">
                  <c:v>40634</c:v>
                </c:pt>
                <c:pt idx="1">
                  <c:v>40664</c:v>
                </c:pt>
                <c:pt idx="2">
                  <c:v>40695</c:v>
                </c:pt>
                <c:pt idx="3">
                  <c:v>40725</c:v>
                </c:pt>
                <c:pt idx="4">
                  <c:v>40756</c:v>
                </c:pt>
                <c:pt idx="5">
                  <c:v>40787</c:v>
                </c:pt>
                <c:pt idx="6">
                  <c:v>40817</c:v>
                </c:pt>
                <c:pt idx="7">
                  <c:v>40848</c:v>
                </c:pt>
                <c:pt idx="8">
                  <c:v>40878</c:v>
                </c:pt>
                <c:pt idx="9">
                  <c:v>40909</c:v>
                </c:pt>
                <c:pt idx="10">
                  <c:v>40940</c:v>
                </c:pt>
                <c:pt idx="11">
                  <c:v>40969</c:v>
                </c:pt>
                <c:pt idx="12">
                  <c:v>41000</c:v>
                </c:pt>
                <c:pt idx="13">
                  <c:v>41030</c:v>
                </c:pt>
                <c:pt idx="14">
                  <c:v>41061</c:v>
                </c:pt>
                <c:pt idx="15">
                  <c:v>41091</c:v>
                </c:pt>
                <c:pt idx="16">
                  <c:v>41122</c:v>
                </c:pt>
                <c:pt idx="17">
                  <c:v>41153</c:v>
                </c:pt>
                <c:pt idx="18">
                  <c:v>41183</c:v>
                </c:pt>
                <c:pt idx="19">
                  <c:v>41214</c:v>
                </c:pt>
                <c:pt idx="20">
                  <c:v>41244</c:v>
                </c:pt>
                <c:pt idx="21">
                  <c:v>41275</c:v>
                </c:pt>
                <c:pt idx="22">
                  <c:v>41306</c:v>
                </c:pt>
                <c:pt idx="23">
                  <c:v>41334</c:v>
                </c:pt>
                <c:pt idx="24">
                  <c:v>41365</c:v>
                </c:pt>
                <c:pt idx="25">
                  <c:v>41395</c:v>
                </c:pt>
                <c:pt idx="26">
                  <c:v>41426</c:v>
                </c:pt>
                <c:pt idx="27">
                  <c:v>41456</c:v>
                </c:pt>
                <c:pt idx="28">
                  <c:v>41487</c:v>
                </c:pt>
                <c:pt idx="29">
                  <c:v>41518</c:v>
                </c:pt>
                <c:pt idx="30">
                  <c:v>41548</c:v>
                </c:pt>
                <c:pt idx="31">
                  <c:v>41579</c:v>
                </c:pt>
                <c:pt idx="32">
                  <c:v>41609</c:v>
                </c:pt>
                <c:pt idx="33">
                  <c:v>41640</c:v>
                </c:pt>
                <c:pt idx="34">
                  <c:v>41671</c:v>
                </c:pt>
                <c:pt idx="35">
                  <c:v>41699</c:v>
                </c:pt>
                <c:pt idx="36">
                  <c:v>41730</c:v>
                </c:pt>
                <c:pt idx="37">
                  <c:v>41760</c:v>
                </c:pt>
                <c:pt idx="38">
                  <c:v>41791</c:v>
                </c:pt>
                <c:pt idx="39">
                  <c:v>41821</c:v>
                </c:pt>
                <c:pt idx="40">
                  <c:v>41852</c:v>
                </c:pt>
                <c:pt idx="41">
                  <c:v>41883</c:v>
                </c:pt>
                <c:pt idx="42">
                  <c:v>41913</c:v>
                </c:pt>
                <c:pt idx="43">
                  <c:v>41944</c:v>
                </c:pt>
              </c:numCache>
            </c:numRef>
          </c:cat>
          <c:val>
            <c:numRef>
              <c:f>'Data Sheet'!$B$9:$AS$9</c:f>
              <c:numCache>
                <c:formatCode>General</c:formatCode>
                <c:ptCount val="44"/>
                <c:pt idx="0">
                  <c:v>30458</c:v>
                </c:pt>
                <c:pt idx="1">
                  <c:v>31051</c:v>
                </c:pt>
                <c:pt idx="2">
                  <c:v>31608</c:v>
                </c:pt>
                <c:pt idx="3">
                  <c:v>31869</c:v>
                </c:pt>
                <c:pt idx="4">
                  <c:v>33296</c:v>
                </c:pt>
                <c:pt idx="5">
                  <c:v>33764</c:v>
                </c:pt>
                <c:pt idx="6">
                  <c:v>33606</c:v>
                </c:pt>
                <c:pt idx="7">
                  <c:v>34027</c:v>
                </c:pt>
                <c:pt idx="8">
                  <c:v>34685</c:v>
                </c:pt>
                <c:pt idx="9">
                  <c:v>34698</c:v>
                </c:pt>
                <c:pt idx="10">
                  <c:v>34901</c:v>
                </c:pt>
                <c:pt idx="11">
                  <c:v>34913</c:v>
                </c:pt>
                <c:pt idx="12">
                  <c:v>35050</c:v>
                </c:pt>
                <c:pt idx="13">
                  <c:v>35323</c:v>
                </c:pt>
                <c:pt idx="14">
                  <c:v>35718</c:v>
                </c:pt>
                <c:pt idx="15">
                  <c:v>35758</c:v>
                </c:pt>
                <c:pt idx="16">
                  <c:v>36003</c:v>
                </c:pt>
                <c:pt idx="17">
                  <c:v>35955</c:v>
                </c:pt>
                <c:pt idx="18">
                  <c:v>36052</c:v>
                </c:pt>
                <c:pt idx="19">
                  <c:v>36352</c:v>
                </c:pt>
                <c:pt idx="20">
                  <c:v>36749</c:v>
                </c:pt>
                <c:pt idx="21">
                  <c:v>37085</c:v>
                </c:pt>
                <c:pt idx="22">
                  <c:v>37351</c:v>
                </c:pt>
                <c:pt idx="23">
                  <c:v>37312</c:v>
                </c:pt>
                <c:pt idx="24">
                  <c:v>37501</c:v>
                </c:pt>
                <c:pt idx="25">
                  <c:v>38291</c:v>
                </c:pt>
                <c:pt idx="26">
                  <c:v>38440</c:v>
                </c:pt>
                <c:pt idx="27">
                  <c:v>38820</c:v>
                </c:pt>
                <c:pt idx="28">
                  <c:v>39352</c:v>
                </c:pt>
                <c:pt idx="29">
                  <c:v>39551</c:v>
                </c:pt>
                <c:pt idx="30">
                  <c:v>39911</c:v>
                </c:pt>
                <c:pt idx="31">
                  <c:v>40252</c:v>
                </c:pt>
                <c:pt idx="32">
                  <c:v>40913</c:v>
                </c:pt>
                <c:pt idx="33">
                  <c:v>41281</c:v>
                </c:pt>
                <c:pt idx="34">
                  <c:v>41482</c:v>
                </c:pt>
                <c:pt idx="35">
                  <c:v>41494</c:v>
                </c:pt>
                <c:pt idx="36">
                  <c:v>41383</c:v>
                </c:pt>
                <c:pt idx="37">
                  <c:v>41726</c:v>
                </c:pt>
                <c:pt idx="38">
                  <c:v>41954</c:v>
                </c:pt>
                <c:pt idx="39">
                  <c:v>42458</c:v>
                </c:pt>
                <c:pt idx="40">
                  <c:v>42487</c:v>
                </c:pt>
                <c:pt idx="41">
                  <c:v>42708</c:v>
                </c:pt>
                <c:pt idx="42">
                  <c:v>42983</c:v>
                </c:pt>
                <c:pt idx="43">
                  <c:v>42910</c:v>
                </c:pt>
              </c:numCache>
            </c:numRef>
          </c:val>
          <c:smooth val="0"/>
        </c:ser>
        <c:ser>
          <c:idx val="2"/>
          <c:order val="2"/>
          <c:tx>
            <c:strRef>
              <c:f>'Data Sheet'!$A$8</c:f>
              <c:strCache>
                <c:ptCount val="1"/>
                <c:pt idx="0">
                  <c:v>Outer London out-of-work</c:v>
                </c:pt>
              </c:strCache>
            </c:strRef>
          </c:tx>
          <c:spPr>
            <a:ln>
              <a:solidFill>
                <a:schemeClr val="accent1">
                  <a:lumMod val="40000"/>
                  <a:lumOff val="60000"/>
                </a:schemeClr>
              </a:solidFill>
            </a:ln>
          </c:spPr>
          <c:marker>
            <c:symbol val="none"/>
          </c:marker>
          <c:cat>
            <c:numRef>
              <c:f>'Data Sheet'!$B$6:$AS$6</c:f>
              <c:numCache>
                <c:formatCode>mmm\-yy</c:formatCode>
                <c:ptCount val="44"/>
                <c:pt idx="0">
                  <c:v>40634</c:v>
                </c:pt>
                <c:pt idx="1">
                  <c:v>40664</c:v>
                </c:pt>
                <c:pt idx="2">
                  <c:v>40695</c:v>
                </c:pt>
                <c:pt idx="3">
                  <c:v>40725</c:v>
                </c:pt>
                <c:pt idx="4">
                  <c:v>40756</c:v>
                </c:pt>
                <c:pt idx="5">
                  <c:v>40787</c:v>
                </c:pt>
                <c:pt idx="6">
                  <c:v>40817</c:v>
                </c:pt>
                <c:pt idx="7">
                  <c:v>40848</c:v>
                </c:pt>
                <c:pt idx="8">
                  <c:v>40878</c:v>
                </c:pt>
                <c:pt idx="9">
                  <c:v>40909</c:v>
                </c:pt>
                <c:pt idx="10">
                  <c:v>40940</c:v>
                </c:pt>
                <c:pt idx="11">
                  <c:v>40969</c:v>
                </c:pt>
                <c:pt idx="12">
                  <c:v>41000</c:v>
                </c:pt>
                <c:pt idx="13">
                  <c:v>41030</c:v>
                </c:pt>
                <c:pt idx="14">
                  <c:v>41061</c:v>
                </c:pt>
                <c:pt idx="15">
                  <c:v>41091</c:v>
                </c:pt>
                <c:pt idx="16">
                  <c:v>41122</c:v>
                </c:pt>
                <c:pt idx="17">
                  <c:v>41153</c:v>
                </c:pt>
                <c:pt idx="18">
                  <c:v>41183</c:v>
                </c:pt>
                <c:pt idx="19">
                  <c:v>41214</c:v>
                </c:pt>
                <c:pt idx="20">
                  <c:v>41244</c:v>
                </c:pt>
                <c:pt idx="21">
                  <c:v>41275</c:v>
                </c:pt>
                <c:pt idx="22">
                  <c:v>41306</c:v>
                </c:pt>
                <c:pt idx="23">
                  <c:v>41334</c:v>
                </c:pt>
                <c:pt idx="24">
                  <c:v>41365</c:v>
                </c:pt>
                <c:pt idx="25">
                  <c:v>41395</c:v>
                </c:pt>
                <c:pt idx="26">
                  <c:v>41426</c:v>
                </c:pt>
                <c:pt idx="27">
                  <c:v>41456</c:v>
                </c:pt>
                <c:pt idx="28">
                  <c:v>41487</c:v>
                </c:pt>
                <c:pt idx="29">
                  <c:v>41518</c:v>
                </c:pt>
                <c:pt idx="30">
                  <c:v>41548</c:v>
                </c:pt>
                <c:pt idx="31">
                  <c:v>41579</c:v>
                </c:pt>
                <c:pt idx="32">
                  <c:v>41609</c:v>
                </c:pt>
                <c:pt idx="33">
                  <c:v>41640</c:v>
                </c:pt>
                <c:pt idx="34">
                  <c:v>41671</c:v>
                </c:pt>
                <c:pt idx="35">
                  <c:v>41699</c:v>
                </c:pt>
                <c:pt idx="36">
                  <c:v>41730</c:v>
                </c:pt>
                <c:pt idx="37">
                  <c:v>41760</c:v>
                </c:pt>
                <c:pt idx="38">
                  <c:v>41791</c:v>
                </c:pt>
                <c:pt idx="39">
                  <c:v>41821</c:v>
                </c:pt>
                <c:pt idx="40">
                  <c:v>41852</c:v>
                </c:pt>
                <c:pt idx="41">
                  <c:v>41883</c:v>
                </c:pt>
                <c:pt idx="42">
                  <c:v>41913</c:v>
                </c:pt>
                <c:pt idx="43">
                  <c:v>41944</c:v>
                </c:pt>
              </c:numCache>
            </c:numRef>
          </c:cat>
          <c:val>
            <c:numRef>
              <c:f>'Data Sheet'!$B$8:$AS$8</c:f>
              <c:numCache>
                <c:formatCode>General</c:formatCode>
                <c:ptCount val="44"/>
                <c:pt idx="0">
                  <c:v>72450</c:v>
                </c:pt>
                <c:pt idx="1">
                  <c:v>73512</c:v>
                </c:pt>
                <c:pt idx="2">
                  <c:v>74496</c:v>
                </c:pt>
                <c:pt idx="3">
                  <c:v>74528</c:v>
                </c:pt>
                <c:pt idx="4">
                  <c:v>75093</c:v>
                </c:pt>
                <c:pt idx="5">
                  <c:v>75657</c:v>
                </c:pt>
                <c:pt idx="6">
                  <c:v>75962</c:v>
                </c:pt>
                <c:pt idx="7">
                  <c:v>76551</c:v>
                </c:pt>
                <c:pt idx="8">
                  <c:v>76676</c:v>
                </c:pt>
                <c:pt idx="9">
                  <c:v>77415</c:v>
                </c:pt>
                <c:pt idx="10">
                  <c:v>77988</c:v>
                </c:pt>
                <c:pt idx="11">
                  <c:v>78437</c:v>
                </c:pt>
                <c:pt idx="12">
                  <c:v>79022</c:v>
                </c:pt>
                <c:pt idx="13">
                  <c:v>78954</c:v>
                </c:pt>
                <c:pt idx="14">
                  <c:v>78997</c:v>
                </c:pt>
                <c:pt idx="15">
                  <c:v>78874</c:v>
                </c:pt>
                <c:pt idx="16">
                  <c:v>79086</c:v>
                </c:pt>
                <c:pt idx="17">
                  <c:v>78567</c:v>
                </c:pt>
                <c:pt idx="18">
                  <c:v>78506</c:v>
                </c:pt>
                <c:pt idx="19">
                  <c:v>78415</c:v>
                </c:pt>
                <c:pt idx="20">
                  <c:v>78151</c:v>
                </c:pt>
                <c:pt idx="21">
                  <c:v>78619</c:v>
                </c:pt>
                <c:pt idx="22">
                  <c:v>78928</c:v>
                </c:pt>
                <c:pt idx="23">
                  <c:v>78011</c:v>
                </c:pt>
                <c:pt idx="24">
                  <c:v>77877</c:v>
                </c:pt>
                <c:pt idx="25">
                  <c:v>77934</c:v>
                </c:pt>
                <c:pt idx="26">
                  <c:v>77279</c:v>
                </c:pt>
                <c:pt idx="27">
                  <c:v>76817</c:v>
                </c:pt>
                <c:pt idx="28">
                  <c:v>76630</c:v>
                </c:pt>
                <c:pt idx="29">
                  <c:v>75967</c:v>
                </c:pt>
                <c:pt idx="30">
                  <c:v>75219</c:v>
                </c:pt>
                <c:pt idx="31">
                  <c:v>74041</c:v>
                </c:pt>
                <c:pt idx="32">
                  <c:v>73441</c:v>
                </c:pt>
                <c:pt idx="33">
                  <c:v>73586</c:v>
                </c:pt>
                <c:pt idx="34">
                  <c:v>73394</c:v>
                </c:pt>
                <c:pt idx="35">
                  <c:v>72993</c:v>
                </c:pt>
                <c:pt idx="36">
                  <c:v>72174</c:v>
                </c:pt>
                <c:pt idx="37">
                  <c:v>71717</c:v>
                </c:pt>
                <c:pt idx="38">
                  <c:v>70838</c:v>
                </c:pt>
                <c:pt idx="39">
                  <c:v>70202</c:v>
                </c:pt>
                <c:pt idx="40">
                  <c:v>69431</c:v>
                </c:pt>
                <c:pt idx="41">
                  <c:v>68714</c:v>
                </c:pt>
                <c:pt idx="42">
                  <c:v>67842</c:v>
                </c:pt>
                <c:pt idx="43">
                  <c:v>66680</c:v>
                </c:pt>
              </c:numCache>
            </c:numRef>
          </c:val>
          <c:smooth val="0"/>
        </c:ser>
        <c:ser>
          <c:idx val="3"/>
          <c:order val="3"/>
          <c:tx>
            <c:strRef>
              <c:f>'Data Sheet'!$A$10</c:f>
              <c:strCache>
                <c:ptCount val="1"/>
                <c:pt idx="0">
                  <c:v>Inner London out-of-work</c:v>
                </c:pt>
              </c:strCache>
            </c:strRef>
          </c:tx>
          <c:spPr>
            <a:ln>
              <a:solidFill>
                <a:schemeClr val="accent2">
                  <a:lumMod val="40000"/>
                  <a:lumOff val="60000"/>
                </a:schemeClr>
              </a:solidFill>
            </a:ln>
          </c:spPr>
          <c:marker>
            <c:symbol val="none"/>
          </c:marker>
          <c:cat>
            <c:numRef>
              <c:f>'Data Sheet'!$B$6:$AS$6</c:f>
              <c:numCache>
                <c:formatCode>mmm\-yy</c:formatCode>
                <c:ptCount val="44"/>
                <c:pt idx="0">
                  <c:v>40634</c:v>
                </c:pt>
                <c:pt idx="1">
                  <c:v>40664</c:v>
                </c:pt>
                <c:pt idx="2">
                  <c:v>40695</c:v>
                </c:pt>
                <c:pt idx="3">
                  <c:v>40725</c:v>
                </c:pt>
                <c:pt idx="4">
                  <c:v>40756</c:v>
                </c:pt>
                <c:pt idx="5">
                  <c:v>40787</c:v>
                </c:pt>
                <c:pt idx="6">
                  <c:v>40817</c:v>
                </c:pt>
                <c:pt idx="7">
                  <c:v>40848</c:v>
                </c:pt>
                <c:pt idx="8">
                  <c:v>40878</c:v>
                </c:pt>
                <c:pt idx="9">
                  <c:v>40909</c:v>
                </c:pt>
                <c:pt idx="10">
                  <c:v>40940</c:v>
                </c:pt>
                <c:pt idx="11">
                  <c:v>40969</c:v>
                </c:pt>
                <c:pt idx="12">
                  <c:v>41000</c:v>
                </c:pt>
                <c:pt idx="13">
                  <c:v>41030</c:v>
                </c:pt>
                <c:pt idx="14">
                  <c:v>41061</c:v>
                </c:pt>
                <c:pt idx="15">
                  <c:v>41091</c:v>
                </c:pt>
                <c:pt idx="16">
                  <c:v>41122</c:v>
                </c:pt>
                <c:pt idx="17">
                  <c:v>41153</c:v>
                </c:pt>
                <c:pt idx="18">
                  <c:v>41183</c:v>
                </c:pt>
                <c:pt idx="19">
                  <c:v>41214</c:v>
                </c:pt>
                <c:pt idx="20">
                  <c:v>41244</c:v>
                </c:pt>
                <c:pt idx="21">
                  <c:v>41275</c:v>
                </c:pt>
                <c:pt idx="22">
                  <c:v>41306</c:v>
                </c:pt>
                <c:pt idx="23">
                  <c:v>41334</c:v>
                </c:pt>
                <c:pt idx="24">
                  <c:v>41365</c:v>
                </c:pt>
                <c:pt idx="25">
                  <c:v>41395</c:v>
                </c:pt>
                <c:pt idx="26">
                  <c:v>41426</c:v>
                </c:pt>
                <c:pt idx="27">
                  <c:v>41456</c:v>
                </c:pt>
                <c:pt idx="28">
                  <c:v>41487</c:v>
                </c:pt>
                <c:pt idx="29">
                  <c:v>41518</c:v>
                </c:pt>
                <c:pt idx="30">
                  <c:v>41548</c:v>
                </c:pt>
                <c:pt idx="31">
                  <c:v>41579</c:v>
                </c:pt>
                <c:pt idx="32">
                  <c:v>41609</c:v>
                </c:pt>
                <c:pt idx="33">
                  <c:v>41640</c:v>
                </c:pt>
                <c:pt idx="34">
                  <c:v>41671</c:v>
                </c:pt>
                <c:pt idx="35">
                  <c:v>41699</c:v>
                </c:pt>
                <c:pt idx="36">
                  <c:v>41730</c:v>
                </c:pt>
                <c:pt idx="37">
                  <c:v>41760</c:v>
                </c:pt>
                <c:pt idx="38">
                  <c:v>41791</c:v>
                </c:pt>
                <c:pt idx="39">
                  <c:v>41821</c:v>
                </c:pt>
                <c:pt idx="40">
                  <c:v>41852</c:v>
                </c:pt>
                <c:pt idx="41">
                  <c:v>41883</c:v>
                </c:pt>
                <c:pt idx="42">
                  <c:v>41913</c:v>
                </c:pt>
                <c:pt idx="43">
                  <c:v>41944</c:v>
                </c:pt>
              </c:numCache>
            </c:numRef>
          </c:cat>
          <c:val>
            <c:numRef>
              <c:f>'Data Sheet'!$B$10:$AS$10</c:f>
              <c:numCache>
                <c:formatCode>General</c:formatCode>
                <c:ptCount val="44"/>
                <c:pt idx="0">
                  <c:v>48325</c:v>
                </c:pt>
                <c:pt idx="1">
                  <c:v>48845</c:v>
                </c:pt>
                <c:pt idx="2">
                  <c:v>49385</c:v>
                </c:pt>
                <c:pt idx="3">
                  <c:v>49248</c:v>
                </c:pt>
                <c:pt idx="4">
                  <c:v>50823</c:v>
                </c:pt>
                <c:pt idx="5">
                  <c:v>51128</c:v>
                </c:pt>
                <c:pt idx="6">
                  <c:v>50952</c:v>
                </c:pt>
                <c:pt idx="7">
                  <c:v>50762</c:v>
                </c:pt>
                <c:pt idx="8">
                  <c:v>50875</c:v>
                </c:pt>
                <c:pt idx="9">
                  <c:v>50787</c:v>
                </c:pt>
                <c:pt idx="10">
                  <c:v>50824</c:v>
                </c:pt>
                <c:pt idx="11">
                  <c:v>50912</c:v>
                </c:pt>
                <c:pt idx="12">
                  <c:v>50345</c:v>
                </c:pt>
                <c:pt idx="13">
                  <c:v>50006</c:v>
                </c:pt>
                <c:pt idx="14">
                  <c:v>49456</c:v>
                </c:pt>
                <c:pt idx="15">
                  <c:v>48782</c:v>
                </c:pt>
                <c:pt idx="16">
                  <c:v>48502</c:v>
                </c:pt>
                <c:pt idx="17">
                  <c:v>47850</c:v>
                </c:pt>
                <c:pt idx="18">
                  <c:v>47782</c:v>
                </c:pt>
                <c:pt idx="19">
                  <c:v>47644</c:v>
                </c:pt>
                <c:pt idx="20">
                  <c:v>46995</c:v>
                </c:pt>
                <c:pt idx="21">
                  <c:v>46839</c:v>
                </c:pt>
                <c:pt idx="22">
                  <c:v>46742</c:v>
                </c:pt>
                <c:pt idx="23">
                  <c:v>45868</c:v>
                </c:pt>
                <c:pt idx="24">
                  <c:v>45460</c:v>
                </c:pt>
                <c:pt idx="25">
                  <c:v>45675</c:v>
                </c:pt>
                <c:pt idx="26">
                  <c:v>45123</c:v>
                </c:pt>
                <c:pt idx="27">
                  <c:v>44637</c:v>
                </c:pt>
                <c:pt idx="28">
                  <c:v>44287</c:v>
                </c:pt>
                <c:pt idx="29">
                  <c:v>43751</c:v>
                </c:pt>
                <c:pt idx="30">
                  <c:v>43179</c:v>
                </c:pt>
                <c:pt idx="31">
                  <c:v>42364</c:v>
                </c:pt>
                <c:pt idx="32">
                  <c:v>42048</c:v>
                </c:pt>
                <c:pt idx="33">
                  <c:v>41780</c:v>
                </c:pt>
                <c:pt idx="34">
                  <c:v>41514</c:v>
                </c:pt>
                <c:pt idx="35">
                  <c:v>40808</c:v>
                </c:pt>
                <c:pt idx="36">
                  <c:v>39984</c:v>
                </c:pt>
                <c:pt idx="37">
                  <c:v>39568</c:v>
                </c:pt>
                <c:pt idx="38">
                  <c:v>39345</c:v>
                </c:pt>
                <c:pt idx="39">
                  <c:v>38700</c:v>
                </c:pt>
                <c:pt idx="40">
                  <c:v>38161</c:v>
                </c:pt>
                <c:pt idx="41">
                  <c:v>37816</c:v>
                </c:pt>
                <c:pt idx="42">
                  <c:v>37074</c:v>
                </c:pt>
                <c:pt idx="43">
                  <c:v>36205</c:v>
                </c:pt>
              </c:numCache>
            </c:numRef>
          </c:val>
          <c:smooth val="0"/>
        </c:ser>
        <c:dLbls>
          <c:showLegendKey val="0"/>
          <c:showVal val="0"/>
          <c:showCatName val="0"/>
          <c:showSerName val="0"/>
          <c:showPercent val="0"/>
          <c:showBubbleSize val="0"/>
        </c:dLbls>
        <c:marker val="1"/>
        <c:smooth val="0"/>
        <c:axId val="161790208"/>
        <c:axId val="162183040"/>
      </c:lineChart>
      <c:dateAx>
        <c:axId val="161790208"/>
        <c:scaling>
          <c:orientation val="minMax"/>
        </c:scaling>
        <c:delete val="0"/>
        <c:axPos val="b"/>
        <c:numFmt formatCode="mmm\-yy" sourceLinked="1"/>
        <c:majorTickMark val="out"/>
        <c:minorTickMark val="none"/>
        <c:tickLblPos val="nextTo"/>
        <c:crossAx val="162183040"/>
        <c:crosses val="autoZero"/>
        <c:auto val="1"/>
        <c:lblOffset val="100"/>
        <c:baseTimeUnit val="months"/>
      </c:dateAx>
      <c:valAx>
        <c:axId val="162183040"/>
        <c:scaling>
          <c:orientation val="minMax"/>
        </c:scaling>
        <c:delete val="0"/>
        <c:axPos val="l"/>
        <c:majorGridlines/>
        <c:numFmt formatCode="General" sourceLinked="1"/>
        <c:majorTickMark val="out"/>
        <c:minorTickMark val="none"/>
        <c:tickLblPos val="nextTo"/>
        <c:crossAx val="161790208"/>
        <c:crosses val="autoZero"/>
        <c:crossBetween val="between"/>
      </c:valAx>
    </c:plotArea>
    <c:legend>
      <c:legendPos val="r"/>
      <c:layout>
        <c:manualLayout>
          <c:xMode val="edge"/>
          <c:yMode val="edge"/>
          <c:x val="0.69685956731136767"/>
          <c:y val="0.38287331019106485"/>
          <c:w val="0.2966679407792473"/>
          <c:h val="0.37910348285116047"/>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1507</TotalTime>
  <Pages>12</Pages>
  <Words>2726</Words>
  <Characters>14686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17378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Drillsma-Milgrom</dc:creator>
  <cp:lastModifiedBy>Daniel Drillsma-Milgrom</cp:lastModifiedBy>
  <cp:revision>5</cp:revision>
  <cp:lastPrinted>2015-03-05T16:10:00Z</cp:lastPrinted>
  <dcterms:created xsi:type="dcterms:W3CDTF">2015-02-25T11:29:00Z</dcterms:created>
  <dcterms:modified xsi:type="dcterms:W3CDTF">2015-03-05T16:42:00Z</dcterms:modified>
</cp:coreProperties>
</file>