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1" w:rightFromText="181" w:vertAnchor="page" w:horzAnchor="page" w:tblpX="795" w:tblpY="568"/>
        <w:tblOverlap w:val="never"/>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48"/>
      </w:tblGrid>
      <w:tr w:rsidR="00AC4090" w:rsidTr="00AC4090">
        <w:trPr>
          <w:cantSplit/>
          <w:trHeight w:val="624"/>
        </w:trPr>
        <w:bookmarkStart w:id="0" w:name="_GoBack" w:displacedByCustomXml="next"/>
        <w:bookmarkEnd w:id="0" w:displacedByCustomXml="next"/>
        <w:sdt>
          <w:sdtPr>
            <w:id w:val="-360744209"/>
            <w:placeholder>
              <w:docPart w:val="C2866AAFFE604A2CBB57BBBCC59F0007"/>
            </w:placeholder>
            <w:date w:fullDate="2015-01-16T00:00:00Z">
              <w:dateFormat w:val="dddd dd MMMM yyyy"/>
              <w:lid w:val="en-GB"/>
              <w:storeMappedDataAs w:val="dateTime"/>
              <w:calendar w:val="gregorian"/>
            </w:date>
          </w:sdtPr>
          <w:sdtEndPr/>
          <w:sdtContent>
            <w:tc>
              <w:tcPr>
                <w:tcW w:w="10148" w:type="dxa"/>
                <w:shd w:val="clear" w:color="auto" w:fill="522380" w:themeFill="accent1"/>
                <w:vAlign w:val="bottom"/>
              </w:tcPr>
              <w:p w:rsidR="00AC4090" w:rsidRPr="00514B1B" w:rsidRDefault="001B6083" w:rsidP="00AC4090">
                <w:pPr>
                  <w:pStyle w:val="DocDate"/>
                </w:pPr>
                <w:r>
                  <w:t>Friday 16 January 2015</w:t>
                </w:r>
              </w:p>
            </w:tc>
          </w:sdtContent>
        </w:sdt>
      </w:tr>
    </w:tbl>
    <w:tbl>
      <w:tblPr>
        <w:tblpPr w:leftFromText="181" w:rightFromText="181" w:vertAnchor="text" w:tblpY="-197"/>
        <w:tblOverlap w:val="never"/>
        <w:tblW w:w="10177" w:type="dxa"/>
        <w:tblLayout w:type="fixed"/>
        <w:tblCellMar>
          <w:left w:w="0" w:type="dxa"/>
          <w:right w:w="0" w:type="dxa"/>
        </w:tblCellMar>
        <w:tblLook w:val="04A0" w:firstRow="1" w:lastRow="0" w:firstColumn="1" w:lastColumn="0" w:noHBand="0" w:noVBand="1"/>
      </w:tblPr>
      <w:tblGrid>
        <w:gridCol w:w="397"/>
        <w:gridCol w:w="9780"/>
      </w:tblGrid>
      <w:tr w:rsidR="00EB21F3" w:rsidTr="00514B1B">
        <w:trPr>
          <w:cantSplit/>
          <w:trHeight w:hRule="exact" w:val="709"/>
        </w:trPr>
        <w:tc>
          <w:tcPr>
            <w:tcW w:w="397" w:type="dxa"/>
            <w:tcBorders>
              <w:bottom w:val="single" w:sz="48" w:space="0" w:color="522380" w:themeColor="accent1"/>
            </w:tcBorders>
            <w:tcMar>
              <w:bottom w:w="425" w:type="dxa"/>
            </w:tcMar>
          </w:tcPr>
          <w:p w:rsidR="00EB21F3" w:rsidRPr="00F114E9" w:rsidRDefault="00EB21F3" w:rsidP="00514B1B">
            <w:pPr>
              <w:pStyle w:val="Draft"/>
            </w:pPr>
          </w:p>
        </w:tc>
        <w:tc>
          <w:tcPr>
            <w:tcW w:w="9780" w:type="dxa"/>
            <w:tcBorders>
              <w:bottom w:val="single" w:sz="48" w:space="0" w:color="522380" w:themeColor="accent1"/>
            </w:tcBorders>
            <w:tcMar>
              <w:bottom w:w="425" w:type="dxa"/>
            </w:tcMar>
          </w:tcPr>
          <w:p w:rsidR="00EB21F3" w:rsidRPr="00F114E9" w:rsidRDefault="0023213A" w:rsidP="00514B1B">
            <w:pPr>
              <w:pStyle w:val="DocType"/>
              <w:framePr w:hSpace="0" w:wrap="auto" w:vAnchor="margin" w:yAlign="inline"/>
              <w:suppressOverlap w:val="0"/>
            </w:pPr>
            <w:r w:rsidRPr="0023213A">
              <w:t>Consultation Response</w:t>
            </w:r>
          </w:p>
        </w:tc>
      </w:tr>
      <w:tr w:rsidR="00EB21F3" w:rsidTr="005E318E">
        <w:trPr>
          <w:cantSplit/>
          <w:trHeight w:val="1897"/>
        </w:trPr>
        <w:tc>
          <w:tcPr>
            <w:tcW w:w="397" w:type="dxa"/>
            <w:tcBorders>
              <w:top w:val="single" w:sz="48" w:space="0" w:color="522380" w:themeColor="accent1"/>
              <w:bottom w:val="single" w:sz="48" w:space="0" w:color="522380" w:themeColor="accent1"/>
            </w:tcBorders>
            <w:tcMar>
              <w:top w:w="539" w:type="dxa"/>
              <w:bottom w:w="482" w:type="dxa"/>
            </w:tcMar>
          </w:tcPr>
          <w:p w:rsidR="00EB21F3" w:rsidRPr="00EB21F3" w:rsidRDefault="00EB21F3" w:rsidP="00514B1B">
            <w:pPr>
              <w:pStyle w:val="GraphicLeft"/>
            </w:pPr>
          </w:p>
        </w:tc>
        <w:tc>
          <w:tcPr>
            <w:tcW w:w="9780" w:type="dxa"/>
            <w:tcBorders>
              <w:top w:val="single" w:sz="48" w:space="0" w:color="522380" w:themeColor="accent1"/>
              <w:bottom w:val="single" w:sz="48" w:space="0" w:color="522380" w:themeColor="accent1"/>
            </w:tcBorders>
            <w:tcMar>
              <w:top w:w="539" w:type="dxa"/>
              <w:bottom w:w="482" w:type="dxa"/>
            </w:tcMar>
          </w:tcPr>
          <w:p w:rsidR="00CD33B2" w:rsidRPr="00CD33B2" w:rsidRDefault="00102D9A" w:rsidP="00EC6151">
            <w:pPr>
              <w:pStyle w:val="GraphicLeft"/>
              <w:spacing w:after="240"/>
              <w:rPr>
                <w:color w:val="522380" w:themeColor="accent1"/>
                <w:sz w:val="40"/>
                <w:szCs w:val="40"/>
              </w:rPr>
            </w:pPr>
            <w:r>
              <w:rPr>
                <w:color w:val="522380" w:themeColor="accent1"/>
                <w:sz w:val="40"/>
                <w:szCs w:val="40"/>
              </w:rPr>
              <w:t xml:space="preserve">Distribution of Discretionary Housing Payments funding in </w:t>
            </w:r>
            <w:r w:rsidR="007A16E5">
              <w:rPr>
                <w:color w:val="522380" w:themeColor="accent1"/>
                <w:sz w:val="40"/>
                <w:szCs w:val="40"/>
              </w:rPr>
              <w:t>2015-16</w:t>
            </w:r>
          </w:p>
          <w:p w:rsidR="00514B1B" w:rsidRPr="00EB21F3" w:rsidRDefault="00CD33B2" w:rsidP="00CD33B2">
            <w:pPr>
              <w:pStyle w:val="DocTitle"/>
            </w:pPr>
            <w:r w:rsidRPr="00CD33B2">
              <w:t>Response by London Councils</w:t>
            </w:r>
          </w:p>
        </w:tc>
      </w:tr>
    </w:tbl>
    <w:tbl>
      <w:tblPr>
        <w:tblStyle w:val="LondonCouncils"/>
        <w:tblW w:w="10177" w:type="dxa"/>
        <w:tblInd w:w="85" w:type="dxa"/>
        <w:tblLayout w:type="fixed"/>
        <w:tblLook w:val="0600" w:firstRow="0" w:lastRow="0" w:firstColumn="0" w:lastColumn="0" w:noHBand="1" w:noVBand="1"/>
      </w:tblPr>
      <w:tblGrid>
        <w:gridCol w:w="397"/>
        <w:gridCol w:w="9384"/>
        <w:gridCol w:w="396"/>
      </w:tblGrid>
      <w:tr w:rsidR="00B34F65" w:rsidRPr="00EA414C" w:rsidTr="00EC4C97">
        <w:trPr>
          <w:trHeight w:hRule="exact" w:val="113"/>
        </w:trPr>
        <w:tc>
          <w:tcPr>
            <w:tcW w:w="397" w:type="dxa"/>
          </w:tcPr>
          <w:p w:rsidR="00B34F65" w:rsidRPr="00EA414C" w:rsidRDefault="00B34F65" w:rsidP="00C9067D">
            <w:pPr>
              <w:pStyle w:val="Spacer"/>
              <w:jc w:val="both"/>
            </w:pPr>
          </w:p>
        </w:tc>
        <w:tc>
          <w:tcPr>
            <w:tcW w:w="9384" w:type="dxa"/>
          </w:tcPr>
          <w:p w:rsidR="00B34F65" w:rsidRPr="00EA414C" w:rsidRDefault="00B34F65" w:rsidP="00C9067D">
            <w:pPr>
              <w:pStyle w:val="Spacer"/>
              <w:jc w:val="both"/>
            </w:pPr>
          </w:p>
        </w:tc>
        <w:tc>
          <w:tcPr>
            <w:tcW w:w="396" w:type="dxa"/>
          </w:tcPr>
          <w:p w:rsidR="00B34F65" w:rsidRPr="00EA414C" w:rsidRDefault="00B34F65" w:rsidP="00C9067D">
            <w:pPr>
              <w:pStyle w:val="Spacer"/>
              <w:jc w:val="both"/>
            </w:pPr>
          </w:p>
        </w:tc>
      </w:tr>
      <w:tr w:rsidR="00B34F65" w:rsidRPr="00EA414C" w:rsidTr="00B34F65">
        <w:trPr>
          <w:trHeight w:val="283"/>
        </w:trPr>
        <w:tc>
          <w:tcPr>
            <w:tcW w:w="397" w:type="dxa"/>
          </w:tcPr>
          <w:p w:rsidR="00B34F65" w:rsidRPr="00EA414C" w:rsidRDefault="00B34F65" w:rsidP="00C9067D">
            <w:pPr>
              <w:pStyle w:val="TableTextLeft"/>
              <w:jc w:val="both"/>
            </w:pPr>
          </w:p>
        </w:tc>
        <w:tc>
          <w:tcPr>
            <w:tcW w:w="9384" w:type="dxa"/>
          </w:tcPr>
          <w:p w:rsidR="00EC4C97" w:rsidRPr="00EA414C" w:rsidRDefault="00DD3EFF" w:rsidP="00C9067D">
            <w:pPr>
              <w:pStyle w:val="HighlightText"/>
              <w:jc w:val="both"/>
            </w:pPr>
            <w:r w:rsidRPr="00DD3EFF">
              <w:t>London Councils represents London’s 32 borough councils and the City of London. It is a cross party organisation that works on behalf of all its member authorities regardless of political persuasion.</w:t>
            </w:r>
          </w:p>
        </w:tc>
        <w:tc>
          <w:tcPr>
            <w:tcW w:w="396" w:type="dxa"/>
          </w:tcPr>
          <w:p w:rsidR="00B34F65" w:rsidRPr="00EA414C" w:rsidRDefault="00B34F65" w:rsidP="00C9067D">
            <w:pPr>
              <w:pStyle w:val="TableTextLeft"/>
              <w:jc w:val="both"/>
            </w:pPr>
          </w:p>
        </w:tc>
      </w:tr>
      <w:tr w:rsidR="00B34F65" w:rsidRPr="00EA414C" w:rsidTr="00EC4C97">
        <w:trPr>
          <w:trHeight w:hRule="exact" w:val="170"/>
        </w:trPr>
        <w:tc>
          <w:tcPr>
            <w:tcW w:w="397" w:type="dxa"/>
          </w:tcPr>
          <w:p w:rsidR="00B34F65" w:rsidRPr="00EA414C" w:rsidRDefault="00B34F65" w:rsidP="00C9067D">
            <w:pPr>
              <w:pStyle w:val="Spacer"/>
              <w:jc w:val="both"/>
            </w:pPr>
          </w:p>
        </w:tc>
        <w:tc>
          <w:tcPr>
            <w:tcW w:w="9384" w:type="dxa"/>
          </w:tcPr>
          <w:p w:rsidR="00B34F65" w:rsidRPr="00EA414C" w:rsidRDefault="00B34F65" w:rsidP="00C9067D">
            <w:pPr>
              <w:pStyle w:val="Spacer"/>
              <w:jc w:val="both"/>
            </w:pPr>
          </w:p>
        </w:tc>
        <w:tc>
          <w:tcPr>
            <w:tcW w:w="396" w:type="dxa"/>
          </w:tcPr>
          <w:p w:rsidR="00B34F65" w:rsidRPr="00EA414C" w:rsidRDefault="00B34F65" w:rsidP="00C9067D">
            <w:pPr>
              <w:pStyle w:val="Spacer"/>
              <w:jc w:val="both"/>
            </w:pPr>
          </w:p>
        </w:tc>
      </w:tr>
    </w:tbl>
    <w:p w:rsidR="00CD33B2" w:rsidRPr="00CD33B2" w:rsidRDefault="00102D9A" w:rsidP="005E318E">
      <w:pPr>
        <w:pStyle w:val="Heading1"/>
        <w:spacing w:before="720"/>
        <w:jc w:val="both"/>
      </w:pPr>
      <w:r>
        <w:t>Summary</w:t>
      </w:r>
    </w:p>
    <w:p w:rsidR="00496077" w:rsidRPr="00496077" w:rsidRDefault="00496077" w:rsidP="00496077">
      <w:pPr>
        <w:pStyle w:val="ListParagraph"/>
        <w:numPr>
          <w:ilvl w:val="0"/>
          <w:numId w:val="7"/>
        </w:numPr>
        <w:rPr>
          <w:sz w:val="20"/>
          <w:szCs w:val="20"/>
        </w:rPr>
      </w:pPr>
      <w:r w:rsidRPr="00496077">
        <w:rPr>
          <w:sz w:val="20"/>
          <w:szCs w:val="20"/>
        </w:rPr>
        <w:t>London Councils welcomes the opportunity to comment on the Government’s proposed contribution towards funding for Discretionary Housing Payments (DHP) in 2015-16. We are extremely concerned that the decision to cut overall funding from £165m to £125m, at a time when DHP funding for the Social Sector Size Criteria is maintained at £60m, will have the effect of causing funding for London boroughs to be disproportionately cut. This would come at a time when DHPs are playing a crucial role in supporting large numbers of London households affected by recent welfare reforms such as the Benefit Cap.</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London Councils is concerned the effect of cutting funding in the manner proposed could increase the pressure on borough housing services at a time when the number of households in temporary accommodation is increasing. We call for the Government to maintain funding for the element linked to the Benefit Cap at current levels. At the very least, London boroughs should not see their allocations cut by a greater extent than the rest of the country.</w:t>
      </w:r>
    </w:p>
    <w:p w:rsidR="00102D9A" w:rsidRDefault="00102D9A" w:rsidP="00FE244B">
      <w:pPr>
        <w:pStyle w:val="Heading1"/>
        <w:spacing w:before="0"/>
      </w:pPr>
    </w:p>
    <w:p w:rsidR="00257BC8" w:rsidRPr="00257BC8" w:rsidRDefault="00496077" w:rsidP="00FE244B">
      <w:pPr>
        <w:pStyle w:val="Heading1"/>
        <w:spacing w:before="0"/>
      </w:pPr>
      <w:r>
        <w:t>Effect on London</w:t>
      </w:r>
    </w:p>
    <w:p w:rsidR="00496077" w:rsidRPr="00496077" w:rsidRDefault="00496077" w:rsidP="00496077">
      <w:pPr>
        <w:pStyle w:val="ListParagraph"/>
        <w:numPr>
          <w:ilvl w:val="0"/>
          <w:numId w:val="7"/>
        </w:numPr>
        <w:rPr>
          <w:sz w:val="20"/>
          <w:szCs w:val="20"/>
        </w:rPr>
      </w:pPr>
      <w:r w:rsidRPr="00496077">
        <w:rPr>
          <w:sz w:val="20"/>
          <w:szCs w:val="20"/>
        </w:rPr>
        <w:t>London Councils welcomes the opportunity to comment on the Government’s proposed contribution towards funding for DHPs in 2015-16. Whilst we recognise that comments have been invited on the two specific options outlined in the official paper circulated on 6</w:t>
      </w:r>
      <w:r w:rsidRPr="00496077">
        <w:rPr>
          <w:sz w:val="20"/>
          <w:szCs w:val="20"/>
          <w:vertAlign w:val="superscript"/>
        </w:rPr>
        <w:t>th</w:t>
      </w:r>
      <w:r w:rsidRPr="00496077">
        <w:rPr>
          <w:sz w:val="20"/>
          <w:szCs w:val="20"/>
        </w:rPr>
        <w:t xml:space="preserve"> January, the overall approach to funding DHPs that the department proposed to take will have a significantly detrimental effect on London boroughs.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By cutting the Government’s overall contribution to DHP funding from £165m in 2014-15 to £125m in 2015-16 whilst protecting funding for the element linked to the Social Sector Size Criteria/Removal of the </w:t>
      </w:r>
      <w:r w:rsidRPr="00496077">
        <w:rPr>
          <w:sz w:val="20"/>
          <w:szCs w:val="20"/>
        </w:rPr>
        <w:lastRenderedPageBreak/>
        <w:t xml:space="preserve">Spare Room Subsidy/Bedroom Tax (hereon referred to as the Social Sector Size Criteria), London will see a much larger cut – in both real and percentage terms – than any other region.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For example, </w:t>
      </w:r>
      <w:r w:rsidRPr="00496077">
        <w:rPr>
          <w:b/>
          <w:sz w:val="20"/>
          <w:szCs w:val="20"/>
        </w:rPr>
        <w:t>whilst the Government’s overall contribution amounts to a 24% cut in 2015-16, in London this will be felt as at least a 33% cut</w:t>
      </w:r>
      <w:r w:rsidRPr="00496077">
        <w:rPr>
          <w:sz w:val="20"/>
          <w:szCs w:val="20"/>
        </w:rPr>
        <w:t>, depending on which option is followed.</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The cut to funding in 2015-16 follows cuts to the Government’s contribution this year which saw funding for London decrease whilst all other English regions enjoyed an increase.</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The chart below demonstrates the combined effect:</w:t>
      </w:r>
    </w:p>
    <w:p w:rsidR="00496077" w:rsidRDefault="00496077" w:rsidP="00496077"/>
    <w:tbl>
      <w:tblPr>
        <w:tblStyle w:val="TableGrid"/>
        <w:tblW w:w="0" w:type="auto"/>
        <w:tblLook w:val="04A0" w:firstRow="1" w:lastRow="0" w:firstColumn="1" w:lastColumn="0" w:noHBand="0" w:noVBand="1"/>
      </w:tblPr>
      <w:tblGrid>
        <w:gridCol w:w="1420"/>
        <w:gridCol w:w="1460"/>
        <w:gridCol w:w="1460"/>
        <w:gridCol w:w="1460"/>
        <w:gridCol w:w="1460"/>
        <w:gridCol w:w="240"/>
        <w:gridCol w:w="1255"/>
        <w:gridCol w:w="1229"/>
      </w:tblGrid>
      <w:tr w:rsidR="00496077" w:rsidRPr="00307177" w:rsidTr="00496077">
        <w:trPr>
          <w:trHeight w:val="765"/>
        </w:trPr>
        <w:tc>
          <w:tcPr>
            <w:tcW w:w="1420" w:type="dxa"/>
            <w:hideMark/>
          </w:tcPr>
          <w:p w:rsidR="00496077" w:rsidRPr="00307177" w:rsidRDefault="00496077" w:rsidP="00D05854">
            <w:r w:rsidRPr="00307177">
              <w:t>Region</w:t>
            </w:r>
          </w:p>
        </w:tc>
        <w:tc>
          <w:tcPr>
            <w:tcW w:w="1460" w:type="dxa"/>
            <w:hideMark/>
          </w:tcPr>
          <w:p w:rsidR="00496077" w:rsidRPr="00307177" w:rsidRDefault="00496077" w:rsidP="00D05854">
            <w:r w:rsidRPr="00307177">
              <w:t>2013-14 allocation, £</w:t>
            </w:r>
          </w:p>
        </w:tc>
        <w:tc>
          <w:tcPr>
            <w:tcW w:w="1460" w:type="dxa"/>
            <w:hideMark/>
          </w:tcPr>
          <w:p w:rsidR="00496077" w:rsidRPr="00307177" w:rsidRDefault="00496077" w:rsidP="00D05854">
            <w:r w:rsidRPr="00307177">
              <w:t>2014-15 allocation, £</w:t>
            </w:r>
          </w:p>
        </w:tc>
        <w:tc>
          <w:tcPr>
            <w:tcW w:w="1460" w:type="dxa"/>
            <w:hideMark/>
          </w:tcPr>
          <w:p w:rsidR="00496077" w:rsidRPr="00307177" w:rsidRDefault="00496077" w:rsidP="00D05854">
            <w:r w:rsidRPr="00307177">
              <w:t>2015-16 allocation (Option 'A'), £</w:t>
            </w:r>
          </w:p>
        </w:tc>
        <w:tc>
          <w:tcPr>
            <w:tcW w:w="1460" w:type="dxa"/>
            <w:hideMark/>
          </w:tcPr>
          <w:p w:rsidR="00496077" w:rsidRPr="00307177" w:rsidRDefault="00496077" w:rsidP="00D05854">
            <w:r w:rsidRPr="00307177">
              <w:t>2015-16 allocation (Option 'B'), £</w:t>
            </w:r>
          </w:p>
        </w:tc>
        <w:tc>
          <w:tcPr>
            <w:tcW w:w="240" w:type="dxa"/>
            <w:noWrap/>
            <w:hideMark/>
          </w:tcPr>
          <w:p w:rsidR="00496077" w:rsidRPr="00307177" w:rsidRDefault="00496077" w:rsidP="00D05854"/>
        </w:tc>
        <w:tc>
          <w:tcPr>
            <w:tcW w:w="1255" w:type="dxa"/>
            <w:hideMark/>
          </w:tcPr>
          <w:p w:rsidR="00496077" w:rsidRPr="00307177" w:rsidRDefault="00496077" w:rsidP="00D05854">
            <w:r w:rsidRPr="00307177">
              <w:t>% Change 2013-1</w:t>
            </w:r>
            <w:r>
              <w:t>5</w:t>
            </w:r>
            <w:r w:rsidRPr="00307177">
              <w:t xml:space="preserve"> (Option 'A')</w:t>
            </w:r>
          </w:p>
        </w:tc>
        <w:tc>
          <w:tcPr>
            <w:tcW w:w="1229" w:type="dxa"/>
            <w:hideMark/>
          </w:tcPr>
          <w:p w:rsidR="00496077" w:rsidRPr="00307177" w:rsidRDefault="00496077" w:rsidP="00D05854">
            <w:r w:rsidRPr="00307177">
              <w:t>% Change 2013-1</w:t>
            </w:r>
            <w:r>
              <w:t>5</w:t>
            </w:r>
            <w:r w:rsidRPr="00307177">
              <w:t xml:space="preserve"> (Option 'B')</w:t>
            </w:r>
          </w:p>
        </w:tc>
      </w:tr>
      <w:tr w:rsidR="00496077" w:rsidRPr="00307177" w:rsidTr="00496077">
        <w:trPr>
          <w:trHeight w:val="285"/>
        </w:trPr>
        <w:tc>
          <w:tcPr>
            <w:tcW w:w="1420" w:type="dxa"/>
            <w:noWrap/>
            <w:hideMark/>
          </w:tcPr>
          <w:p w:rsidR="00496077" w:rsidRPr="00307177" w:rsidRDefault="00496077" w:rsidP="00D05854">
            <w:r w:rsidRPr="00307177">
              <w:t>East Midlands</w:t>
            </w:r>
          </w:p>
        </w:tc>
        <w:tc>
          <w:tcPr>
            <w:tcW w:w="1460" w:type="dxa"/>
            <w:noWrap/>
            <w:hideMark/>
          </w:tcPr>
          <w:p w:rsidR="00496077" w:rsidRPr="00307177" w:rsidRDefault="00496077" w:rsidP="00D05854">
            <w:r w:rsidRPr="00307177">
              <w:t>6,565,867</w:t>
            </w:r>
          </w:p>
        </w:tc>
        <w:tc>
          <w:tcPr>
            <w:tcW w:w="1460" w:type="dxa"/>
            <w:noWrap/>
            <w:hideMark/>
          </w:tcPr>
          <w:p w:rsidR="00496077" w:rsidRPr="00307177" w:rsidRDefault="00496077" w:rsidP="00D05854">
            <w:r w:rsidRPr="00307177">
              <w:t>7,336,929</w:t>
            </w:r>
          </w:p>
        </w:tc>
        <w:tc>
          <w:tcPr>
            <w:tcW w:w="1460" w:type="dxa"/>
            <w:noWrap/>
            <w:hideMark/>
          </w:tcPr>
          <w:p w:rsidR="00496077" w:rsidRPr="00307177" w:rsidRDefault="00496077" w:rsidP="00D05854">
            <w:r w:rsidRPr="00307177">
              <w:t>6,199,435</w:t>
            </w:r>
          </w:p>
        </w:tc>
        <w:tc>
          <w:tcPr>
            <w:tcW w:w="1460" w:type="dxa"/>
            <w:noWrap/>
            <w:hideMark/>
          </w:tcPr>
          <w:p w:rsidR="00496077" w:rsidRPr="00307177" w:rsidRDefault="00496077" w:rsidP="00D05854">
            <w:r w:rsidRPr="00307177">
              <w:t>6,073,012</w:t>
            </w:r>
          </w:p>
        </w:tc>
        <w:tc>
          <w:tcPr>
            <w:tcW w:w="240" w:type="dxa"/>
            <w:noWrap/>
            <w:hideMark/>
          </w:tcPr>
          <w:p w:rsidR="00496077" w:rsidRPr="00307177" w:rsidRDefault="00496077" w:rsidP="00D05854"/>
        </w:tc>
        <w:tc>
          <w:tcPr>
            <w:tcW w:w="1255" w:type="dxa"/>
            <w:noWrap/>
            <w:hideMark/>
          </w:tcPr>
          <w:p w:rsidR="00496077" w:rsidRPr="00307177" w:rsidRDefault="00496077" w:rsidP="00D05854">
            <w:r w:rsidRPr="00307177">
              <w:t>-5.58%</w:t>
            </w:r>
          </w:p>
        </w:tc>
        <w:tc>
          <w:tcPr>
            <w:tcW w:w="1229" w:type="dxa"/>
            <w:noWrap/>
            <w:hideMark/>
          </w:tcPr>
          <w:p w:rsidR="00496077" w:rsidRPr="00307177" w:rsidRDefault="00496077" w:rsidP="00D05854">
            <w:r w:rsidRPr="00307177">
              <w:t>-7.51%</w:t>
            </w:r>
          </w:p>
        </w:tc>
      </w:tr>
      <w:tr w:rsidR="00496077" w:rsidRPr="00307177" w:rsidTr="00496077">
        <w:trPr>
          <w:trHeight w:val="285"/>
        </w:trPr>
        <w:tc>
          <w:tcPr>
            <w:tcW w:w="1420" w:type="dxa"/>
            <w:noWrap/>
            <w:hideMark/>
          </w:tcPr>
          <w:p w:rsidR="00496077" w:rsidRPr="00307177" w:rsidRDefault="00496077" w:rsidP="00D05854">
            <w:r w:rsidRPr="00307177">
              <w:t>Eastern</w:t>
            </w:r>
          </w:p>
        </w:tc>
        <w:tc>
          <w:tcPr>
            <w:tcW w:w="1460" w:type="dxa"/>
            <w:noWrap/>
            <w:hideMark/>
          </w:tcPr>
          <w:p w:rsidR="00496077" w:rsidRPr="00307177" w:rsidRDefault="00496077" w:rsidP="00D05854">
            <w:r w:rsidRPr="00307177">
              <w:t>10,230,011</w:t>
            </w:r>
          </w:p>
        </w:tc>
        <w:tc>
          <w:tcPr>
            <w:tcW w:w="1460" w:type="dxa"/>
            <w:noWrap/>
            <w:hideMark/>
          </w:tcPr>
          <w:p w:rsidR="00496077" w:rsidRPr="00307177" w:rsidRDefault="00496077" w:rsidP="00D05854">
            <w:r w:rsidRPr="00307177">
              <w:t>10,372,518</w:t>
            </w:r>
          </w:p>
        </w:tc>
        <w:tc>
          <w:tcPr>
            <w:tcW w:w="1460" w:type="dxa"/>
            <w:noWrap/>
            <w:hideMark/>
          </w:tcPr>
          <w:p w:rsidR="00496077" w:rsidRPr="00307177" w:rsidRDefault="00496077" w:rsidP="00D05854">
            <w:r w:rsidRPr="00307177">
              <w:t>7,907,841</w:t>
            </w:r>
          </w:p>
        </w:tc>
        <w:tc>
          <w:tcPr>
            <w:tcW w:w="1460" w:type="dxa"/>
            <w:noWrap/>
            <w:hideMark/>
          </w:tcPr>
          <w:p w:rsidR="00496077" w:rsidRPr="00307177" w:rsidRDefault="00496077" w:rsidP="00D05854">
            <w:r w:rsidRPr="00307177">
              <w:t>7,954,935</w:t>
            </w:r>
          </w:p>
        </w:tc>
        <w:tc>
          <w:tcPr>
            <w:tcW w:w="240" w:type="dxa"/>
            <w:noWrap/>
            <w:hideMark/>
          </w:tcPr>
          <w:p w:rsidR="00496077" w:rsidRPr="00307177" w:rsidRDefault="00496077" w:rsidP="00D05854"/>
        </w:tc>
        <w:tc>
          <w:tcPr>
            <w:tcW w:w="1255" w:type="dxa"/>
            <w:noWrap/>
            <w:hideMark/>
          </w:tcPr>
          <w:p w:rsidR="00496077" w:rsidRPr="00307177" w:rsidRDefault="00496077" w:rsidP="00D05854">
            <w:r w:rsidRPr="00307177">
              <w:t>-22.70%</w:t>
            </w:r>
          </w:p>
        </w:tc>
        <w:tc>
          <w:tcPr>
            <w:tcW w:w="1229" w:type="dxa"/>
            <w:noWrap/>
            <w:hideMark/>
          </w:tcPr>
          <w:p w:rsidR="00496077" w:rsidRPr="00307177" w:rsidRDefault="00496077" w:rsidP="00D05854">
            <w:r w:rsidRPr="00307177">
              <w:t>-22.24%</w:t>
            </w:r>
          </w:p>
        </w:tc>
      </w:tr>
      <w:tr w:rsidR="00496077" w:rsidRPr="00307177" w:rsidTr="00496077">
        <w:trPr>
          <w:trHeight w:val="285"/>
        </w:trPr>
        <w:tc>
          <w:tcPr>
            <w:tcW w:w="1420" w:type="dxa"/>
            <w:noWrap/>
            <w:hideMark/>
          </w:tcPr>
          <w:p w:rsidR="00496077" w:rsidRPr="00307177" w:rsidRDefault="00496077" w:rsidP="00D05854">
            <w:r w:rsidRPr="00307177">
              <w:t>North East</w:t>
            </w:r>
          </w:p>
        </w:tc>
        <w:tc>
          <w:tcPr>
            <w:tcW w:w="1460" w:type="dxa"/>
            <w:noWrap/>
            <w:hideMark/>
          </w:tcPr>
          <w:p w:rsidR="00496077" w:rsidRPr="00307177" w:rsidRDefault="00496077" w:rsidP="00D05854">
            <w:r w:rsidRPr="00307177">
              <w:t>5,382,375</w:t>
            </w:r>
          </w:p>
        </w:tc>
        <w:tc>
          <w:tcPr>
            <w:tcW w:w="1460" w:type="dxa"/>
            <w:noWrap/>
            <w:hideMark/>
          </w:tcPr>
          <w:p w:rsidR="00496077" w:rsidRPr="00307177" w:rsidRDefault="00496077" w:rsidP="00D05854">
            <w:r w:rsidRPr="00307177">
              <w:t>6,507,133</w:t>
            </w:r>
          </w:p>
        </w:tc>
        <w:tc>
          <w:tcPr>
            <w:tcW w:w="1460" w:type="dxa"/>
            <w:noWrap/>
            <w:hideMark/>
          </w:tcPr>
          <w:p w:rsidR="00496077" w:rsidRPr="00307177" w:rsidRDefault="00496077" w:rsidP="00D05854">
            <w:r w:rsidRPr="00307177">
              <w:t>5,898,965</w:t>
            </w:r>
          </w:p>
        </w:tc>
        <w:tc>
          <w:tcPr>
            <w:tcW w:w="1460" w:type="dxa"/>
            <w:noWrap/>
            <w:hideMark/>
          </w:tcPr>
          <w:p w:rsidR="00496077" w:rsidRPr="00307177" w:rsidRDefault="00496077" w:rsidP="00D05854">
            <w:r w:rsidRPr="00307177">
              <w:t>5,914,827</w:t>
            </w:r>
          </w:p>
        </w:tc>
        <w:tc>
          <w:tcPr>
            <w:tcW w:w="240" w:type="dxa"/>
            <w:noWrap/>
            <w:hideMark/>
          </w:tcPr>
          <w:p w:rsidR="00496077" w:rsidRPr="00307177" w:rsidRDefault="00496077" w:rsidP="00D05854"/>
        </w:tc>
        <w:tc>
          <w:tcPr>
            <w:tcW w:w="1255" w:type="dxa"/>
            <w:noWrap/>
            <w:hideMark/>
          </w:tcPr>
          <w:p w:rsidR="00496077" w:rsidRPr="00307177" w:rsidRDefault="00496077" w:rsidP="00D05854">
            <w:r w:rsidRPr="00307177">
              <w:t>9.60%</w:t>
            </w:r>
          </w:p>
        </w:tc>
        <w:tc>
          <w:tcPr>
            <w:tcW w:w="1229" w:type="dxa"/>
            <w:noWrap/>
            <w:hideMark/>
          </w:tcPr>
          <w:p w:rsidR="00496077" w:rsidRPr="00307177" w:rsidRDefault="00496077" w:rsidP="00D05854">
            <w:r w:rsidRPr="00307177">
              <w:t>9.89%</w:t>
            </w:r>
          </w:p>
        </w:tc>
      </w:tr>
      <w:tr w:rsidR="00496077" w:rsidRPr="00307177" w:rsidTr="00496077">
        <w:trPr>
          <w:trHeight w:val="285"/>
        </w:trPr>
        <w:tc>
          <w:tcPr>
            <w:tcW w:w="1420" w:type="dxa"/>
            <w:noWrap/>
            <w:hideMark/>
          </w:tcPr>
          <w:p w:rsidR="00496077" w:rsidRPr="00307177" w:rsidRDefault="00496077" w:rsidP="00D05854">
            <w:r w:rsidRPr="00307177">
              <w:t>North West</w:t>
            </w:r>
          </w:p>
        </w:tc>
        <w:tc>
          <w:tcPr>
            <w:tcW w:w="1460" w:type="dxa"/>
            <w:noWrap/>
            <w:hideMark/>
          </w:tcPr>
          <w:p w:rsidR="00496077" w:rsidRPr="00307177" w:rsidRDefault="00496077" w:rsidP="00D05854">
            <w:r w:rsidRPr="00307177">
              <w:t>15,389,609</w:t>
            </w:r>
          </w:p>
        </w:tc>
        <w:tc>
          <w:tcPr>
            <w:tcW w:w="1460" w:type="dxa"/>
            <w:noWrap/>
            <w:hideMark/>
          </w:tcPr>
          <w:p w:rsidR="00496077" w:rsidRPr="00307177" w:rsidRDefault="00496077" w:rsidP="00D05854">
            <w:r w:rsidRPr="00307177">
              <w:t>17,525,187</w:t>
            </w:r>
          </w:p>
        </w:tc>
        <w:tc>
          <w:tcPr>
            <w:tcW w:w="1460" w:type="dxa"/>
            <w:noWrap/>
            <w:hideMark/>
          </w:tcPr>
          <w:p w:rsidR="00496077" w:rsidRPr="00307177" w:rsidRDefault="00496077" w:rsidP="00D05854">
            <w:r w:rsidRPr="00307177">
              <w:t>14,342,888</w:t>
            </w:r>
          </w:p>
        </w:tc>
        <w:tc>
          <w:tcPr>
            <w:tcW w:w="1460" w:type="dxa"/>
            <w:noWrap/>
            <w:hideMark/>
          </w:tcPr>
          <w:p w:rsidR="00496077" w:rsidRPr="00307177" w:rsidRDefault="00496077" w:rsidP="00D05854">
            <w:r w:rsidRPr="00307177">
              <w:t>14,350,938</w:t>
            </w:r>
          </w:p>
        </w:tc>
        <w:tc>
          <w:tcPr>
            <w:tcW w:w="240" w:type="dxa"/>
            <w:noWrap/>
            <w:hideMark/>
          </w:tcPr>
          <w:p w:rsidR="00496077" w:rsidRPr="00307177" w:rsidRDefault="00496077" w:rsidP="00D05854"/>
        </w:tc>
        <w:tc>
          <w:tcPr>
            <w:tcW w:w="1255" w:type="dxa"/>
            <w:noWrap/>
            <w:hideMark/>
          </w:tcPr>
          <w:p w:rsidR="00496077" w:rsidRPr="00307177" w:rsidRDefault="00496077" w:rsidP="00D05854">
            <w:r w:rsidRPr="00307177">
              <w:t>-6.80%</w:t>
            </w:r>
          </w:p>
        </w:tc>
        <w:tc>
          <w:tcPr>
            <w:tcW w:w="1229" w:type="dxa"/>
            <w:noWrap/>
            <w:hideMark/>
          </w:tcPr>
          <w:p w:rsidR="00496077" w:rsidRPr="00307177" w:rsidRDefault="00496077" w:rsidP="00D05854">
            <w:r w:rsidRPr="00307177">
              <w:t>-6.75%</w:t>
            </w:r>
          </w:p>
        </w:tc>
      </w:tr>
      <w:tr w:rsidR="00496077" w:rsidRPr="00307177" w:rsidTr="00496077">
        <w:trPr>
          <w:trHeight w:val="285"/>
        </w:trPr>
        <w:tc>
          <w:tcPr>
            <w:tcW w:w="1420" w:type="dxa"/>
            <w:noWrap/>
            <w:hideMark/>
          </w:tcPr>
          <w:p w:rsidR="00496077" w:rsidRPr="00307177" w:rsidRDefault="00496077" w:rsidP="00D05854">
            <w:r w:rsidRPr="00307177">
              <w:t>South East</w:t>
            </w:r>
          </w:p>
        </w:tc>
        <w:tc>
          <w:tcPr>
            <w:tcW w:w="1460" w:type="dxa"/>
            <w:noWrap/>
            <w:hideMark/>
          </w:tcPr>
          <w:p w:rsidR="00496077" w:rsidRPr="00307177" w:rsidRDefault="00496077" w:rsidP="00D05854">
            <w:r w:rsidRPr="00307177">
              <w:t>15,014,979</w:t>
            </w:r>
          </w:p>
        </w:tc>
        <w:tc>
          <w:tcPr>
            <w:tcW w:w="1460" w:type="dxa"/>
            <w:noWrap/>
            <w:hideMark/>
          </w:tcPr>
          <w:p w:rsidR="00496077" w:rsidRPr="00307177" w:rsidRDefault="00496077" w:rsidP="00D05854">
            <w:r w:rsidRPr="00307177">
              <w:t>15,678,122</w:t>
            </w:r>
          </w:p>
        </w:tc>
        <w:tc>
          <w:tcPr>
            <w:tcW w:w="1460" w:type="dxa"/>
            <w:noWrap/>
            <w:hideMark/>
          </w:tcPr>
          <w:p w:rsidR="00496077" w:rsidRPr="00307177" w:rsidRDefault="00496077" w:rsidP="00D05854">
            <w:r w:rsidRPr="00307177">
              <w:t>11,050,941</w:t>
            </w:r>
          </w:p>
        </w:tc>
        <w:tc>
          <w:tcPr>
            <w:tcW w:w="1460" w:type="dxa"/>
            <w:noWrap/>
            <w:hideMark/>
          </w:tcPr>
          <w:p w:rsidR="00496077" w:rsidRPr="00307177" w:rsidRDefault="00496077" w:rsidP="00D05854">
            <w:r w:rsidRPr="00307177">
              <w:t>11,136,469</w:t>
            </w:r>
          </w:p>
        </w:tc>
        <w:tc>
          <w:tcPr>
            <w:tcW w:w="240" w:type="dxa"/>
            <w:noWrap/>
            <w:hideMark/>
          </w:tcPr>
          <w:p w:rsidR="00496077" w:rsidRPr="00307177" w:rsidRDefault="00496077" w:rsidP="00D05854"/>
        </w:tc>
        <w:tc>
          <w:tcPr>
            <w:tcW w:w="1255" w:type="dxa"/>
            <w:noWrap/>
            <w:hideMark/>
          </w:tcPr>
          <w:p w:rsidR="00496077" w:rsidRPr="00307177" w:rsidRDefault="00496077" w:rsidP="00D05854">
            <w:r w:rsidRPr="00307177">
              <w:t>-26.40%</w:t>
            </w:r>
          </w:p>
        </w:tc>
        <w:tc>
          <w:tcPr>
            <w:tcW w:w="1229" w:type="dxa"/>
            <w:noWrap/>
            <w:hideMark/>
          </w:tcPr>
          <w:p w:rsidR="00496077" w:rsidRPr="00307177" w:rsidRDefault="00496077" w:rsidP="00D05854">
            <w:r w:rsidRPr="00307177">
              <w:t>-25.83%</w:t>
            </w:r>
          </w:p>
        </w:tc>
      </w:tr>
      <w:tr w:rsidR="00496077" w:rsidRPr="00307177" w:rsidTr="00496077">
        <w:trPr>
          <w:trHeight w:val="285"/>
        </w:trPr>
        <w:tc>
          <w:tcPr>
            <w:tcW w:w="1420" w:type="dxa"/>
            <w:noWrap/>
            <w:hideMark/>
          </w:tcPr>
          <w:p w:rsidR="00496077" w:rsidRPr="00307177" w:rsidRDefault="00496077" w:rsidP="00D05854">
            <w:r w:rsidRPr="00307177">
              <w:t>South West</w:t>
            </w:r>
          </w:p>
        </w:tc>
        <w:tc>
          <w:tcPr>
            <w:tcW w:w="1460" w:type="dxa"/>
            <w:noWrap/>
            <w:hideMark/>
          </w:tcPr>
          <w:p w:rsidR="00496077" w:rsidRPr="00307177" w:rsidRDefault="00496077" w:rsidP="00D05854">
            <w:r w:rsidRPr="00307177">
              <w:t>8,833,306</w:t>
            </w:r>
          </w:p>
        </w:tc>
        <w:tc>
          <w:tcPr>
            <w:tcW w:w="1460" w:type="dxa"/>
            <w:noWrap/>
            <w:hideMark/>
          </w:tcPr>
          <w:p w:rsidR="00496077" w:rsidRPr="00307177" w:rsidRDefault="00496077" w:rsidP="00D05854">
            <w:r w:rsidRPr="00307177">
              <w:t>9,062,957</w:t>
            </w:r>
          </w:p>
        </w:tc>
        <w:tc>
          <w:tcPr>
            <w:tcW w:w="1460" w:type="dxa"/>
            <w:noWrap/>
            <w:hideMark/>
          </w:tcPr>
          <w:p w:rsidR="00496077" w:rsidRPr="00307177" w:rsidRDefault="00496077" w:rsidP="00D05854">
            <w:r w:rsidRPr="00307177">
              <w:t>6,884,479</w:t>
            </w:r>
          </w:p>
        </w:tc>
        <w:tc>
          <w:tcPr>
            <w:tcW w:w="1460" w:type="dxa"/>
            <w:noWrap/>
            <w:hideMark/>
          </w:tcPr>
          <w:p w:rsidR="00496077" w:rsidRPr="00307177" w:rsidRDefault="00496077" w:rsidP="00D05854">
            <w:r w:rsidRPr="00307177">
              <w:t>6,873,603</w:t>
            </w:r>
          </w:p>
        </w:tc>
        <w:tc>
          <w:tcPr>
            <w:tcW w:w="240" w:type="dxa"/>
            <w:noWrap/>
            <w:hideMark/>
          </w:tcPr>
          <w:p w:rsidR="00496077" w:rsidRPr="00307177" w:rsidRDefault="00496077" w:rsidP="00D05854"/>
        </w:tc>
        <w:tc>
          <w:tcPr>
            <w:tcW w:w="1255" w:type="dxa"/>
            <w:noWrap/>
            <w:hideMark/>
          </w:tcPr>
          <w:p w:rsidR="00496077" w:rsidRPr="00307177" w:rsidRDefault="00496077" w:rsidP="00D05854">
            <w:r w:rsidRPr="00307177">
              <w:t>-22.06%</w:t>
            </w:r>
          </w:p>
        </w:tc>
        <w:tc>
          <w:tcPr>
            <w:tcW w:w="1229" w:type="dxa"/>
            <w:noWrap/>
            <w:hideMark/>
          </w:tcPr>
          <w:p w:rsidR="00496077" w:rsidRPr="00307177" w:rsidRDefault="00496077" w:rsidP="00D05854">
            <w:r w:rsidRPr="00307177">
              <w:t>-22.19%</w:t>
            </w:r>
          </w:p>
        </w:tc>
      </w:tr>
      <w:tr w:rsidR="00496077" w:rsidRPr="00307177" w:rsidTr="00496077">
        <w:trPr>
          <w:trHeight w:val="285"/>
        </w:trPr>
        <w:tc>
          <w:tcPr>
            <w:tcW w:w="1420" w:type="dxa"/>
            <w:noWrap/>
            <w:hideMark/>
          </w:tcPr>
          <w:p w:rsidR="00496077" w:rsidRPr="00307177" w:rsidRDefault="00496077" w:rsidP="00D05854">
            <w:r w:rsidRPr="00307177">
              <w:t>West Midlands</w:t>
            </w:r>
          </w:p>
        </w:tc>
        <w:tc>
          <w:tcPr>
            <w:tcW w:w="1460" w:type="dxa"/>
            <w:noWrap/>
            <w:hideMark/>
          </w:tcPr>
          <w:p w:rsidR="00496077" w:rsidRPr="00307177" w:rsidRDefault="00496077" w:rsidP="00D05854">
            <w:r w:rsidRPr="00307177">
              <w:t>11,150,278</w:t>
            </w:r>
          </w:p>
        </w:tc>
        <w:tc>
          <w:tcPr>
            <w:tcW w:w="1460" w:type="dxa"/>
            <w:noWrap/>
            <w:hideMark/>
          </w:tcPr>
          <w:p w:rsidR="00496077" w:rsidRPr="00307177" w:rsidRDefault="00496077" w:rsidP="00D05854">
            <w:r w:rsidRPr="00307177">
              <w:t>12,728,212</w:t>
            </w:r>
          </w:p>
        </w:tc>
        <w:tc>
          <w:tcPr>
            <w:tcW w:w="1460" w:type="dxa"/>
            <w:noWrap/>
            <w:hideMark/>
          </w:tcPr>
          <w:p w:rsidR="00496077" w:rsidRPr="00307177" w:rsidRDefault="00496077" w:rsidP="00D05854">
            <w:r w:rsidRPr="00307177">
              <w:t>10,272,154</w:t>
            </w:r>
          </w:p>
        </w:tc>
        <w:tc>
          <w:tcPr>
            <w:tcW w:w="1460" w:type="dxa"/>
            <w:noWrap/>
            <w:hideMark/>
          </w:tcPr>
          <w:p w:rsidR="00496077" w:rsidRPr="00307177" w:rsidRDefault="00496077" w:rsidP="00D05854">
            <w:r w:rsidRPr="00307177">
              <w:t>10,218,311</w:t>
            </w:r>
          </w:p>
        </w:tc>
        <w:tc>
          <w:tcPr>
            <w:tcW w:w="240" w:type="dxa"/>
            <w:noWrap/>
            <w:hideMark/>
          </w:tcPr>
          <w:p w:rsidR="00496077" w:rsidRPr="00307177" w:rsidRDefault="00496077" w:rsidP="00D05854"/>
        </w:tc>
        <w:tc>
          <w:tcPr>
            <w:tcW w:w="1255" w:type="dxa"/>
            <w:noWrap/>
            <w:hideMark/>
          </w:tcPr>
          <w:p w:rsidR="00496077" w:rsidRPr="00307177" w:rsidRDefault="00496077" w:rsidP="00D05854">
            <w:r w:rsidRPr="00307177">
              <w:t>-7.88%</w:t>
            </w:r>
          </w:p>
        </w:tc>
        <w:tc>
          <w:tcPr>
            <w:tcW w:w="1229" w:type="dxa"/>
            <w:noWrap/>
            <w:hideMark/>
          </w:tcPr>
          <w:p w:rsidR="00496077" w:rsidRPr="00307177" w:rsidRDefault="00496077" w:rsidP="00D05854">
            <w:r w:rsidRPr="00307177">
              <w:t>-8.36%</w:t>
            </w:r>
          </w:p>
        </w:tc>
      </w:tr>
      <w:tr w:rsidR="00496077" w:rsidRPr="00307177" w:rsidTr="00496077">
        <w:trPr>
          <w:trHeight w:val="285"/>
        </w:trPr>
        <w:tc>
          <w:tcPr>
            <w:tcW w:w="1420" w:type="dxa"/>
            <w:noWrap/>
            <w:hideMark/>
          </w:tcPr>
          <w:p w:rsidR="00496077" w:rsidRPr="00307177" w:rsidRDefault="00496077" w:rsidP="00D05854">
            <w:r w:rsidRPr="00307177">
              <w:t>Yorks &amp; H</w:t>
            </w:r>
          </w:p>
        </w:tc>
        <w:tc>
          <w:tcPr>
            <w:tcW w:w="1460" w:type="dxa"/>
            <w:noWrap/>
            <w:hideMark/>
          </w:tcPr>
          <w:p w:rsidR="00496077" w:rsidRPr="00307177" w:rsidRDefault="00496077" w:rsidP="00D05854">
            <w:r w:rsidRPr="00307177">
              <w:t>10,375,819</w:t>
            </w:r>
          </w:p>
        </w:tc>
        <w:tc>
          <w:tcPr>
            <w:tcW w:w="1460" w:type="dxa"/>
            <w:noWrap/>
            <w:hideMark/>
          </w:tcPr>
          <w:p w:rsidR="00496077" w:rsidRPr="00307177" w:rsidRDefault="00496077" w:rsidP="00D05854">
            <w:r w:rsidRPr="00307177">
              <w:t>11,054,475</w:t>
            </w:r>
          </w:p>
        </w:tc>
        <w:tc>
          <w:tcPr>
            <w:tcW w:w="1460" w:type="dxa"/>
            <w:noWrap/>
            <w:hideMark/>
          </w:tcPr>
          <w:p w:rsidR="00496077" w:rsidRPr="00307177" w:rsidRDefault="00496077" w:rsidP="00D05854">
            <w:r w:rsidRPr="00307177">
              <w:t>9,132,816</w:t>
            </w:r>
          </w:p>
        </w:tc>
        <w:tc>
          <w:tcPr>
            <w:tcW w:w="1460" w:type="dxa"/>
            <w:noWrap/>
            <w:hideMark/>
          </w:tcPr>
          <w:p w:rsidR="00496077" w:rsidRPr="00307177" w:rsidRDefault="00496077" w:rsidP="00D05854">
            <w:r w:rsidRPr="00307177">
              <w:t>9,113,779</w:t>
            </w:r>
          </w:p>
        </w:tc>
        <w:tc>
          <w:tcPr>
            <w:tcW w:w="240" w:type="dxa"/>
            <w:noWrap/>
            <w:hideMark/>
          </w:tcPr>
          <w:p w:rsidR="00496077" w:rsidRPr="00307177" w:rsidRDefault="00496077" w:rsidP="00D05854"/>
        </w:tc>
        <w:tc>
          <w:tcPr>
            <w:tcW w:w="1255" w:type="dxa"/>
            <w:tcBorders>
              <w:bottom w:val="single" w:sz="4" w:space="0" w:color="auto"/>
            </w:tcBorders>
            <w:noWrap/>
            <w:hideMark/>
          </w:tcPr>
          <w:p w:rsidR="00496077" w:rsidRPr="00307177" w:rsidRDefault="00496077" w:rsidP="00D05854">
            <w:r w:rsidRPr="00307177">
              <w:t>-11.98%</w:t>
            </w:r>
          </w:p>
        </w:tc>
        <w:tc>
          <w:tcPr>
            <w:tcW w:w="1229" w:type="dxa"/>
            <w:tcBorders>
              <w:bottom w:val="single" w:sz="4" w:space="0" w:color="auto"/>
            </w:tcBorders>
            <w:noWrap/>
            <w:hideMark/>
          </w:tcPr>
          <w:p w:rsidR="00496077" w:rsidRPr="00307177" w:rsidRDefault="00496077" w:rsidP="00D05854">
            <w:r w:rsidRPr="00307177">
              <w:t>-12.16%</w:t>
            </w:r>
          </w:p>
        </w:tc>
      </w:tr>
      <w:tr w:rsidR="00496077" w:rsidRPr="00307177" w:rsidTr="00496077">
        <w:trPr>
          <w:trHeight w:val="285"/>
        </w:trPr>
        <w:tc>
          <w:tcPr>
            <w:tcW w:w="1420" w:type="dxa"/>
            <w:noWrap/>
            <w:hideMark/>
          </w:tcPr>
          <w:p w:rsidR="00496077" w:rsidRPr="00307177" w:rsidRDefault="00496077" w:rsidP="00D05854">
            <w:r w:rsidRPr="00307177">
              <w:t>London</w:t>
            </w:r>
          </w:p>
        </w:tc>
        <w:tc>
          <w:tcPr>
            <w:tcW w:w="1460" w:type="dxa"/>
            <w:noWrap/>
            <w:hideMark/>
          </w:tcPr>
          <w:p w:rsidR="00496077" w:rsidRPr="00307177" w:rsidRDefault="00496077" w:rsidP="00D05854">
            <w:r w:rsidRPr="00307177">
              <w:t>56,552,093</w:t>
            </w:r>
          </w:p>
        </w:tc>
        <w:tc>
          <w:tcPr>
            <w:tcW w:w="1460" w:type="dxa"/>
            <w:noWrap/>
            <w:hideMark/>
          </w:tcPr>
          <w:p w:rsidR="00496077" w:rsidRPr="00307177" w:rsidRDefault="00496077" w:rsidP="00D05854">
            <w:r w:rsidRPr="00307177">
              <w:t>51,609,921</w:t>
            </w:r>
          </w:p>
        </w:tc>
        <w:tc>
          <w:tcPr>
            <w:tcW w:w="1460" w:type="dxa"/>
            <w:noWrap/>
            <w:hideMark/>
          </w:tcPr>
          <w:p w:rsidR="00496077" w:rsidRPr="00307177" w:rsidRDefault="00496077" w:rsidP="00D05854">
            <w:r w:rsidRPr="00307177">
              <w:t>33,279,938</w:t>
            </w:r>
          </w:p>
        </w:tc>
        <w:tc>
          <w:tcPr>
            <w:tcW w:w="1460" w:type="dxa"/>
            <w:noWrap/>
            <w:hideMark/>
          </w:tcPr>
          <w:p w:rsidR="00496077" w:rsidRPr="00307177" w:rsidRDefault="00496077" w:rsidP="00D05854">
            <w:r w:rsidRPr="00307177">
              <w:t>33,813,606</w:t>
            </w:r>
          </w:p>
        </w:tc>
        <w:tc>
          <w:tcPr>
            <w:tcW w:w="240" w:type="dxa"/>
            <w:noWrap/>
            <w:hideMark/>
          </w:tcPr>
          <w:p w:rsidR="00496077" w:rsidRPr="00307177" w:rsidRDefault="00496077" w:rsidP="00D05854"/>
        </w:tc>
        <w:tc>
          <w:tcPr>
            <w:tcW w:w="1255" w:type="dxa"/>
            <w:shd w:val="clear" w:color="auto" w:fill="FFFF00"/>
            <w:noWrap/>
            <w:hideMark/>
          </w:tcPr>
          <w:p w:rsidR="00496077" w:rsidRPr="00770726" w:rsidRDefault="00496077" w:rsidP="00D05854">
            <w:pPr>
              <w:rPr>
                <w:highlight w:val="yellow"/>
              </w:rPr>
            </w:pPr>
            <w:r w:rsidRPr="00770726">
              <w:rPr>
                <w:highlight w:val="yellow"/>
              </w:rPr>
              <w:t>-41.15%</w:t>
            </w:r>
          </w:p>
        </w:tc>
        <w:tc>
          <w:tcPr>
            <w:tcW w:w="1229" w:type="dxa"/>
            <w:shd w:val="clear" w:color="auto" w:fill="FFFF00"/>
            <w:noWrap/>
            <w:hideMark/>
          </w:tcPr>
          <w:p w:rsidR="00496077" w:rsidRPr="00770726" w:rsidRDefault="00496077" w:rsidP="00D05854">
            <w:pPr>
              <w:rPr>
                <w:highlight w:val="yellow"/>
              </w:rPr>
            </w:pPr>
            <w:r w:rsidRPr="00770726">
              <w:rPr>
                <w:highlight w:val="yellow"/>
              </w:rPr>
              <w:t>-40.21%</w:t>
            </w:r>
          </w:p>
        </w:tc>
      </w:tr>
    </w:tbl>
    <w:p w:rsid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Not only did all other regions enjoy a rise last year when London saw overall funding cut by almost £5m, </w:t>
      </w:r>
      <w:r w:rsidRPr="00496077">
        <w:rPr>
          <w:b/>
          <w:sz w:val="20"/>
          <w:szCs w:val="20"/>
        </w:rPr>
        <w:t>the total funding cut for London over two years of at least 40% is at least 14 percentage points higher than the nearest region</w:t>
      </w:r>
      <w:r w:rsidRPr="00496077">
        <w:rPr>
          <w:sz w:val="20"/>
          <w:szCs w:val="20"/>
        </w:rPr>
        <w:t>, regardless of the distribution methodology used.</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This disparity is caused by the protection of the funding element linked to the Social Sector Size Criteria. The bulk of the cut therefore falls on those elements linked to the Local Housing Allowance changes and the introduction of the Benefit Cap – the two areas from which London boroughs derive most of their DHP funding.</w:t>
      </w:r>
    </w:p>
    <w:p w:rsidR="00496077" w:rsidRDefault="00496077" w:rsidP="00EC6151">
      <w:pPr>
        <w:rPr>
          <w:b/>
        </w:rPr>
      </w:pPr>
    </w:p>
    <w:p w:rsidR="00496077" w:rsidRPr="00257BC8" w:rsidRDefault="00496077" w:rsidP="00496077">
      <w:pPr>
        <w:pStyle w:val="Heading1"/>
        <w:spacing w:before="0"/>
      </w:pPr>
      <w:r>
        <w:t>Effect on individual boroughs</w:t>
      </w:r>
    </w:p>
    <w:p w:rsidR="00496077" w:rsidRPr="00496077" w:rsidRDefault="00496077" w:rsidP="00496077">
      <w:pPr>
        <w:pStyle w:val="ListParagraph"/>
        <w:numPr>
          <w:ilvl w:val="0"/>
          <w:numId w:val="7"/>
        </w:numPr>
        <w:rPr>
          <w:sz w:val="20"/>
          <w:szCs w:val="20"/>
        </w:rPr>
      </w:pPr>
      <w:r w:rsidRPr="00496077">
        <w:rPr>
          <w:sz w:val="20"/>
          <w:szCs w:val="20"/>
        </w:rPr>
        <w:t>This effect is even more pronounced when you look at individual boroughs’ allocations. Under either option, at least four boroughs will experience cuts next year of greater than 40%. One borough alone – Westminster City Council – stands to lose more than £2m, a greater cut than will be experienced by either the whole of the East Midlands, the North East or Yorkshire and Humberside.</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At most, just three boroughs would see cuts at or below the national average.</w:t>
      </w:r>
    </w:p>
    <w:p w:rsidR="00496077" w:rsidRDefault="00496077" w:rsidP="00EC6151">
      <w:pPr>
        <w:rPr>
          <w:b/>
        </w:rPr>
      </w:pPr>
    </w:p>
    <w:p w:rsidR="00496077" w:rsidRDefault="00496077" w:rsidP="00EC6151">
      <w:pPr>
        <w:rPr>
          <w:b/>
        </w:rPr>
      </w:pPr>
    </w:p>
    <w:p w:rsidR="00496077" w:rsidRPr="00496077" w:rsidRDefault="00496077" w:rsidP="00496077">
      <w:pPr>
        <w:rPr>
          <w:rFonts w:asciiTheme="majorHAnsi" w:hAnsiTheme="majorHAnsi"/>
          <w:b/>
          <w:color w:val="EC098D" w:themeColor="accent3"/>
          <w:sz w:val="28"/>
          <w:szCs w:val="28"/>
        </w:rPr>
      </w:pPr>
      <w:r w:rsidRPr="00496077">
        <w:rPr>
          <w:rFonts w:asciiTheme="majorHAnsi" w:hAnsiTheme="majorHAnsi"/>
          <w:b/>
          <w:color w:val="EC098D" w:themeColor="accent3"/>
          <w:sz w:val="28"/>
          <w:szCs w:val="28"/>
        </w:rPr>
        <w:lastRenderedPageBreak/>
        <w:t>Importance of DHPs in London</w:t>
      </w:r>
    </w:p>
    <w:p w:rsid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London boroughs receive the largest proportion of their DHP funding from the element linked to the Benefit Cap. Of the £51.6m allocated to London boroughs in 2014-15, £24.6m was from the Benefit Cap element. This reflects the extent to which London in particular has been affected by that reform in comparison to other regions – 49% of all households capped so far have been in in London - and also in comparison to other welfare reforms.</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The Government’s rationale for reducing DHP funding in 2014-15 and 2015-16 was that it was intended to be transitionary in nature, allocated “to assist with the transition of claimants into the new welfare entitlement given recent Housing Benefit related welfare reforms”.  However, official statistics and evaluations commissioned by the Department for Work &amp; Pensions have indicated that the Benefit Cap continues to have a profound effect in London.</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Data published in November, which shows the situation up to August 2014 – broadly after one year of the Benefit Cap being in place – shows that the majority of those households that have been capped at any point, remained capped (53%). This amounts to more than 12,200 capped households as of August.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Not only is the volume of capped households in London still high, but London households are also capped to a far greater extent that other parts of the country. For example, 3,498 London households – 15% of those that have been capped at any point – have seen their income reduced by £150 a week or more. The nearest any other region comes to this figure is the South-East, where 402 households (7.7%) have been capped by £150 a week or more. Not a single household has been capped by £150 a week or more in the North-East.</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The Benefit Cap places a clear incentive on capped households to move into paid employment as receipt of Working Tax Credit acts as an exemption from the cap. However, these figures show that there is an extremely large body of families that are either unable or unwilling to respond to that incentive. We believe the combination of London’s lack of affordable housing and the barriers to employment such households face, form a major part of this inability to respond.</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For these families, the availability of DHPs has been a crucial lifeline that has enabled them to avoid building up arrears and presenting as homeless to their local borough.</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Figures published by DWP show that 51,760 DHP awards were made in London in 2013-14, more than in any other region and significantly more than any region other than the North-West (50,525). In particular, the number of awards made to those affected by the Benefit Cap (13,449), dwarves any other region (1,441 awards made in the South-East being the closest). While more awards were made in London linked to the Social Sector Size Criteria (19,050), on average they were worth less than half of the awards made linked to the Benefit Cap - £627 compared to £1,418 for the Benefit Cap.</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London boroughs spent 98% of their original DHP allocations in 2013-14, and half-year figures show that boroughs have already spent 54% of their allocations for the current year – with a number having spent a significantly higher proportion. It is the combination of the Benefit Cap and other caps on housing benefit for those in the private rented sector that is driving this demand in the capital. This demand could be left unmet – with potentially disastrous effects on borough housing and homelessness services – if the proposed cuts to DHP funding goes ahead.</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In addition, it is worth pointing out that boroughs are using DHPs as a means of encouraging sustainable solutions. In Ealing, for example, the DHP scheme explicitly aims to help those taking steps to help themselves such as by moving into employment, increasing the number of hours worked, or by undertaking training or education. This means DHP awards are not intended to subsidise inappropriate housing or to keep people in homes where they will not be able to maintain rent payments. Conditionality may also be attached to an award through the form of an obligation to attend a work-related activity or registering for housing and bidding for suitable properties.</w:t>
      </w:r>
    </w:p>
    <w:p w:rsidR="00496077" w:rsidRDefault="00496077" w:rsidP="00496077"/>
    <w:p w:rsidR="00496077" w:rsidRDefault="00496077" w:rsidP="00496077"/>
    <w:p w:rsidR="00496077" w:rsidRPr="00496077" w:rsidRDefault="00496077" w:rsidP="00496077">
      <w:pPr>
        <w:rPr>
          <w:rFonts w:asciiTheme="majorHAnsi" w:hAnsiTheme="majorHAnsi"/>
          <w:b/>
          <w:color w:val="EC098D" w:themeColor="accent3"/>
          <w:sz w:val="28"/>
          <w:szCs w:val="28"/>
        </w:rPr>
      </w:pPr>
      <w:r w:rsidRPr="00496077">
        <w:rPr>
          <w:rFonts w:asciiTheme="majorHAnsi" w:hAnsiTheme="majorHAnsi"/>
          <w:b/>
          <w:color w:val="EC098D" w:themeColor="accent3"/>
          <w:sz w:val="28"/>
          <w:szCs w:val="28"/>
        </w:rPr>
        <w:t>Results of recent official evaluations</w:t>
      </w:r>
    </w:p>
    <w:p w:rsid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The picture of DHPs acting as a crucial lifeline for families affected by the Benefit Cap is backed up by the findings of a suite of evaluations of the Benefit Cap published by DWP shortly before the end of 2014.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An analysis of outcomes for capped claimants found that capped households were more likely to move into work than households whose benefit claims were just low enough to not trigger the cap. The analysis also found that the likelihood of moving into work increased in-line with the magnitude of the reduction in income. Both of these findings are to be expected given the incentive for capped households to move into work that the cap introduces.</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However, the extent of this effect is not large. In London, nearly a quarter of those who were capped in May 2013 had moved into work within a year, compared to 13% of those who were just under the cap level. In other words, even with the extra incentive to find work that the cap placed on that cohort, some outcome other than movement into work was still the result for the majority.</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The evaluation also showed the importance of DHPs for capped households. In London, the average loss in income for capped households in receipt of a DLA award fell from £118 per week, to just £10 per week as a result of the DHP award. If </w:t>
      </w:r>
      <w:r w:rsidRPr="00496077">
        <w:rPr>
          <w:b/>
          <w:sz w:val="20"/>
          <w:szCs w:val="20"/>
        </w:rPr>
        <w:t>the proposed cut in funding for DHPs in London goes ahead, more of those capped households in receipt of a DHP will begin to feel the full extent of the loss of income that the Benefit Cap brings.</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The evaluations also addressed the impact of the Benefit Cap on local authorities and local social services. The ministerial statement that accompanied the publication of the evaluation claimed that: “The Benefit Cap has led to little, if any, homelessness and local authorities have coped well with its introduction.” However, this element of the evaluation was based on interviews with staff in just 10 case study local authorities, and of which just two were in London.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London Councils would question the validity of drawing such significant conclusions from such a small sample size. However, in those two London boroughs, the researchers found the impact of the cap on homelessness and Housing Options services “was much more of a concern” than in the eight other areas.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Both boroughs were experiencing difficulties in moving households on from temporary accommodation because they could not find permanent housing for them affordable within the cap. Finding accommodation in the private rented sector that could be afforded within the cap was increasingly difficult and was putting a strain on the emergency accommodation budget.</w:t>
      </w:r>
    </w:p>
    <w:p w:rsid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lastRenderedPageBreak/>
        <w:t>In contrast to other areas, both boroughs had well-developed systems to ensure DHP funding was fairly allocated. One reported that 80% of their capped households were currently in receipt of a DHP award while the other said funding had been restricted in order to last the year.</w:t>
      </w:r>
    </w:p>
    <w:p w:rsidR="00496077" w:rsidRDefault="00496077" w:rsidP="00496077">
      <w:pPr>
        <w:pStyle w:val="Quote"/>
        <w:ind w:left="2127"/>
      </w:pPr>
    </w:p>
    <w:p w:rsidR="00496077" w:rsidRDefault="00496077" w:rsidP="00496077">
      <w:pPr>
        <w:pStyle w:val="Quote"/>
        <w:ind w:left="2127"/>
        <w:jc w:val="right"/>
      </w:pPr>
      <w:r>
        <w:t>Discretionary Housing Payments (DHP)… had been a significant source of support to capped households in London. There was, however, concern from case study local authorities and local agencies over how capped households would pay their rent in the longer term once DHP ran out.</w:t>
      </w:r>
    </w:p>
    <w:p w:rsidR="00496077" w:rsidRDefault="00496077" w:rsidP="00496077">
      <w:pPr>
        <w:jc w:val="right"/>
      </w:pPr>
    </w:p>
    <w:p w:rsidR="00496077" w:rsidRPr="00106EC2" w:rsidRDefault="00496077" w:rsidP="00496077">
      <w:pPr>
        <w:jc w:val="right"/>
        <w:rPr>
          <w:rStyle w:val="Strong"/>
        </w:rPr>
      </w:pPr>
      <w:r w:rsidRPr="00106EC2">
        <w:rPr>
          <w:rStyle w:val="Strong"/>
        </w:rPr>
        <w:t xml:space="preserve">DWP-commissioned evaluation of impact of the </w:t>
      </w:r>
      <w:r>
        <w:rPr>
          <w:rStyle w:val="Strong"/>
        </w:rPr>
        <w:t>Benefit Cap</w:t>
      </w:r>
      <w:r w:rsidRPr="00106EC2">
        <w:rPr>
          <w:rStyle w:val="Strong"/>
        </w:rPr>
        <w:t xml:space="preserve"> on local authorities</w:t>
      </w:r>
    </w:p>
    <w:p w:rsidR="00496077" w:rsidRDefault="00496077" w:rsidP="00496077"/>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In summary, the evaluations show that the Benefit Cap remains a significant issue for London boroughs which is placing real pressure on their homelessness and Housing Options services. What’s more, </w:t>
      </w:r>
      <w:r w:rsidRPr="00496077">
        <w:rPr>
          <w:b/>
          <w:sz w:val="20"/>
          <w:szCs w:val="20"/>
        </w:rPr>
        <w:t>DHPs are playing a crucial role in supporting capped households and their removal or reduction would see thousands of London households face a drastic fall in income</w:t>
      </w:r>
      <w:r w:rsidRPr="00496077">
        <w:rPr>
          <w:sz w:val="20"/>
          <w:szCs w:val="20"/>
        </w:rPr>
        <w:t>.</w:t>
      </w:r>
    </w:p>
    <w:p w:rsidR="00496077" w:rsidRDefault="00496077" w:rsidP="00496077"/>
    <w:p w:rsidR="00496077" w:rsidRPr="00496077" w:rsidRDefault="00496077" w:rsidP="00496077">
      <w:pPr>
        <w:rPr>
          <w:rFonts w:asciiTheme="majorHAnsi" w:hAnsiTheme="majorHAnsi"/>
          <w:b/>
          <w:color w:val="EC098D" w:themeColor="accent3"/>
          <w:sz w:val="28"/>
          <w:szCs w:val="28"/>
        </w:rPr>
      </w:pPr>
      <w:r w:rsidRPr="00496077">
        <w:rPr>
          <w:rFonts w:asciiTheme="majorHAnsi" w:hAnsiTheme="majorHAnsi"/>
          <w:b/>
          <w:color w:val="EC098D" w:themeColor="accent3"/>
          <w:sz w:val="28"/>
          <w:szCs w:val="28"/>
        </w:rPr>
        <w:t>New welfare reforms</w:t>
      </w:r>
    </w:p>
    <w:p w:rsid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London Councils believes it is also worth raising the prospect of funding for DHPs being reduced just as other significant changes to the welfare system are about to be introduced.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In the Local Government Finance Settlement published before Christmas, the government confirmed that its current intention is </w:t>
      </w:r>
      <w:r w:rsidRPr="00496077">
        <w:rPr>
          <w:sz w:val="20"/>
          <w:szCs w:val="20"/>
          <w:u w:val="single"/>
        </w:rPr>
        <w:t>not</w:t>
      </w:r>
      <w:r w:rsidRPr="00496077">
        <w:rPr>
          <w:sz w:val="20"/>
          <w:szCs w:val="20"/>
        </w:rPr>
        <w:t xml:space="preserve"> to maintain additional funding for Local Welfare Provision, leaving local schemes unfunded once current allocations run out.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 xml:space="preserve">London Councils believes that this could increase the demand for DHPs in London as vulnerable, low-income households or those dependent on benefits could be placed in a situation where they are forced to choose between prioritising expenditure on their rent, or on essentials such as food or heating. </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Another change with the potential to increase demand for DHPs is the replacement of Disability Living Allowance with the Personal Independence Payment. Existing DLA recipients will begin to be reassessed for the new benefit in October this year. If a household that was previously exempt from the Benefit Cap as a result of a DLA award loses it once they are reassessed, that household could become capped.</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Figures published by the DWP revealed that 47,000 households across the country would have been within the scope of the Benefit Cap had it not been for a DLA award</w:t>
      </w:r>
      <w:r w:rsidRPr="00496077">
        <w:rPr>
          <w:rStyle w:val="FootnoteReference"/>
          <w:sz w:val="20"/>
          <w:szCs w:val="20"/>
        </w:rPr>
        <w:footnoteReference w:id="2"/>
      </w:r>
      <w:r w:rsidRPr="00496077">
        <w:rPr>
          <w:sz w:val="20"/>
          <w:szCs w:val="20"/>
        </w:rPr>
        <w:t>, of which an estimated 11,500 were in London</w:t>
      </w:r>
      <w:r w:rsidRPr="00496077">
        <w:rPr>
          <w:rStyle w:val="FootnoteReference"/>
          <w:sz w:val="20"/>
          <w:szCs w:val="20"/>
        </w:rPr>
        <w:footnoteReference w:id="3"/>
      </w:r>
      <w:r w:rsidRPr="00496077">
        <w:rPr>
          <w:sz w:val="20"/>
          <w:szCs w:val="20"/>
        </w:rPr>
        <w:t>. If a quarter of these households lose their award completely once reassessed, this would amount to a little under 3,000 new households coming into the scope of the Benefit Cap – and potentially requesting support through a DHP award.</w:t>
      </w:r>
    </w:p>
    <w:p w:rsidR="00496077" w:rsidRDefault="00496077" w:rsidP="00496077"/>
    <w:p w:rsidR="00496077" w:rsidRDefault="00496077" w:rsidP="00496077"/>
    <w:p w:rsidR="00496077" w:rsidRDefault="00496077" w:rsidP="00496077"/>
    <w:p w:rsidR="00496077" w:rsidRPr="00496077" w:rsidRDefault="00496077" w:rsidP="00496077">
      <w:pPr>
        <w:rPr>
          <w:rFonts w:asciiTheme="majorHAnsi" w:hAnsiTheme="majorHAnsi"/>
          <w:b/>
          <w:color w:val="EC098D" w:themeColor="accent3"/>
          <w:sz w:val="28"/>
          <w:szCs w:val="28"/>
        </w:rPr>
      </w:pPr>
      <w:r w:rsidRPr="00496077">
        <w:rPr>
          <w:rFonts w:asciiTheme="majorHAnsi" w:hAnsiTheme="majorHAnsi"/>
          <w:b/>
          <w:color w:val="EC098D" w:themeColor="accent3"/>
          <w:sz w:val="28"/>
          <w:szCs w:val="28"/>
        </w:rPr>
        <w:lastRenderedPageBreak/>
        <w:t xml:space="preserve">Conclusion </w:t>
      </w:r>
    </w:p>
    <w:p w:rsid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The Government’s proposed contribution to funding DHPs in 2015-16 will cause London boroughs to suffer a disproportionate cut compared to the rest of the country. This is a result of the element linked to the Social Sector Size Criteria being protected and the comparatively greater impact of the Benefit Cap in London. While the Government’s overall contribution will be cut by 24%, London boroughs will experience at least an average 33% cut. Taking last year’s cuts in DHP funding into account, London boroughs will have seen funding cut by more than 40% over two years.</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This cut in funding comes at a time when boroughs are still grappling with the significant effects of the introduction of the Benefit Cap – a reform that has a far greater effect in London than elsewhere in the country and where the majority of those who have been capped, remain capped. The continuing effect of the Benefit Cap in London and the importance of DHPs in helping boroughs prevent escalating rent arrears from adding to the pressure on housing and homelessness services has been confirmed by the DWP’s recent evaluations of the cap.</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With further reforms poised to potentially increase this pressure on borough services, London Councils calls on the Government to rethink its overall approach and find extra funding for DHPs linked to the Benefit Cap so this element remains at its current level.</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At the very least, London Councils cannot see any justification for London being hit so much harder than the rest of the country. We would therefore call for cuts to London borough’s DHP allocations to be capped at the national average (24.2%). We calculate this would imply the Government scaling back the planned cut in DHP funding by a little under £5.5m. Given that the Benefit Cap was projected to save the Government £265m this year alone, this seems a reasonable step to take given the huge drops in funding many boroughs are facing.</w:t>
      </w:r>
    </w:p>
    <w:p w:rsidR="00496077" w:rsidRPr="00496077" w:rsidRDefault="00496077" w:rsidP="00496077"/>
    <w:p w:rsidR="00496077" w:rsidRPr="00496077" w:rsidRDefault="00496077" w:rsidP="00496077">
      <w:pPr>
        <w:pStyle w:val="ListParagraph"/>
        <w:numPr>
          <w:ilvl w:val="0"/>
          <w:numId w:val="7"/>
        </w:numPr>
        <w:rPr>
          <w:sz w:val="20"/>
          <w:szCs w:val="20"/>
        </w:rPr>
      </w:pPr>
      <w:r w:rsidRPr="00496077">
        <w:rPr>
          <w:sz w:val="20"/>
          <w:szCs w:val="20"/>
        </w:rPr>
        <w:t>Neither of the two options outlined in the paper circulated to steering group members is acceptable to London given the negligible difference between them compared to the scale of the cuts London will face as a result of the Government’s overall approach. We call on the department to rethink both the approach and the overall envelope more fundamentally.</w:t>
      </w:r>
    </w:p>
    <w:p w:rsidR="00496077" w:rsidRPr="00496077" w:rsidRDefault="00496077" w:rsidP="00496077"/>
    <w:p w:rsidR="00496077" w:rsidRDefault="00496077" w:rsidP="00496077"/>
    <w:p w:rsidR="00CD33B2" w:rsidRPr="006E70BE" w:rsidRDefault="00CD33B2" w:rsidP="00EC6151">
      <w:pPr>
        <w:rPr>
          <w:b/>
        </w:rPr>
      </w:pPr>
      <w:r w:rsidRPr="006E70BE">
        <w:rPr>
          <w:b/>
        </w:rPr>
        <w:t xml:space="preserve">London Councils </w:t>
      </w:r>
    </w:p>
    <w:p w:rsidR="00A73C1B" w:rsidRDefault="007A16E5" w:rsidP="00EC6151">
      <w:pPr>
        <w:rPr>
          <w:b/>
        </w:rPr>
      </w:pPr>
      <w:r>
        <w:rPr>
          <w:b/>
        </w:rPr>
        <w:t>January 2015</w:t>
      </w:r>
    </w:p>
    <w:p w:rsidR="007245DD" w:rsidRPr="007245DD" w:rsidRDefault="007245DD" w:rsidP="00EC6151">
      <w:pPr>
        <w:rPr>
          <w:b/>
        </w:rPr>
      </w:pPr>
    </w:p>
    <w:sectPr w:rsidR="007245DD" w:rsidRPr="007245DD" w:rsidSect="003A10CA">
      <w:headerReference w:type="even" r:id="rId9"/>
      <w:headerReference w:type="default" r:id="rId10"/>
      <w:footerReference w:type="even" r:id="rId11"/>
      <w:footerReference w:type="default" r:id="rId12"/>
      <w:headerReference w:type="first" r:id="rId13"/>
      <w:footerReference w:type="first" r:id="rId14"/>
      <w:pgSz w:w="11906" w:h="16838" w:code="9"/>
      <w:pgMar w:top="992" w:right="1021" w:bottom="1276" w:left="79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878" w:rsidRDefault="00807878" w:rsidP="00BA3ADD">
      <w:pPr>
        <w:spacing w:line="240" w:lineRule="auto"/>
      </w:pPr>
      <w:r>
        <w:separator/>
      </w:r>
    </w:p>
  </w:endnote>
  <w:endnote w:type="continuationSeparator" w:id="0">
    <w:p w:rsidR="00807878" w:rsidRDefault="00807878" w:rsidP="00BA3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78" w:rsidRDefault="008078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807878" w:rsidTr="006062EB">
      <w:trPr>
        <w:cantSplit/>
        <w:trHeight w:hRule="exact" w:val="907"/>
      </w:trPr>
      <w:tc>
        <w:tcPr>
          <w:tcW w:w="7943" w:type="dxa"/>
          <w:vAlign w:val="bottom"/>
        </w:tcPr>
        <w:p w:rsidR="00807878" w:rsidRPr="00B91EA0" w:rsidRDefault="00807878" w:rsidP="00B91EA0">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6E2BD5">
            <w:rPr>
              <w:b/>
              <w:noProof/>
              <w:color w:val="522380" w:themeColor="accent1"/>
              <w:sz w:val="22"/>
            </w:rPr>
            <w:t>6</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6E2BD5">
            <w:rPr>
              <w:b/>
              <w:noProof/>
              <w:color w:val="522380" w:themeColor="accent1"/>
              <w:sz w:val="22"/>
            </w:rPr>
            <w:t>6</w:t>
          </w:r>
          <w:r>
            <w:rPr>
              <w:b/>
              <w:noProof/>
              <w:color w:val="522380" w:themeColor="accent1"/>
              <w:sz w:val="22"/>
            </w:rPr>
            <w:fldChar w:fldCharType="end"/>
          </w:r>
        </w:p>
      </w:tc>
      <w:tc>
        <w:tcPr>
          <w:tcW w:w="2375" w:type="dxa"/>
          <w:vAlign w:val="bottom"/>
        </w:tcPr>
        <w:p w:rsidR="00807878" w:rsidRPr="00B91EA0" w:rsidRDefault="00807878" w:rsidP="006062EB">
          <w:pPr>
            <w:pStyle w:val="Footer"/>
            <w:jc w:val="right"/>
            <w:rPr>
              <w:b/>
              <w:color w:val="522380" w:themeColor="accent1"/>
              <w:sz w:val="22"/>
            </w:rPr>
          </w:pPr>
          <w:r w:rsidRPr="000C67D9">
            <w:rPr>
              <w:b/>
              <w:noProof/>
              <w:color w:val="522380" w:themeColor="accent1"/>
              <w:sz w:val="22"/>
              <w:lang w:eastAsia="en-GB"/>
            </w:rPr>
            <w:drawing>
              <wp:inline distT="0" distB="0" distL="0" distR="0" wp14:anchorId="7A725055" wp14:editId="0E80B987">
                <wp:extent cx="790537" cy="3777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77" cy="378742"/>
                        </a:xfrm>
                        <a:prstGeom prst="rect">
                          <a:avLst/>
                        </a:prstGeom>
                        <a:noFill/>
                        <a:ln>
                          <a:noFill/>
                        </a:ln>
                      </pic:spPr>
                    </pic:pic>
                  </a:graphicData>
                </a:graphic>
              </wp:inline>
            </w:drawing>
          </w:r>
        </w:p>
      </w:tc>
    </w:tr>
  </w:tbl>
  <w:p w:rsidR="00807878" w:rsidRDefault="008078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43"/>
      <w:gridCol w:w="2375"/>
    </w:tblGrid>
    <w:tr w:rsidR="00807878" w:rsidTr="00C00ABA">
      <w:trPr>
        <w:cantSplit/>
        <w:trHeight w:hRule="exact" w:val="907"/>
      </w:trPr>
      <w:tc>
        <w:tcPr>
          <w:tcW w:w="7943" w:type="dxa"/>
          <w:vAlign w:val="bottom"/>
        </w:tcPr>
        <w:p w:rsidR="00807878" w:rsidRPr="00B91EA0" w:rsidRDefault="00807878" w:rsidP="00C00ABA">
          <w:pPr>
            <w:pStyle w:val="Footer"/>
            <w:spacing w:after="180"/>
            <w:ind w:left="85"/>
            <w:rPr>
              <w:b/>
              <w:color w:val="522380" w:themeColor="accent1"/>
              <w:sz w:val="22"/>
            </w:rPr>
          </w:pPr>
          <w:r w:rsidRPr="00B91EA0">
            <w:rPr>
              <w:b/>
              <w:color w:val="522380" w:themeColor="accent1"/>
              <w:sz w:val="22"/>
            </w:rPr>
            <w:fldChar w:fldCharType="begin"/>
          </w:r>
          <w:r w:rsidRPr="00B91EA0">
            <w:rPr>
              <w:b/>
              <w:color w:val="522380" w:themeColor="accent1"/>
              <w:sz w:val="22"/>
            </w:rPr>
            <w:instrText xml:space="preserve"> PAGE   \* MERGEFORMAT </w:instrText>
          </w:r>
          <w:r w:rsidRPr="00B91EA0">
            <w:rPr>
              <w:b/>
              <w:color w:val="522380" w:themeColor="accent1"/>
              <w:sz w:val="22"/>
            </w:rPr>
            <w:fldChar w:fldCharType="separate"/>
          </w:r>
          <w:r w:rsidR="006E2BD5">
            <w:rPr>
              <w:b/>
              <w:noProof/>
              <w:color w:val="522380" w:themeColor="accent1"/>
              <w:sz w:val="22"/>
            </w:rPr>
            <w:t>1</w:t>
          </w:r>
          <w:r w:rsidRPr="00B91EA0">
            <w:rPr>
              <w:b/>
              <w:noProof/>
              <w:color w:val="522380" w:themeColor="accent1"/>
              <w:sz w:val="22"/>
            </w:rPr>
            <w:fldChar w:fldCharType="end"/>
          </w:r>
          <w:r>
            <w:rPr>
              <w:b/>
              <w:noProof/>
              <w:color w:val="522380" w:themeColor="accent1"/>
              <w:sz w:val="22"/>
            </w:rPr>
            <w:t xml:space="preserve"> / </w:t>
          </w:r>
          <w:r>
            <w:rPr>
              <w:b/>
              <w:noProof/>
              <w:color w:val="522380" w:themeColor="accent1"/>
              <w:sz w:val="22"/>
            </w:rPr>
            <w:fldChar w:fldCharType="begin"/>
          </w:r>
          <w:r>
            <w:rPr>
              <w:b/>
              <w:noProof/>
              <w:color w:val="522380" w:themeColor="accent1"/>
              <w:sz w:val="22"/>
            </w:rPr>
            <w:instrText xml:space="preserve"> NUMPAGES  \* Arabic </w:instrText>
          </w:r>
          <w:r>
            <w:rPr>
              <w:b/>
              <w:noProof/>
              <w:color w:val="522380" w:themeColor="accent1"/>
              <w:sz w:val="22"/>
            </w:rPr>
            <w:fldChar w:fldCharType="separate"/>
          </w:r>
          <w:r w:rsidR="006E2BD5">
            <w:rPr>
              <w:b/>
              <w:noProof/>
              <w:color w:val="522380" w:themeColor="accent1"/>
              <w:sz w:val="22"/>
            </w:rPr>
            <w:t>6</w:t>
          </w:r>
          <w:r>
            <w:rPr>
              <w:b/>
              <w:noProof/>
              <w:color w:val="522380" w:themeColor="accent1"/>
              <w:sz w:val="22"/>
            </w:rPr>
            <w:fldChar w:fldCharType="end"/>
          </w:r>
        </w:p>
      </w:tc>
      <w:tc>
        <w:tcPr>
          <w:tcW w:w="2375" w:type="dxa"/>
          <w:vAlign w:val="bottom"/>
        </w:tcPr>
        <w:p w:rsidR="00807878" w:rsidRPr="00B91EA0" w:rsidRDefault="00807878" w:rsidP="00C00ABA">
          <w:pPr>
            <w:pStyle w:val="Footer"/>
            <w:jc w:val="right"/>
            <w:rPr>
              <w:b/>
              <w:color w:val="522380" w:themeColor="accent1"/>
              <w:sz w:val="22"/>
            </w:rPr>
          </w:pPr>
          <w:r>
            <w:rPr>
              <w:b/>
              <w:noProof/>
              <w:color w:val="522380" w:themeColor="accent1"/>
              <w:sz w:val="22"/>
              <w:lang w:eastAsia="en-GB"/>
            </w:rPr>
            <w:drawing>
              <wp:inline distT="0" distB="0" distL="0" distR="0" wp14:anchorId="73C15FB5" wp14:editId="5C818D86">
                <wp:extent cx="790537" cy="377719"/>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77" cy="378742"/>
                        </a:xfrm>
                        <a:prstGeom prst="rect">
                          <a:avLst/>
                        </a:prstGeom>
                        <a:noFill/>
                        <a:ln>
                          <a:noFill/>
                        </a:ln>
                      </pic:spPr>
                    </pic:pic>
                  </a:graphicData>
                </a:graphic>
              </wp:inline>
            </w:drawing>
          </w:r>
        </w:p>
      </w:tc>
    </w:tr>
  </w:tbl>
  <w:p w:rsidR="00807878" w:rsidRDefault="00807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878" w:rsidRPr="002C64EC" w:rsidRDefault="00807878" w:rsidP="00BA3ADD">
      <w:pPr>
        <w:spacing w:line="240" w:lineRule="auto"/>
        <w:rPr>
          <w:color w:val="E1DCEB" w:themeColor="accent2"/>
        </w:rPr>
      </w:pPr>
      <w:r w:rsidRPr="002C64EC">
        <w:rPr>
          <w:color w:val="E1DCEB" w:themeColor="accent2"/>
        </w:rPr>
        <w:separator/>
      </w:r>
    </w:p>
  </w:footnote>
  <w:footnote w:type="continuationSeparator" w:id="0">
    <w:p w:rsidR="00807878" w:rsidRPr="002C64EC" w:rsidRDefault="00807878" w:rsidP="00BA3ADD">
      <w:pPr>
        <w:spacing w:line="240" w:lineRule="auto"/>
        <w:rPr>
          <w:color w:val="E1DCEB" w:themeColor="accent2"/>
        </w:rPr>
      </w:pPr>
      <w:r w:rsidRPr="002C64EC">
        <w:rPr>
          <w:color w:val="E1DCEB" w:themeColor="accent2"/>
        </w:rPr>
        <w:continuationSeparator/>
      </w:r>
    </w:p>
  </w:footnote>
  <w:footnote w:type="continuationNotice" w:id="1">
    <w:p w:rsidR="00807878" w:rsidRDefault="00807878">
      <w:pPr>
        <w:spacing w:line="240" w:lineRule="auto"/>
      </w:pPr>
    </w:p>
  </w:footnote>
  <w:footnote w:id="2">
    <w:p w:rsidR="00496077" w:rsidRDefault="00496077" w:rsidP="00496077">
      <w:pPr>
        <w:pStyle w:val="FootnoteText"/>
      </w:pPr>
      <w:r>
        <w:rPr>
          <w:rStyle w:val="FootnoteReference"/>
        </w:rPr>
        <w:footnoteRef/>
      </w:r>
      <w:r>
        <w:t xml:space="preserve"> </w:t>
      </w:r>
      <w:hyperlink r:id="rId1" w:history="1">
        <w:r w:rsidRPr="002B1750">
          <w:rPr>
            <w:rStyle w:val="Hyperlink"/>
          </w:rPr>
          <w:t>https://www.gov.uk/government/uploads/system/uploads/attachment_data/file/210396/foi-2013-2673.pdf</w:t>
        </w:r>
      </w:hyperlink>
    </w:p>
  </w:footnote>
  <w:footnote w:id="3">
    <w:p w:rsidR="00496077" w:rsidRDefault="00496077" w:rsidP="00496077">
      <w:pPr>
        <w:pStyle w:val="FootnoteText"/>
      </w:pPr>
      <w:r>
        <w:rPr>
          <w:rStyle w:val="FootnoteReference"/>
        </w:rPr>
        <w:footnoteRef/>
      </w:r>
      <w:r>
        <w:t xml:space="preserve"> </w:t>
      </w:r>
      <w:hyperlink r:id="rId2" w:history="1">
        <w:r w:rsidRPr="002B1750">
          <w:rPr>
            <w:rStyle w:val="Hyperlink"/>
          </w:rPr>
          <w:t>https://www.gov.uk/government/uploads/system/uploads/attachment_data/file/224912/foi-2013-3220.pdf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878" w:rsidRDefault="008078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107797"/>
      <w:docPartObj>
        <w:docPartGallery w:val="Watermarks"/>
        <w:docPartUnique/>
      </w:docPartObj>
    </w:sdtPr>
    <w:sdtEndPr/>
    <w:sdtContent>
      <w:p w:rsidR="00807878" w:rsidRDefault="006E2BD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2068"/>
    </w:tblGrid>
    <w:tr w:rsidR="00807878" w:rsidTr="00E253CF">
      <w:trPr>
        <w:cantSplit/>
        <w:trHeight w:val="624"/>
      </w:trPr>
      <w:tc>
        <w:tcPr>
          <w:tcW w:w="10148" w:type="dxa"/>
          <w:gridSpan w:val="2"/>
          <w:shd w:val="clear" w:color="auto" w:fill="522380" w:themeFill="accent1"/>
          <w:vAlign w:val="bottom"/>
        </w:tcPr>
        <w:p w:rsidR="00807878" w:rsidRPr="004F1C42" w:rsidRDefault="00807878" w:rsidP="00C00ABA">
          <w:pPr>
            <w:pStyle w:val="Header"/>
            <w:spacing w:after="80"/>
            <w:ind w:left="85"/>
            <w:rPr>
              <w:color w:val="FFFFFF" w:themeColor="background1"/>
              <w:sz w:val="22"/>
            </w:rPr>
          </w:pPr>
          <w:r>
            <w:rPr>
              <w:color w:val="FFFFFF" w:themeColor="background1"/>
              <w:sz w:val="22"/>
            </w:rPr>
            <w:fldChar w:fldCharType="begin"/>
          </w:r>
          <w:r>
            <w:rPr>
              <w:color w:val="FFFFFF" w:themeColor="background1"/>
              <w:sz w:val="22"/>
            </w:rPr>
            <w:instrText xml:space="preserve"> STYLEREF  ~DocDate </w:instrText>
          </w:r>
          <w:r>
            <w:rPr>
              <w:color w:val="FFFFFF" w:themeColor="background1"/>
              <w:sz w:val="22"/>
            </w:rPr>
            <w:fldChar w:fldCharType="separate"/>
          </w:r>
          <w:r w:rsidR="006E2BD5">
            <w:rPr>
              <w:noProof/>
              <w:color w:val="FFFFFF" w:themeColor="background1"/>
              <w:sz w:val="22"/>
            </w:rPr>
            <w:t>Friday 16 January 2015</w:t>
          </w:r>
          <w:r>
            <w:rPr>
              <w:color w:val="FFFFFF" w:themeColor="background1"/>
              <w:sz w:val="22"/>
            </w:rPr>
            <w:fldChar w:fldCharType="end"/>
          </w:r>
        </w:p>
      </w:tc>
    </w:tr>
    <w:tr w:rsidR="00807878" w:rsidTr="00514B1B">
      <w:trPr>
        <w:cantSplit/>
        <w:trHeight w:hRule="exact" w:val="312"/>
      </w:trPr>
      <w:tc>
        <w:tcPr>
          <w:tcW w:w="8080" w:type="dxa"/>
          <w:vAlign w:val="bottom"/>
        </w:tcPr>
        <w:p w:rsidR="00807878" w:rsidRPr="005373FE" w:rsidRDefault="00807878" w:rsidP="00C00ABA">
          <w:pPr>
            <w:pStyle w:val="Header"/>
            <w:rPr>
              <w:b/>
              <w:color w:val="EC098D" w:themeColor="accent3"/>
              <w:sz w:val="24"/>
            </w:rPr>
          </w:pPr>
        </w:p>
      </w:tc>
      <w:tc>
        <w:tcPr>
          <w:tcW w:w="2063" w:type="dxa"/>
          <w:vAlign w:val="bottom"/>
        </w:tcPr>
        <w:p w:rsidR="00807878" w:rsidRPr="005373FE" w:rsidRDefault="00807878" w:rsidP="00C00ABA">
          <w:pPr>
            <w:pStyle w:val="Header"/>
            <w:jc w:val="right"/>
            <w:rPr>
              <w:b/>
              <w:color w:val="522380" w:themeColor="accent1"/>
              <w:sz w:val="24"/>
            </w:rPr>
          </w:pPr>
          <w:r w:rsidRPr="005373FE">
            <w:rPr>
              <w:b/>
              <w:color w:val="522380" w:themeColor="accent1"/>
              <w:sz w:val="24"/>
            </w:rPr>
            <w:t>London Councils</w:t>
          </w:r>
        </w:p>
      </w:tc>
    </w:tr>
  </w:tbl>
  <w:p w:rsidR="00807878" w:rsidRDefault="008078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20D9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032F24"/>
    <w:multiLevelType w:val="multilevel"/>
    <w:tmpl w:val="D9A4EAD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64208A1"/>
    <w:multiLevelType w:val="hybridMultilevel"/>
    <w:tmpl w:val="92984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0744BE"/>
    <w:multiLevelType w:val="multilevel"/>
    <w:tmpl w:val="8C645774"/>
    <w:lvl w:ilvl="0">
      <w:start w:val="1"/>
      <w:numFmt w:val="bullet"/>
      <w:pStyle w:val="Bullet1"/>
      <w:lvlText w:val="•"/>
      <w:lvlJc w:val="left"/>
      <w:pPr>
        <w:tabs>
          <w:tab w:val="num" w:pos="340"/>
        </w:tabs>
        <w:ind w:left="340" w:hanging="340"/>
      </w:pPr>
      <w:rPr>
        <w:rFonts w:ascii="Arial" w:hAnsi="Arial" w:hint="default"/>
        <w:color w:val="EC098D" w:themeColor="accent3"/>
      </w:rPr>
    </w:lvl>
    <w:lvl w:ilvl="1">
      <w:start w:val="1"/>
      <w:numFmt w:val="bullet"/>
      <w:pStyle w:val="Bullet2"/>
      <w:lvlText w:val="–"/>
      <w:lvlJc w:val="left"/>
      <w:pPr>
        <w:tabs>
          <w:tab w:val="num" w:pos="680"/>
        </w:tabs>
        <w:ind w:left="680" w:hanging="340"/>
      </w:pPr>
      <w:rPr>
        <w:rFonts w:ascii="(none)" w:hAnsi="(none)" w:hint="default"/>
        <w:color w:val="EC098D" w:themeColor="accent3"/>
      </w:rPr>
    </w:lvl>
    <w:lvl w:ilvl="2">
      <w:start w:val="1"/>
      <w:numFmt w:val="bullet"/>
      <w:pStyle w:val="Bullet3"/>
      <w:lvlText w:val="–"/>
      <w:lvlJc w:val="left"/>
      <w:pPr>
        <w:tabs>
          <w:tab w:val="num" w:pos="1021"/>
        </w:tabs>
        <w:ind w:left="1021" w:hanging="341"/>
      </w:pPr>
      <w:rPr>
        <w:rFonts w:ascii="(none)" w:hAnsi="(none)" w:hint="default"/>
        <w:color w:val="EC098D" w:themeColor="accent3"/>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4">
    <w:nsid w:val="54CF620D"/>
    <w:multiLevelType w:val="multilevel"/>
    <w:tmpl w:val="9702B2D4"/>
    <w:lvl w:ilvl="0">
      <w:start w:val="1"/>
      <w:numFmt w:val="none"/>
      <w:lvlRestart w:val="0"/>
      <w:pStyle w:val="Heading1"/>
      <w:isLgl/>
      <w:lvlText w:val=""/>
      <w:lvlJc w:val="left"/>
      <w:pPr>
        <w:tabs>
          <w:tab w:val="num" w:pos="0"/>
        </w:tabs>
        <w:ind w:left="0" w:firstLine="0"/>
      </w:pPr>
      <w:rPr>
        <w:rFonts w:hint="default"/>
      </w:rPr>
    </w:lvl>
    <w:lvl w:ilvl="1">
      <w:start w:val="1"/>
      <w:numFmt w:val="decimal"/>
      <w:isLgl/>
      <w:lvlText w:val="%1"/>
      <w:lvlJc w:val="left"/>
      <w:pPr>
        <w:tabs>
          <w:tab w:val="num" w:pos="0"/>
        </w:tabs>
        <w:ind w:left="0" w:firstLine="0"/>
      </w:pPr>
      <w:rPr>
        <w:rFonts w:hint="default"/>
      </w:rPr>
    </w:lvl>
    <w:lvl w:ilvl="2">
      <w:start w:val="1"/>
      <w:numFmt w:val="decimal"/>
      <w:isLgl/>
      <w:lvlText w:val="%1"/>
      <w:lvlJc w:val="left"/>
      <w:pPr>
        <w:tabs>
          <w:tab w:val="num" w:pos="0"/>
        </w:tabs>
        <w:ind w:left="0" w:firstLine="0"/>
      </w:pPr>
      <w:rPr>
        <w:rFonts w:hint="default"/>
      </w:rPr>
    </w:lvl>
    <w:lvl w:ilvl="3">
      <w:start w:val="1"/>
      <w:numFmt w:val="decimal"/>
      <w:isLgl/>
      <w:lvlText w:val="%1"/>
      <w:lvlJc w:val="left"/>
      <w:pPr>
        <w:tabs>
          <w:tab w:val="num" w:pos="0"/>
        </w:tabs>
        <w:ind w:left="0" w:firstLine="0"/>
      </w:pPr>
      <w:rPr>
        <w:rFonts w:hint="default"/>
      </w:rPr>
    </w:lvl>
    <w:lvl w:ilvl="4">
      <w:start w:val="1"/>
      <w:numFmt w:val="decimal"/>
      <w:lvlText w:val="%1.%2.%3.%4.%5"/>
      <w:lvlJc w:val="left"/>
      <w:pPr>
        <w:ind w:left="1008" w:hanging="1008"/>
      </w:pPr>
      <w:rPr>
        <w:rFonts w:asciiTheme="majorHAnsi" w:hAnsiTheme="majorHAnsi" w:hint="default"/>
      </w:rPr>
    </w:lvl>
    <w:lvl w:ilvl="5">
      <w:start w:val="1"/>
      <w:numFmt w:val="decimal"/>
      <w:lvlText w:val="%1.%2.%3.%4.%5.%6"/>
      <w:lvlJc w:val="left"/>
      <w:pPr>
        <w:ind w:left="1152" w:hanging="1152"/>
      </w:pPr>
      <w:rPr>
        <w:rFonts w:asciiTheme="majorHAnsi" w:hAnsiTheme="majorHAnsi" w:hint="default"/>
      </w:rPr>
    </w:lvl>
    <w:lvl w:ilvl="6">
      <w:start w:val="1"/>
      <w:numFmt w:val="decimal"/>
      <w:lvlText w:val="%1.%2.%3.%4.%5.%6.%7"/>
      <w:lvlJc w:val="left"/>
      <w:pPr>
        <w:ind w:left="1296" w:hanging="1296"/>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584" w:hanging="1584"/>
      </w:pPr>
      <w:rPr>
        <w:rFonts w:asciiTheme="majorHAnsi" w:hAnsiTheme="majorHAnsi" w:hint="default"/>
      </w:rPr>
    </w:lvl>
  </w:abstractNum>
  <w:abstractNum w:abstractNumId="5">
    <w:nsid w:val="6EE3444F"/>
    <w:multiLevelType w:val="hybridMultilevel"/>
    <w:tmpl w:val="ED4AE9AE"/>
    <w:lvl w:ilvl="0" w:tplc="13F642CA">
      <w:start w:val="1"/>
      <w:numFmt w:val="bullet"/>
      <w:pStyle w:val="TableBullet1"/>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6">
    <w:nsid w:val="796A3518"/>
    <w:multiLevelType w:val="multilevel"/>
    <w:tmpl w:val="653ADFA0"/>
    <w:lvl w:ilvl="0">
      <w:start w:val="1"/>
      <w:numFmt w:val="decimal"/>
      <w:pStyle w:val="NumBullet1"/>
      <w:lvlText w:val="%1."/>
      <w:lvlJc w:val="left"/>
      <w:pPr>
        <w:tabs>
          <w:tab w:val="num" w:pos="340"/>
        </w:tabs>
        <w:ind w:left="340" w:hanging="340"/>
      </w:pPr>
      <w:rPr>
        <w:rFonts w:hint="default"/>
        <w:b w:val="0"/>
        <w:sz w:val="20"/>
        <w:szCs w:val="20"/>
      </w:rPr>
    </w:lvl>
    <w:lvl w:ilvl="1">
      <w:start w:val="1"/>
      <w:numFmt w:val="lowerLetter"/>
      <w:pStyle w:val="NumBullet2"/>
      <w:lvlText w:val="%2."/>
      <w:lvlJc w:val="left"/>
      <w:pPr>
        <w:tabs>
          <w:tab w:val="num" w:pos="680"/>
        </w:tabs>
        <w:ind w:left="680" w:hanging="340"/>
      </w:pPr>
      <w:rPr>
        <w:rFonts w:hint="default"/>
      </w:rPr>
    </w:lvl>
    <w:lvl w:ilvl="2">
      <w:start w:val="1"/>
      <w:numFmt w:val="lowerRoman"/>
      <w:pStyle w:val="NumBullet3"/>
      <w:lvlText w:val="%3."/>
      <w:lvlJc w:val="left"/>
      <w:pPr>
        <w:tabs>
          <w:tab w:val="num" w:pos="1021"/>
        </w:tabs>
        <w:ind w:left="1021" w:hanging="341"/>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B2"/>
    <w:rsid w:val="00007D97"/>
    <w:rsid w:val="00011AD3"/>
    <w:rsid w:val="0002522A"/>
    <w:rsid w:val="00034E03"/>
    <w:rsid w:val="0004067C"/>
    <w:rsid w:val="0004144B"/>
    <w:rsid w:val="0004188F"/>
    <w:rsid w:val="000436A0"/>
    <w:rsid w:val="000446FE"/>
    <w:rsid w:val="00045A24"/>
    <w:rsid w:val="00060BFA"/>
    <w:rsid w:val="00065E35"/>
    <w:rsid w:val="00071CEC"/>
    <w:rsid w:val="00075B43"/>
    <w:rsid w:val="00090871"/>
    <w:rsid w:val="00091279"/>
    <w:rsid w:val="000941BF"/>
    <w:rsid w:val="000969A3"/>
    <w:rsid w:val="00096CAE"/>
    <w:rsid w:val="000B3DFB"/>
    <w:rsid w:val="000B6410"/>
    <w:rsid w:val="000B6434"/>
    <w:rsid w:val="000B6B94"/>
    <w:rsid w:val="000C0102"/>
    <w:rsid w:val="000C2625"/>
    <w:rsid w:val="000C59AB"/>
    <w:rsid w:val="000C67D9"/>
    <w:rsid w:val="000D4280"/>
    <w:rsid w:val="000D5C83"/>
    <w:rsid w:val="000E4D92"/>
    <w:rsid w:val="000F0B51"/>
    <w:rsid w:val="000F5F82"/>
    <w:rsid w:val="000F7D23"/>
    <w:rsid w:val="00102D9A"/>
    <w:rsid w:val="00117998"/>
    <w:rsid w:val="00134DCC"/>
    <w:rsid w:val="0013598A"/>
    <w:rsid w:val="0014146A"/>
    <w:rsid w:val="00144483"/>
    <w:rsid w:val="0016210E"/>
    <w:rsid w:val="001716B9"/>
    <w:rsid w:val="00174191"/>
    <w:rsid w:val="00175F65"/>
    <w:rsid w:val="0018211C"/>
    <w:rsid w:val="00196B98"/>
    <w:rsid w:val="001A088C"/>
    <w:rsid w:val="001A51F3"/>
    <w:rsid w:val="001A6534"/>
    <w:rsid w:val="001B37CB"/>
    <w:rsid w:val="001B6083"/>
    <w:rsid w:val="001C088F"/>
    <w:rsid w:val="001C4302"/>
    <w:rsid w:val="001D0CF2"/>
    <w:rsid w:val="001D45C3"/>
    <w:rsid w:val="001E1797"/>
    <w:rsid w:val="001E1B47"/>
    <w:rsid w:val="001E29E2"/>
    <w:rsid w:val="001F141E"/>
    <w:rsid w:val="001F38AE"/>
    <w:rsid w:val="001F5A79"/>
    <w:rsid w:val="001F5E3A"/>
    <w:rsid w:val="001F662D"/>
    <w:rsid w:val="0021493E"/>
    <w:rsid w:val="00214BAA"/>
    <w:rsid w:val="002215E0"/>
    <w:rsid w:val="00225EC2"/>
    <w:rsid w:val="0023213A"/>
    <w:rsid w:val="0024164D"/>
    <w:rsid w:val="00246075"/>
    <w:rsid w:val="00246DE8"/>
    <w:rsid w:val="00253ABA"/>
    <w:rsid w:val="00257BC8"/>
    <w:rsid w:val="00257C1F"/>
    <w:rsid w:val="00260B8A"/>
    <w:rsid w:val="0027112D"/>
    <w:rsid w:val="00271513"/>
    <w:rsid w:val="00274C4E"/>
    <w:rsid w:val="0027703B"/>
    <w:rsid w:val="00277139"/>
    <w:rsid w:val="0027754F"/>
    <w:rsid w:val="00277A40"/>
    <w:rsid w:val="002815E5"/>
    <w:rsid w:val="002839CE"/>
    <w:rsid w:val="00290A28"/>
    <w:rsid w:val="00290B04"/>
    <w:rsid w:val="0029728B"/>
    <w:rsid w:val="00297451"/>
    <w:rsid w:val="002A3188"/>
    <w:rsid w:val="002A3CAB"/>
    <w:rsid w:val="002A47D9"/>
    <w:rsid w:val="002B081E"/>
    <w:rsid w:val="002B3C7D"/>
    <w:rsid w:val="002C3410"/>
    <w:rsid w:val="002C64EC"/>
    <w:rsid w:val="002D1E75"/>
    <w:rsid w:val="002D46EA"/>
    <w:rsid w:val="002F0E5A"/>
    <w:rsid w:val="002F2C24"/>
    <w:rsid w:val="002F3CC9"/>
    <w:rsid w:val="002F3F8F"/>
    <w:rsid w:val="002F7895"/>
    <w:rsid w:val="0030062C"/>
    <w:rsid w:val="003057B8"/>
    <w:rsid w:val="00310E7E"/>
    <w:rsid w:val="003120B0"/>
    <w:rsid w:val="00315B3D"/>
    <w:rsid w:val="00324605"/>
    <w:rsid w:val="00326FF5"/>
    <w:rsid w:val="00327CB8"/>
    <w:rsid w:val="0034003C"/>
    <w:rsid w:val="00340224"/>
    <w:rsid w:val="00347B7E"/>
    <w:rsid w:val="00350480"/>
    <w:rsid w:val="0035486E"/>
    <w:rsid w:val="00356783"/>
    <w:rsid w:val="00356FD1"/>
    <w:rsid w:val="00361E83"/>
    <w:rsid w:val="00367F1D"/>
    <w:rsid w:val="00370F11"/>
    <w:rsid w:val="00371D07"/>
    <w:rsid w:val="003747C5"/>
    <w:rsid w:val="00376073"/>
    <w:rsid w:val="00377A40"/>
    <w:rsid w:val="00380BF9"/>
    <w:rsid w:val="00383FFD"/>
    <w:rsid w:val="00385F43"/>
    <w:rsid w:val="003876CA"/>
    <w:rsid w:val="00391944"/>
    <w:rsid w:val="00397E5B"/>
    <w:rsid w:val="003A09D2"/>
    <w:rsid w:val="003A10CA"/>
    <w:rsid w:val="003B1AA4"/>
    <w:rsid w:val="003B21FA"/>
    <w:rsid w:val="003B30A0"/>
    <w:rsid w:val="003B3EBB"/>
    <w:rsid w:val="003B51E4"/>
    <w:rsid w:val="003C1D87"/>
    <w:rsid w:val="003C656B"/>
    <w:rsid w:val="003D039C"/>
    <w:rsid w:val="003D59BA"/>
    <w:rsid w:val="003D7188"/>
    <w:rsid w:val="003E38C1"/>
    <w:rsid w:val="003F7EE7"/>
    <w:rsid w:val="004018C5"/>
    <w:rsid w:val="0041072E"/>
    <w:rsid w:val="00414E24"/>
    <w:rsid w:val="00415F4F"/>
    <w:rsid w:val="00422E95"/>
    <w:rsid w:val="00430B03"/>
    <w:rsid w:val="00433360"/>
    <w:rsid w:val="00440F03"/>
    <w:rsid w:val="0044453C"/>
    <w:rsid w:val="00461745"/>
    <w:rsid w:val="004648B4"/>
    <w:rsid w:val="00474B9D"/>
    <w:rsid w:val="0047543F"/>
    <w:rsid w:val="004811A5"/>
    <w:rsid w:val="00481913"/>
    <w:rsid w:val="004832C2"/>
    <w:rsid w:val="0048351F"/>
    <w:rsid w:val="00485B13"/>
    <w:rsid w:val="00494844"/>
    <w:rsid w:val="00496077"/>
    <w:rsid w:val="00497D43"/>
    <w:rsid w:val="004A4060"/>
    <w:rsid w:val="004B06DA"/>
    <w:rsid w:val="004B1A8A"/>
    <w:rsid w:val="004B46D7"/>
    <w:rsid w:val="004B5519"/>
    <w:rsid w:val="004B5CE4"/>
    <w:rsid w:val="004C441A"/>
    <w:rsid w:val="004C49C9"/>
    <w:rsid w:val="004C74CC"/>
    <w:rsid w:val="004D6D45"/>
    <w:rsid w:val="004E2AED"/>
    <w:rsid w:val="004E4550"/>
    <w:rsid w:val="004F1C42"/>
    <w:rsid w:val="004F39E5"/>
    <w:rsid w:val="004F4E59"/>
    <w:rsid w:val="004F514A"/>
    <w:rsid w:val="00504F62"/>
    <w:rsid w:val="00511626"/>
    <w:rsid w:val="00514B1B"/>
    <w:rsid w:val="00515C14"/>
    <w:rsid w:val="00517593"/>
    <w:rsid w:val="00526D74"/>
    <w:rsid w:val="00532F2A"/>
    <w:rsid w:val="00533AF8"/>
    <w:rsid w:val="005373FE"/>
    <w:rsid w:val="005418AC"/>
    <w:rsid w:val="005427F5"/>
    <w:rsid w:val="00545671"/>
    <w:rsid w:val="0054581B"/>
    <w:rsid w:val="00545D9E"/>
    <w:rsid w:val="00546B27"/>
    <w:rsid w:val="005506C1"/>
    <w:rsid w:val="00554B6B"/>
    <w:rsid w:val="005567DA"/>
    <w:rsid w:val="00564544"/>
    <w:rsid w:val="00566077"/>
    <w:rsid w:val="005708E6"/>
    <w:rsid w:val="00571FBE"/>
    <w:rsid w:val="00572A55"/>
    <w:rsid w:val="00575414"/>
    <w:rsid w:val="00577609"/>
    <w:rsid w:val="0059677B"/>
    <w:rsid w:val="005A3BDE"/>
    <w:rsid w:val="005A43C1"/>
    <w:rsid w:val="005A4F3B"/>
    <w:rsid w:val="005A7BA6"/>
    <w:rsid w:val="005B2D91"/>
    <w:rsid w:val="005C4347"/>
    <w:rsid w:val="005C53B7"/>
    <w:rsid w:val="005C5BAF"/>
    <w:rsid w:val="005C6304"/>
    <w:rsid w:val="005E318E"/>
    <w:rsid w:val="005E4160"/>
    <w:rsid w:val="005E4759"/>
    <w:rsid w:val="005F36A3"/>
    <w:rsid w:val="005F7C3A"/>
    <w:rsid w:val="00601981"/>
    <w:rsid w:val="006062EB"/>
    <w:rsid w:val="00614752"/>
    <w:rsid w:val="006247E2"/>
    <w:rsid w:val="006251A4"/>
    <w:rsid w:val="006342E5"/>
    <w:rsid w:val="00635355"/>
    <w:rsid w:val="00641681"/>
    <w:rsid w:val="00644CAE"/>
    <w:rsid w:val="00650A8A"/>
    <w:rsid w:val="006511BB"/>
    <w:rsid w:val="00651C58"/>
    <w:rsid w:val="00652555"/>
    <w:rsid w:val="00656F4A"/>
    <w:rsid w:val="006604F9"/>
    <w:rsid w:val="00665601"/>
    <w:rsid w:val="006670DC"/>
    <w:rsid w:val="0066734F"/>
    <w:rsid w:val="00667AF0"/>
    <w:rsid w:val="00670DC3"/>
    <w:rsid w:val="006728D0"/>
    <w:rsid w:val="00673813"/>
    <w:rsid w:val="006769B3"/>
    <w:rsid w:val="00686653"/>
    <w:rsid w:val="006906A6"/>
    <w:rsid w:val="006940D4"/>
    <w:rsid w:val="00695326"/>
    <w:rsid w:val="00696321"/>
    <w:rsid w:val="006A19FC"/>
    <w:rsid w:val="006A282E"/>
    <w:rsid w:val="006A76DE"/>
    <w:rsid w:val="006B0242"/>
    <w:rsid w:val="006C43CB"/>
    <w:rsid w:val="006D0551"/>
    <w:rsid w:val="006D1AEB"/>
    <w:rsid w:val="006D76B0"/>
    <w:rsid w:val="006E05B4"/>
    <w:rsid w:val="006E2BD5"/>
    <w:rsid w:val="006E4ABA"/>
    <w:rsid w:val="006E6627"/>
    <w:rsid w:val="006E7AC8"/>
    <w:rsid w:val="006F50BB"/>
    <w:rsid w:val="006F7131"/>
    <w:rsid w:val="00706C89"/>
    <w:rsid w:val="00706E8B"/>
    <w:rsid w:val="007179EA"/>
    <w:rsid w:val="007245DD"/>
    <w:rsid w:val="00732213"/>
    <w:rsid w:val="00736B73"/>
    <w:rsid w:val="00737683"/>
    <w:rsid w:val="00742739"/>
    <w:rsid w:val="00742AA4"/>
    <w:rsid w:val="0074373F"/>
    <w:rsid w:val="00744B98"/>
    <w:rsid w:val="00744D36"/>
    <w:rsid w:val="00745716"/>
    <w:rsid w:val="00746E58"/>
    <w:rsid w:val="00750E9C"/>
    <w:rsid w:val="0075498A"/>
    <w:rsid w:val="00755B65"/>
    <w:rsid w:val="00756F93"/>
    <w:rsid w:val="00760B46"/>
    <w:rsid w:val="00761DB9"/>
    <w:rsid w:val="007629B5"/>
    <w:rsid w:val="00763C5C"/>
    <w:rsid w:val="00771F1C"/>
    <w:rsid w:val="00772A1E"/>
    <w:rsid w:val="00774AD6"/>
    <w:rsid w:val="007756C1"/>
    <w:rsid w:val="00781DC7"/>
    <w:rsid w:val="007837C1"/>
    <w:rsid w:val="00783E70"/>
    <w:rsid w:val="00785A1B"/>
    <w:rsid w:val="00786187"/>
    <w:rsid w:val="0078652F"/>
    <w:rsid w:val="00791481"/>
    <w:rsid w:val="00794CAE"/>
    <w:rsid w:val="00797E69"/>
    <w:rsid w:val="007A0EC6"/>
    <w:rsid w:val="007A16E5"/>
    <w:rsid w:val="007A3930"/>
    <w:rsid w:val="007A3A60"/>
    <w:rsid w:val="007C1C83"/>
    <w:rsid w:val="007C3872"/>
    <w:rsid w:val="007D0060"/>
    <w:rsid w:val="007D34AE"/>
    <w:rsid w:val="007E3442"/>
    <w:rsid w:val="007F2CBD"/>
    <w:rsid w:val="00800662"/>
    <w:rsid w:val="00804B5E"/>
    <w:rsid w:val="0080524D"/>
    <w:rsid w:val="00807878"/>
    <w:rsid w:val="00810A8F"/>
    <w:rsid w:val="008202B4"/>
    <w:rsid w:val="0082054E"/>
    <w:rsid w:val="008311FF"/>
    <w:rsid w:val="0083244F"/>
    <w:rsid w:val="00840D81"/>
    <w:rsid w:val="00843427"/>
    <w:rsid w:val="008503EC"/>
    <w:rsid w:val="00851A49"/>
    <w:rsid w:val="00856A55"/>
    <w:rsid w:val="00864441"/>
    <w:rsid w:val="0086553B"/>
    <w:rsid w:val="008658E5"/>
    <w:rsid w:val="00873023"/>
    <w:rsid w:val="0088069B"/>
    <w:rsid w:val="0088203E"/>
    <w:rsid w:val="008840E6"/>
    <w:rsid w:val="008846F2"/>
    <w:rsid w:val="0088588D"/>
    <w:rsid w:val="008906E3"/>
    <w:rsid w:val="00893BFC"/>
    <w:rsid w:val="0089497F"/>
    <w:rsid w:val="008A401A"/>
    <w:rsid w:val="008A7EAA"/>
    <w:rsid w:val="008B267E"/>
    <w:rsid w:val="008B54C5"/>
    <w:rsid w:val="008B584B"/>
    <w:rsid w:val="008B7E4C"/>
    <w:rsid w:val="008C19D4"/>
    <w:rsid w:val="008C37E1"/>
    <w:rsid w:val="008D59E3"/>
    <w:rsid w:val="008D7877"/>
    <w:rsid w:val="008E2E60"/>
    <w:rsid w:val="008F1716"/>
    <w:rsid w:val="008F48D0"/>
    <w:rsid w:val="00904E4A"/>
    <w:rsid w:val="00905149"/>
    <w:rsid w:val="00910F6D"/>
    <w:rsid w:val="00915AD2"/>
    <w:rsid w:val="0091659B"/>
    <w:rsid w:val="00917FDB"/>
    <w:rsid w:val="00920CA6"/>
    <w:rsid w:val="00924B55"/>
    <w:rsid w:val="00925C34"/>
    <w:rsid w:val="00941114"/>
    <w:rsid w:val="00944DB3"/>
    <w:rsid w:val="00951A54"/>
    <w:rsid w:val="00955251"/>
    <w:rsid w:val="00956E19"/>
    <w:rsid w:val="009572E8"/>
    <w:rsid w:val="00967AFC"/>
    <w:rsid w:val="00971775"/>
    <w:rsid w:val="009821DF"/>
    <w:rsid w:val="00983A7B"/>
    <w:rsid w:val="00992C1B"/>
    <w:rsid w:val="00993CE9"/>
    <w:rsid w:val="00997D7C"/>
    <w:rsid w:val="009A2CC1"/>
    <w:rsid w:val="009A6EE6"/>
    <w:rsid w:val="009B0F20"/>
    <w:rsid w:val="009B6848"/>
    <w:rsid w:val="009B76D6"/>
    <w:rsid w:val="009C73D2"/>
    <w:rsid w:val="009C7BC5"/>
    <w:rsid w:val="009D11F9"/>
    <w:rsid w:val="009D29BD"/>
    <w:rsid w:val="009D59A9"/>
    <w:rsid w:val="009E12C6"/>
    <w:rsid w:val="00A025BC"/>
    <w:rsid w:val="00A03785"/>
    <w:rsid w:val="00A10CA2"/>
    <w:rsid w:val="00A11B1B"/>
    <w:rsid w:val="00A14299"/>
    <w:rsid w:val="00A159AA"/>
    <w:rsid w:val="00A21C3A"/>
    <w:rsid w:val="00A226BC"/>
    <w:rsid w:val="00A27B88"/>
    <w:rsid w:val="00A30DF0"/>
    <w:rsid w:val="00A345C6"/>
    <w:rsid w:val="00A34E47"/>
    <w:rsid w:val="00A405F0"/>
    <w:rsid w:val="00A42CEC"/>
    <w:rsid w:val="00A46692"/>
    <w:rsid w:val="00A46D6E"/>
    <w:rsid w:val="00A64674"/>
    <w:rsid w:val="00A64C94"/>
    <w:rsid w:val="00A66569"/>
    <w:rsid w:val="00A7067A"/>
    <w:rsid w:val="00A73C1B"/>
    <w:rsid w:val="00A759A0"/>
    <w:rsid w:val="00A773AC"/>
    <w:rsid w:val="00A81901"/>
    <w:rsid w:val="00A81BF3"/>
    <w:rsid w:val="00A82364"/>
    <w:rsid w:val="00A84439"/>
    <w:rsid w:val="00A8485F"/>
    <w:rsid w:val="00A86A24"/>
    <w:rsid w:val="00A92B2E"/>
    <w:rsid w:val="00A92C1F"/>
    <w:rsid w:val="00A953D7"/>
    <w:rsid w:val="00A9778A"/>
    <w:rsid w:val="00AA21BF"/>
    <w:rsid w:val="00AA63EE"/>
    <w:rsid w:val="00AB6053"/>
    <w:rsid w:val="00AB6612"/>
    <w:rsid w:val="00AC15F3"/>
    <w:rsid w:val="00AC4090"/>
    <w:rsid w:val="00AC54D6"/>
    <w:rsid w:val="00AC677D"/>
    <w:rsid w:val="00AD142D"/>
    <w:rsid w:val="00AE2FEC"/>
    <w:rsid w:val="00AE4FD7"/>
    <w:rsid w:val="00AE5EE3"/>
    <w:rsid w:val="00AF3740"/>
    <w:rsid w:val="00B0270D"/>
    <w:rsid w:val="00B07302"/>
    <w:rsid w:val="00B12725"/>
    <w:rsid w:val="00B226A3"/>
    <w:rsid w:val="00B22CB0"/>
    <w:rsid w:val="00B26618"/>
    <w:rsid w:val="00B26E6A"/>
    <w:rsid w:val="00B2720D"/>
    <w:rsid w:val="00B30F14"/>
    <w:rsid w:val="00B3289C"/>
    <w:rsid w:val="00B34F65"/>
    <w:rsid w:val="00B40BCB"/>
    <w:rsid w:val="00B42751"/>
    <w:rsid w:val="00B428E0"/>
    <w:rsid w:val="00B465C5"/>
    <w:rsid w:val="00B46A99"/>
    <w:rsid w:val="00B500CA"/>
    <w:rsid w:val="00B55CB3"/>
    <w:rsid w:val="00B56631"/>
    <w:rsid w:val="00B579BA"/>
    <w:rsid w:val="00B62844"/>
    <w:rsid w:val="00B65A1D"/>
    <w:rsid w:val="00B66C62"/>
    <w:rsid w:val="00B6709C"/>
    <w:rsid w:val="00B729E0"/>
    <w:rsid w:val="00B7412D"/>
    <w:rsid w:val="00B832AA"/>
    <w:rsid w:val="00B8380C"/>
    <w:rsid w:val="00B84B8B"/>
    <w:rsid w:val="00B84FAD"/>
    <w:rsid w:val="00B91EA0"/>
    <w:rsid w:val="00B9328E"/>
    <w:rsid w:val="00BA37DC"/>
    <w:rsid w:val="00BA3ADD"/>
    <w:rsid w:val="00BA7A8A"/>
    <w:rsid w:val="00BB073D"/>
    <w:rsid w:val="00BC3426"/>
    <w:rsid w:val="00BC3E2E"/>
    <w:rsid w:val="00BC6415"/>
    <w:rsid w:val="00BD57A9"/>
    <w:rsid w:val="00BF2D2E"/>
    <w:rsid w:val="00C00ABA"/>
    <w:rsid w:val="00C043A5"/>
    <w:rsid w:val="00C06749"/>
    <w:rsid w:val="00C12EE9"/>
    <w:rsid w:val="00C13F09"/>
    <w:rsid w:val="00C1404E"/>
    <w:rsid w:val="00C17B5E"/>
    <w:rsid w:val="00C21570"/>
    <w:rsid w:val="00C22656"/>
    <w:rsid w:val="00C232DD"/>
    <w:rsid w:val="00C304D5"/>
    <w:rsid w:val="00C3119B"/>
    <w:rsid w:val="00C36C83"/>
    <w:rsid w:val="00C36F58"/>
    <w:rsid w:val="00C4253B"/>
    <w:rsid w:val="00C426D9"/>
    <w:rsid w:val="00C47CDF"/>
    <w:rsid w:val="00C509BE"/>
    <w:rsid w:val="00C52167"/>
    <w:rsid w:val="00C5548B"/>
    <w:rsid w:val="00C557EC"/>
    <w:rsid w:val="00C5686B"/>
    <w:rsid w:val="00C622C3"/>
    <w:rsid w:val="00C66625"/>
    <w:rsid w:val="00C70302"/>
    <w:rsid w:val="00C73F78"/>
    <w:rsid w:val="00C76CA2"/>
    <w:rsid w:val="00C866A4"/>
    <w:rsid w:val="00C9067D"/>
    <w:rsid w:val="00C94E0B"/>
    <w:rsid w:val="00C96375"/>
    <w:rsid w:val="00C9717A"/>
    <w:rsid w:val="00C97D03"/>
    <w:rsid w:val="00CB389B"/>
    <w:rsid w:val="00CB54D1"/>
    <w:rsid w:val="00CB6252"/>
    <w:rsid w:val="00CB74F3"/>
    <w:rsid w:val="00CC4B83"/>
    <w:rsid w:val="00CD1E38"/>
    <w:rsid w:val="00CD1F01"/>
    <w:rsid w:val="00CD33B2"/>
    <w:rsid w:val="00CD5C4C"/>
    <w:rsid w:val="00CE059A"/>
    <w:rsid w:val="00CE1DAA"/>
    <w:rsid w:val="00CE7E7A"/>
    <w:rsid w:val="00CF15D1"/>
    <w:rsid w:val="00D012DF"/>
    <w:rsid w:val="00D113DB"/>
    <w:rsid w:val="00D13F69"/>
    <w:rsid w:val="00D16F0E"/>
    <w:rsid w:val="00D17E5B"/>
    <w:rsid w:val="00D20CB0"/>
    <w:rsid w:val="00D22920"/>
    <w:rsid w:val="00D229AC"/>
    <w:rsid w:val="00D232AA"/>
    <w:rsid w:val="00D33701"/>
    <w:rsid w:val="00D343D8"/>
    <w:rsid w:val="00D40352"/>
    <w:rsid w:val="00D45835"/>
    <w:rsid w:val="00D47316"/>
    <w:rsid w:val="00D50428"/>
    <w:rsid w:val="00D60FAB"/>
    <w:rsid w:val="00D62688"/>
    <w:rsid w:val="00D6467C"/>
    <w:rsid w:val="00D6482A"/>
    <w:rsid w:val="00D64C39"/>
    <w:rsid w:val="00D65795"/>
    <w:rsid w:val="00D73862"/>
    <w:rsid w:val="00D73A35"/>
    <w:rsid w:val="00D77D81"/>
    <w:rsid w:val="00D809DE"/>
    <w:rsid w:val="00D82104"/>
    <w:rsid w:val="00D82A0E"/>
    <w:rsid w:val="00D833CA"/>
    <w:rsid w:val="00D90E9F"/>
    <w:rsid w:val="00D92B02"/>
    <w:rsid w:val="00D966D3"/>
    <w:rsid w:val="00D97B27"/>
    <w:rsid w:val="00DA1032"/>
    <w:rsid w:val="00DA2D9F"/>
    <w:rsid w:val="00DA5EA2"/>
    <w:rsid w:val="00DB1903"/>
    <w:rsid w:val="00DB35A5"/>
    <w:rsid w:val="00DB4B61"/>
    <w:rsid w:val="00DB5A31"/>
    <w:rsid w:val="00DC2B83"/>
    <w:rsid w:val="00DC323D"/>
    <w:rsid w:val="00DD3EFF"/>
    <w:rsid w:val="00DD5A85"/>
    <w:rsid w:val="00DD5BD3"/>
    <w:rsid w:val="00DD7BAB"/>
    <w:rsid w:val="00DE0567"/>
    <w:rsid w:val="00DE0CDB"/>
    <w:rsid w:val="00DE2B74"/>
    <w:rsid w:val="00DF025E"/>
    <w:rsid w:val="00E001C9"/>
    <w:rsid w:val="00E05E80"/>
    <w:rsid w:val="00E123DC"/>
    <w:rsid w:val="00E12C98"/>
    <w:rsid w:val="00E17A57"/>
    <w:rsid w:val="00E20793"/>
    <w:rsid w:val="00E2268F"/>
    <w:rsid w:val="00E22734"/>
    <w:rsid w:val="00E253CF"/>
    <w:rsid w:val="00E25B53"/>
    <w:rsid w:val="00E30B69"/>
    <w:rsid w:val="00E34ADA"/>
    <w:rsid w:val="00E34DCF"/>
    <w:rsid w:val="00E5296E"/>
    <w:rsid w:val="00E55E8B"/>
    <w:rsid w:val="00E7359D"/>
    <w:rsid w:val="00E904F5"/>
    <w:rsid w:val="00E91E46"/>
    <w:rsid w:val="00E93510"/>
    <w:rsid w:val="00E93DE1"/>
    <w:rsid w:val="00E96239"/>
    <w:rsid w:val="00EA1534"/>
    <w:rsid w:val="00EA414C"/>
    <w:rsid w:val="00EA438F"/>
    <w:rsid w:val="00EA4EF9"/>
    <w:rsid w:val="00EB21F3"/>
    <w:rsid w:val="00EB6D4F"/>
    <w:rsid w:val="00EC0FD1"/>
    <w:rsid w:val="00EC4C97"/>
    <w:rsid w:val="00EC6151"/>
    <w:rsid w:val="00ED5704"/>
    <w:rsid w:val="00ED6A74"/>
    <w:rsid w:val="00EE5CAF"/>
    <w:rsid w:val="00EE64AA"/>
    <w:rsid w:val="00EF34EA"/>
    <w:rsid w:val="00EF39D0"/>
    <w:rsid w:val="00F026CE"/>
    <w:rsid w:val="00F06093"/>
    <w:rsid w:val="00F114E9"/>
    <w:rsid w:val="00F11938"/>
    <w:rsid w:val="00F12A2A"/>
    <w:rsid w:val="00F144ED"/>
    <w:rsid w:val="00F17E31"/>
    <w:rsid w:val="00F218B7"/>
    <w:rsid w:val="00F23067"/>
    <w:rsid w:val="00F271F8"/>
    <w:rsid w:val="00F32252"/>
    <w:rsid w:val="00F32513"/>
    <w:rsid w:val="00F3305D"/>
    <w:rsid w:val="00F42DB3"/>
    <w:rsid w:val="00F435CC"/>
    <w:rsid w:val="00F6141B"/>
    <w:rsid w:val="00F7162D"/>
    <w:rsid w:val="00F72F5C"/>
    <w:rsid w:val="00F96FCE"/>
    <w:rsid w:val="00F9782F"/>
    <w:rsid w:val="00FA3D4E"/>
    <w:rsid w:val="00FB356F"/>
    <w:rsid w:val="00FB7158"/>
    <w:rsid w:val="00FC1559"/>
    <w:rsid w:val="00FC63A4"/>
    <w:rsid w:val="00FC74DD"/>
    <w:rsid w:val="00FD093E"/>
    <w:rsid w:val="00FD174D"/>
    <w:rsid w:val="00FD32CF"/>
    <w:rsid w:val="00FE244B"/>
    <w:rsid w:val="00FF171A"/>
    <w:rsid w:val="00FF3294"/>
    <w:rsid w:val="00FF6C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footnote reference" w:uiPriority="0"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Note Heading" w:unhideWhenUsed="1"/>
    <w:lsdException w:name="Hyperlink" w:unhideWhenUsed="1"/>
    <w:lsdException w:name="FollowedHyperlink" w:unhideWhenUsed="1"/>
    <w:lsdException w:name="Strong" w:uiPriority="0"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tblInd w:w="0" w:type="dxa"/>
      <w:tblCellMar>
        <w:top w:w="0" w:type="dxa"/>
        <w:left w:w="108" w:type="dxa"/>
        <w:bottom w:w="0" w:type="dxa"/>
        <w:right w:w="108" w:type="dxa"/>
      </w:tblCellMa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tblInd w:w="0" w:type="dxa"/>
      <w:tblCellMar>
        <w:top w:w="0" w:type="dxa"/>
        <w:left w:w="108" w:type="dxa"/>
        <w:bottom w:w="0" w:type="dxa"/>
        <w:right w:w="108" w:type="dxa"/>
      </w:tblCellMa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rsid w:val="00162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character" w:customStyle="1" w:styleId="FootnoteTextChar">
    <w:name w:val="Footnote Text Char"/>
    <w:aliases w:val="~FootnoteText Char"/>
    <w:basedOn w:val="DefaultParagraphFont"/>
    <w:link w:val="FootnoteText"/>
    <w:rsid w:val="00CD33B2"/>
    <w:rPr>
      <w:sz w:val="18"/>
    </w:rPr>
  </w:style>
  <w:style w:type="paragraph" w:styleId="ListParagraph">
    <w:name w:val="List Paragraph"/>
    <w:basedOn w:val="Normal"/>
    <w:uiPriority w:val="34"/>
    <w:qFormat/>
    <w:rsid w:val="00CD33B2"/>
    <w:pPr>
      <w:spacing w:after="200" w:line="276" w:lineRule="auto"/>
      <w:ind w:left="720"/>
      <w:contextualSpacing/>
    </w:pPr>
    <w:rPr>
      <w:rFonts w:eastAsiaTheme="minorEastAsia" w:cstheme="minorBidi"/>
      <w:color w:val="auto"/>
      <w:sz w:val="22"/>
      <w:szCs w:val="22"/>
      <w:lang w:eastAsia="en-GB"/>
    </w:rPr>
  </w:style>
  <w:style w:type="paragraph" w:styleId="ListBullet">
    <w:name w:val="List Bullet"/>
    <w:basedOn w:val="Normal"/>
    <w:uiPriority w:val="99"/>
    <w:unhideWhenUsed/>
    <w:rsid w:val="00804B5E"/>
    <w:pPr>
      <w:numPr>
        <w:numId w:val="6"/>
      </w:numPr>
      <w:contextualSpacing/>
    </w:pPr>
  </w:style>
  <w:style w:type="paragraph" w:styleId="Quote">
    <w:name w:val="Quote"/>
    <w:basedOn w:val="Normal"/>
    <w:next w:val="Normal"/>
    <w:link w:val="QuoteChar"/>
    <w:uiPriority w:val="29"/>
    <w:qFormat/>
    <w:rsid w:val="00496077"/>
    <w:pPr>
      <w:spacing w:line="240" w:lineRule="auto"/>
    </w:pPr>
    <w:rPr>
      <w:rFonts w:eastAsia="Times New Roman" w:cstheme="minorHAnsi"/>
      <w:i/>
      <w:iCs/>
      <w:sz w:val="22"/>
      <w:szCs w:val="22"/>
      <w:lang w:eastAsia="en-GB"/>
    </w:rPr>
  </w:style>
  <w:style w:type="character" w:customStyle="1" w:styleId="QuoteChar">
    <w:name w:val="Quote Char"/>
    <w:basedOn w:val="DefaultParagraphFont"/>
    <w:link w:val="Quote"/>
    <w:uiPriority w:val="29"/>
    <w:rsid w:val="00496077"/>
    <w:rPr>
      <w:rFonts w:eastAsia="Times New Roman" w:cstheme="minorHAnsi"/>
      <w:i/>
      <w:iCs/>
      <w:sz w:val="22"/>
      <w:szCs w:val="22"/>
      <w:lang w:eastAsia="en-GB"/>
    </w:rPr>
  </w:style>
  <w:style w:type="character" w:styleId="Strong">
    <w:name w:val="Strong"/>
    <w:basedOn w:val="DefaultParagraphFont"/>
    <w:qFormat/>
    <w:rsid w:val="00496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color w:val="000000" w:themeColor="text1"/>
        <w:lang w:val="en-GB" w:eastAsia="en-US" w:bidi="ar-SA"/>
      </w:rPr>
    </w:rPrDefault>
    <w:pPrDefault>
      <w:pPr>
        <w:spacing w:after="160" w:line="259"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uiPriority="0" w:unhideWhenUsed="1" w:qFormat="1"/>
    <w:lsdException w:name="table of figures" w:unhideWhenUsed="1"/>
    <w:lsdException w:name="footnote reference" w:uiPriority="0"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Signature" w:unhideWhenUsed="1"/>
    <w:lsdException w:name="Default Paragraph Font" w:uiPriority="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Note Heading" w:unhideWhenUsed="1"/>
    <w:lsdException w:name="Hyperlink" w:unhideWhenUsed="1"/>
    <w:lsdException w:name="FollowedHyperlink" w:unhideWhenUsed="1"/>
    <w:lsdException w:name="Strong" w:uiPriority="0" w:qFormat="1"/>
    <w:lsdException w:name="Emphasis" w:uiPriority="20" w:qFormat="1"/>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aliases w:val="~BodyText"/>
    <w:qFormat/>
    <w:rsid w:val="00B729E0"/>
    <w:pPr>
      <w:spacing w:after="0" w:line="300" w:lineRule="auto"/>
    </w:pPr>
  </w:style>
  <w:style w:type="paragraph" w:styleId="Heading1">
    <w:name w:val="heading 1"/>
    <w:aliases w:val="~SectionHeading"/>
    <w:basedOn w:val="SecHeadNonToc"/>
    <w:next w:val="Normal"/>
    <w:link w:val="Heading1Char"/>
    <w:uiPriority w:val="9"/>
    <w:qFormat/>
    <w:rsid w:val="00356FD1"/>
    <w:pPr>
      <w:numPr>
        <w:numId w:val="5"/>
      </w:numPr>
      <w:outlineLvl w:val="0"/>
    </w:pPr>
  </w:style>
  <w:style w:type="paragraph" w:styleId="Heading2">
    <w:name w:val="heading 2"/>
    <w:aliases w:val="~SubHeading"/>
    <w:basedOn w:val="Normal"/>
    <w:next w:val="Normal"/>
    <w:link w:val="Heading2Char"/>
    <w:uiPriority w:val="9"/>
    <w:qFormat/>
    <w:rsid w:val="00C17B5E"/>
    <w:pPr>
      <w:spacing w:before="40" w:after="40" w:line="240" w:lineRule="auto"/>
      <w:outlineLvl w:val="1"/>
    </w:pPr>
    <w:rPr>
      <w:b/>
      <w:sz w:val="22"/>
      <w:szCs w:val="22"/>
    </w:rPr>
  </w:style>
  <w:style w:type="paragraph" w:styleId="Heading3">
    <w:name w:val="heading 3"/>
    <w:aliases w:val="~MinorSubHeading"/>
    <w:basedOn w:val="Heading2"/>
    <w:next w:val="Normal"/>
    <w:link w:val="Heading3Char"/>
    <w:uiPriority w:val="9"/>
    <w:semiHidden/>
    <w:qFormat/>
    <w:rsid w:val="00EE64AA"/>
    <w:pPr>
      <w:numPr>
        <w:ilvl w:val="2"/>
      </w:numPr>
      <w:outlineLvl w:val="2"/>
    </w:pPr>
    <w:rPr>
      <w:b w:val="0"/>
    </w:rPr>
  </w:style>
  <w:style w:type="paragraph" w:styleId="Heading4">
    <w:name w:val="heading 4"/>
    <w:aliases w:val="~Level4Heading"/>
    <w:basedOn w:val="Heading3"/>
    <w:next w:val="Normal"/>
    <w:link w:val="Heading4Char"/>
    <w:uiPriority w:val="9"/>
    <w:semiHidden/>
    <w:qFormat/>
    <w:rsid w:val="00EE64AA"/>
    <w:pPr>
      <w:numPr>
        <w:ilvl w:val="3"/>
      </w:numPr>
      <w:outlineLvl w:val="3"/>
    </w:pPr>
  </w:style>
  <w:style w:type="paragraph" w:styleId="Heading5">
    <w:name w:val="heading 5"/>
    <w:basedOn w:val="Normal"/>
    <w:next w:val="Normal"/>
    <w:link w:val="Heading5Char"/>
    <w:uiPriority w:val="9"/>
    <w:semiHidden/>
    <w:qFormat/>
    <w:rsid w:val="00EE64AA"/>
    <w:pPr>
      <w:keepNext/>
      <w:keepLines/>
      <w:numPr>
        <w:ilvl w:val="4"/>
        <w:numId w:val="4"/>
      </w:numPr>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EE64AA"/>
    <w:pPr>
      <w:keepNext/>
      <w:keepLines/>
      <w:numPr>
        <w:ilvl w:val="5"/>
        <w:numId w:val="4"/>
      </w:numPr>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qFormat/>
    <w:rsid w:val="00EE64AA"/>
    <w:pPr>
      <w:keepNext/>
      <w:keepLines/>
      <w:numPr>
        <w:ilvl w:val="6"/>
        <w:numId w:val="4"/>
      </w:numPr>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EE64AA"/>
    <w:pPr>
      <w:keepNext/>
      <w:keepLines/>
      <w:numPr>
        <w:ilvl w:val="7"/>
        <w:numId w:val="4"/>
      </w:numPr>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EE64AA"/>
    <w:pPr>
      <w:keepNext/>
      <w:keepLines/>
      <w:numPr>
        <w:ilvl w:val="8"/>
        <w:numId w:val="4"/>
      </w:numPr>
      <w:spacing w:before="200"/>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aseStyle"/>
    <w:uiPriority w:val="1"/>
    <w:semiHidden/>
    <w:qFormat/>
    <w:rsid w:val="00EE64AA"/>
    <w:pPr>
      <w:spacing w:after="0" w:line="240" w:lineRule="auto"/>
    </w:pPr>
  </w:style>
  <w:style w:type="paragraph" w:customStyle="1" w:styleId="SecHeadNonToc">
    <w:name w:val="~SecHeadNonToc"/>
    <w:basedOn w:val="NoSpacing"/>
    <w:next w:val="Normal"/>
    <w:semiHidden/>
    <w:qFormat/>
    <w:rsid w:val="00744D36"/>
    <w:pPr>
      <w:keepNext/>
      <w:spacing w:before="440" w:after="240"/>
    </w:pPr>
    <w:rPr>
      <w:rFonts w:asciiTheme="majorHAnsi" w:hAnsiTheme="majorHAnsi"/>
      <w:b/>
      <w:color w:val="EC098D" w:themeColor="accent3"/>
      <w:sz w:val="28"/>
      <w:szCs w:val="28"/>
    </w:rPr>
  </w:style>
  <w:style w:type="paragraph" w:customStyle="1" w:styleId="AppendixDivider">
    <w:name w:val="~AppendixDivider"/>
    <w:basedOn w:val="SecHeadNonToc"/>
    <w:next w:val="Normal"/>
    <w:semiHidden/>
    <w:qFormat/>
    <w:rsid w:val="00EE64AA"/>
    <w:pPr>
      <w:outlineLvl w:val="0"/>
    </w:pPr>
  </w:style>
  <w:style w:type="paragraph" w:customStyle="1" w:styleId="AppHead">
    <w:name w:val="~AppHead"/>
    <w:basedOn w:val="SecHeadNonToc"/>
    <w:next w:val="Normal"/>
    <w:semiHidden/>
    <w:qFormat/>
    <w:rsid w:val="0027112D"/>
    <w:pPr>
      <w:spacing w:before="240"/>
      <w:outlineLvl w:val="0"/>
    </w:pPr>
  </w:style>
  <w:style w:type="paragraph" w:customStyle="1" w:styleId="AppSubHead">
    <w:name w:val="~AppSubHead"/>
    <w:basedOn w:val="AppHead"/>
    <w:next w:val="Normal"/>
    <w:semiHidden/>
    <w:qFormat/>
    <w:rsid w:val="0027112D"/>
    <w:pPr>
      <w:outlineLvl w:val="1"/>
    </w:pPr>
  </w:style>
  <w:style w:type="paragraph" w:customStyle="1" w:styleId="AppMinorSubHead">
    <w:name w:val="~AppMinorSubHead"/>
    <w:basedOn w:val="AppSubHead"/>
    <w:next w:val="Normal"/>
    <w:semiHidden/>
    <w:qFormat/>
    <w:rsid w:val="0027112D"/>
    <w:pPr>
      <w:outlineLvl w:val="2"/>
    </w:pPr>
    <w:rPr>
      <w:i/>
    </w:rPr>
  </w:style>
  <w:style w:type="paragraph" w:customStyle="1" w:styleId="BodyHeading">
    <w:name w:val="~BodyHeading"/>
    <w:basedOn w:val="Normal"/>
    <w:next w:val="Normal"/>
    <w:qFormat/>
    <w:rsid w:val="00EE64AA"/>
    <w:pPr>
      <w:keepNext/>
      <w:spacing w:before="120" w:line="240" w:lineRule="auto"/>
    </w:pPr>
    <w:rPr>
      <w:b/>
    </w:rPr>
  </w:style>
  <w:style w:type="paragraph" w:customStyle="1" w:styleId="BodyTextNum">
    <w:name w:val="~BodyTextNum"/>
    <w:basedOn w:val="Normal"/>
    <w:semiHidden/>
    <w:qFormat/>
    <w:rsid w:val="00AE5EE3"/>
  </w:style>
  <w:style w:type="paragraph" w:customStyle="1" w:styleId="Bullet1">
    <w:name w:val="~Bullet1"/>
    <w:basedOn w:val="Normal"/>
    <w:qFormat/>
    <w:rsid w:val="007F2CBD"/>
    <w:pPr>
      <w:numPr>
        <w:numId w:val="1"/>
      </w:numPr>
      <w:spacing w:line="276" w:lineRule="auto"/>
    </w:pPr>
    <w:rPr>
      <w:rFonts w:eastAsia="Calibri"/>
    </w:rPr>
  </w:style>
  <w:style w:type="paragraph" w:customStyle="1" w:styleId="Bullet2">
    <w:name w:val="~Bullet2"/>
    <w:basedOn w:val="Bullet1"/>
    <w:qFormat/>
    <w:rsid w:val="00EE64AA"/>
    <w:pPr>
      <w:numPr>
        <w:ilvl w:val="1"/>
      </w:numPr>
    </w:pPr>
  </w:style>
  <w:style w:type="paragraph" w:customStyle="1" w:styleId="Bullet3">
    <w:name w:val="~Bullet3"/>
    <w:basedOn w:val="Bullet2"/>
    <w:qFormat/>
    <w:rsid w:val="00EE64AA"/>
    <w:pPr>
      <w:numPr>
        <w:ilvl w:val="2"/>
      </w:numPr>
    </w:pPr>
  </w:style>
  <w:style w:type="paragraph" w:styleId="Caption">
    <w:name w:val="caption"/>
    <w:aliases w:val="~Caption"/>
    <w:basedOn w:val="BodyHeading"/>
    <w:next w:val="Normal"/>
    <w:link w:val="CaptionChar"/>
    <w:semiHidden/>
    <w:qFormat/>
    <w:rsid w:val="00EE64AA"/>
    <w:pPr>
      <w:spacing w:after="60"/>
    </w:pPr>
    <w:rPr>
      <w:rFonts w:eastAsia="Calibri"/>
    </w:rPr>
  </w:style>
  <w:style w:type="character" w:customStyle="1" w:styleId="CaptionChar">
    <w:name w:val="Caption Char"/>
    <w:aliases w:val="~Caption Char"/>
    <w:basedOn w:val="DefaultParagraphFont"/>
    <w:link w:val="Caption"/>
    <w:semiHidden/>
    <w:rsid w:val="00361E83"/>
    <w:rPr>
      <w:rFonts w:eastAsia="Calibri"/>
      <w:b/>
    </w:rPr>
  </w:style>
  <w:style w:type="paragraph" w:customStyle="1" w:styleId="CaptionWide">
    <w:name w:val="~CaptionWide"/>
    <w:basedOn w:val="Caption"/>
    <w:next w:val="Normal"/>
    <w:semiHidden/>
    <w:qFormat/>
    <w:rsid w:val="00EE64AA"/>
    <w:pPr>
      <w:ind w:left="-2552"/>
    </w:pPr>
    <w:rPr>
      <w:bCs/>
    </w:rPr>
  </w:style>
  <w:style w:type="paragraph" w:customStyle="1" w:styleId="Confidential">
    <w:name w:val="~Confidential"/>
    <w:basedOn w:val="NoSpacing"/>
    <w:semiHidden/>
    <w:qFormat/>
    <w:rsid w:val="00EE64AA"/>
  </w:style>
  <w:style w:type="paragraph" w:customStyle="1" w:styleId="DocClient">
    <w:name w:val="~DocClient"/>
    <w:basedOn w:val="NoSpacing"/>
    <w:semiHidden/>
    <w:qFormat/>
    <w:rsid w:val="00EE64AA"/>
  </w:style>
  <w:style w:type="paragraph" w:customStyle="1" w:styleId="DocDate">
    <w:name w:val="~DocDate"/>
    <w:basedOn w:val="Header"/>
    <w:semiHidden/>
    <w:qFormat/>
    <w:rsid w:val="00AC4090"/>
    <w:pPr>
      <w:spacing w:after="80"/>
      <w:ind w:left="85"/>
    </w:pPr>
    <w:rPr>
      <w:color w:val="FFFFFF" w:themeColor="background1"/>
      <w:sz w:val="22"/>
    </w:rPr>
  </w:style>
  <w:style w:type="paragraph" w:customStyle="1" w:styleId="DocSubTitle">
    <w:name w:val="~DocSubTitle"/>
    <w:basedOn w:val="NoSpacing"/>
    <w:semiHidden/>
    <w:qFormat/>
    <w:rsid w:val="00065E35"/>
    <w:pPr>
      <w:spacing w:before="120" w:after="120"/>
    </w:pPr>
    <w:rPr>
      <w:b/>
      <w:color w:val="522380" w:themeColor="accent1"/>
      <w:sz w:val="32"/>
    </w:rPr>
  </w:style>
  <w:style w:type="paragraph" w:customStyle="1" w:styleId="DocTitle">
    <w:name w:val="~DocTitle"/>
    <w:semiHidden/>
    <w:qFormat/>
    <w:rsid w:val="001E29E2"/>
    <w:pPr>
      <w:spacing w:after="0" w:line="228" w:lineRule="auto"/>
    </w:pPr>
    <w:rPr>
      <w:color w:val="522380" w:themeColor="accent1"/>
      <w:sz w:val="40"/>
      <w:szCs w:val="40"/>
    </w:rPr>
  </w:style>
  <w:style w:type="paragraph" w:customStyle="1" w:styleId="DocType">
    <w:name w:val="~DocType"/>
    <w:basedOn w:val="NoSpacing"/>
    <w:semiHidden/>
    <w:qFormat/>
    <w:rsid w:val="00EB21F3"/>
    <w:pPr>
      <w:framePr w:hSpace="181" w:wrap="around" w:vAnchor="text" w:hAnchor="text" w:y="-197"/>
      <w:suppressOverlap/>
    </w:pPr>
    <w:rPr>
      <w:b/>
      <w:color w:val="EC098D" w:themeColor="accent3"/>
      <w:sz w:val="60"/>
      <w:szCs w:val="60"/>
    </w:rPr>
  </w:style>
  <w:style w:type="paragraph" w:customStyle="1" w:styleId="Draft">
    <w:name w:val="~Draft"/>
    <w:basedOn w:val="NoSpacing"/>
    <w:semiHidden/>
    <w:qFormat/>
    <w:rsid w:val="00B84B8B"/>
    <w:pPr>
      <w:spacing w:before="140"/>
    </w:pPr>
  </w:style>
  <w:style w:type="paragraph" w:customStyle="1" w:styleId="ExecSumHead">
    <w:name w:val="~ExecSumHead"/>
    <w:basedOn w:val="SecHeadNonToc"/>
    <w:next w:val="Normal"/>
    <w:semiHidden/>
    <w:qFormat/>
    <w:rsid w:val="00EE64AA"/>
    <w:pPr>
      <w:outlineLvl w:val="0"/>
    </w:pPr>
  </w:style>
  <w:style w:type="paragraph" w:customStyle="1" w:styleId="ExecSumSubHead">
    <w:name w:val="~ExecSumSubHead"/>
    <w:basedOn w:val="ExecSumHead"/>
    <w:next w:val="Normal"/>
    <w:semiHidden/>
    <w:qFormat/>
    <w:rsid w:val="00EE64AA"/>
    <w:pPr>
      <w:spacing w:before="240"/>
    </w:pPr>
  </w:style>
  <w:style w:type="paragraph" w:customStyle="1" w:styleId="GraphicLeft">
    <w:name w:val="~GraphicLeft"/>
    <w:basedOn w:val="NoSpacing"/>
    <w:semiHidden/>
    <w:rsid w:val="00EE64AA"/>
  </w:style>
  <w:style w:type="paragraph" w:customStyle="1" w:styleId="GraphicCentre">
    <w:name w:val="~GraphicCentre"/>
    <w:basedOn w:val="GraphicLeft"/>
    <w:semiHidden/>
    <w:qFormat/>
    <w:rsid w:val="00EE64AA"/>
    <w:pPr>
      <w:jc w:val="center"/>
    </w:pPr>
  </w:style>
  <w:style w:type="paragraph" w:customStyle="1" w:styleId="GraphicRight">
    <w:name w:val="~GraphicRight"/>
    <w:basedOn w:val="GraphicLeft"/>
    <w:semiHidden/>
    <w:qFormat/>
    <w:rsid w:val="00EE64AA"/>
    <w:pPr>
      <w:jc w:val="right"/>
    </w:pPr>
  </w:style>
  <w:style w:type="paragraph" w:customStyle="1" w:styleId="Hidden">
    <w:name w:val="~Hidden"/>
    <w:basedOn w:val="NoSpacing"/>
    <w:semiHidden/>
    <w:qFormat/>
    <w:rsid w:val="00EE64AA"/>
    <w:pPr>
      <w:framePr w:wrap="around" w:vAnchor="page" w:hAnchor="page" w:xAlign="right" w:yAlign="bottom"/>
    </w:pPr>
    <w:rPr>
      <w:color w:val="C00000"/>
    </w:rPr>
  </w:style>
  <w:style w:type="paragraph" w:customStyle="1" w:styleId="IntroText">
    <w:name w:val="~IntroText"/>
    <w:basedOn w:val="Normal"/>
    <w:next w:val="Normal"/>
    <w:semiHidden/>
    <w:qFormat/>
    <w:rsid w:val="00EE64AA"/>
    <w:pPr>
      <w:spacing w:before="120"/>
    </w:pPr>
    <w:rPr>
      <w:sz w:val="24"/>
    </w:rPr>
  </w:style>
  <w:style w:type="paragraph" w:customStyle="1" w:styleId="KeyMsgBoxText">
    <w:name w:val="~KeyMsgBoxText"/>
    <w:basedOn w:val="Normal"/>
    <w:semiHidden/>
    <w:qFormat/>
    <w:rsid w:val="00EE64AA"/>
    <w:pPr>
      <w:spacing w:after="60"/>
    </w:pPr>
    <w:rPr>
      <w:sz w:val="24"/>
    </w:rPr>
  </w:style>
  <w:style w:type="paragraph" w:customStyle="1" w:styleId="KeyMsgBoxHead">
    <w:name w:val="~KeyMsgBoxHead"/>
    <w:basedOn w:val="KeyMsgBoxText"/>
    <w:semiHidden/>
    <w:qFormat/>
    <w:rsid w:val="00EE64AA"/>
    <w:pPr>
      <w:keepNext/>
      <w:spacing w:before="60" w:line="240" w:lineRule="auto"/>
    </w:pPr>
    <w:rPr>
      <w:b/>
    </w:rPr>
  </w:style>
  <w:style w:type="paragraph" w:customStyle="1" w:styleId="NumBullet1">
    <w:name w:val="~NumBullet1"/>
    <w:basedOn w:val="Bullet1"/>
    <w:qFormat/>
    <w:rsid w:val="00326FF5"/>
    <w:pPr>
      <w:numPr>
        <w:numId w:val="2"/>
      </w:numPr>
      <w:spacing w:after="300"/>
    </w:pPr>
  </w:style>
  <w:style w:type="paragraph" w:customStyle="1" w:styleId="NumBullet2">
    <w:name w:val="~NumBullet2"/>
    <w:basedOn w:val="NumBullet1"/>
    <w:qFormat/>
    <w:rsid w:val="00EE64AA"/>
    <w:pPr>
      <w:numPr>
        <w:ilvl w:val="1"/>
      </w:numPr>
    </w:pPr>
  </w:style>
  <w:style w:type="paragraph" w:customStyle="1" w:styleId="NumBullet3">
    <w:name w:val="~NumBullet3"/>
    <w:basedOn w:val="NumBullet2"/>
    <w:qFormat/>
    <w:rsid w:val="00EE64AA"/>
    <w:pPr>
      <w:numPr>
        <w:ilvl w:val="2"/>
      </w:numPr>
    </w:pPr>
  </w:style>
  <w:style w:type="paragraph" w:customStyle="1" w:styleId="QuoteBoxText">
    <w:name w:val="~QuoteBoxText"/>
    <w:basedOn w:val="Normal"/>
    <w:semiHidden/>
    <w:qFormat/>
    <w:rsid w:val="00EE64AA"/>
    <w:pPr>
      <w:keepNext/>
      <w:spacing w:before="120"/>
    </w:pPr>
    <w:rPr>
      <w:sz w:val="24"/>
    </w:rPr>
  </w:style>
  <w:style w:type="paragraph" w:customStyle="1" w:styleId="Source">
    <w:name w:val="~Source"/>
    <w:basedOn w:val="Normal"/>
    <w:next w:val="Normal"/>
    <w:semiHidden/>
    <w:qFormat/>
    <w:rsid w:val="00A92C1F"/>
    <w:pPr>
      <w:spacing w:before="60" w:after="60" w:line="240" w:lineRule="auto"/>
      <w:ind w:left="680" w:hanging="680"/>
    </w:pPr>
    <w:rPr>
      <w:rFonts w:eastAsia="Calibri"/>
      <w:i/>
      <w:sz w:val="18"/>
    </w:rPr>
  </w:style>
  <w:style w:type="paragraph" w:customStyle="1" w:styleId="SourceWide">
    <w:name w:val="~SourceWide"/>
    <w:basedOn w:val="Source"/>
    <w:next w:val="Normal"/>
    <w:semiHidden/>
    <w:qFormat/>
    <w:rsid w:val="00EE64AA"/>
    <w:pPr>
      <w:ind w:left="-2552"/>
    </w:pPr>
  </w:style>
  <w:style w:type="paragraph" w:customStyle="1" w:styleId="Spacer">
    <w:name w:val="~Spacer"/>
    <w:basedOn w:val="NoSpacing"/>
    <w:semiHidden/>
    <w:qFormat/>
    <w:rsid w:val="00EE64AA"/>
    <w:rPr>
      <w:rFonts w:ascii="Arial" w:hAnsi="Arial"/>
      <w:sz w:val="2"/>
    </w:rPr>
  </w:style>
  <w:style w:type="paragraph" w:customStyle="1" w:styleId="TableTextLeft">
    <w:name w:val="~TableTextLeft"/>
    <w:basedOn w:val="Normal"/>
    <w:qFormat/>
    <w:rsid w:val="00A03785"/>
    <w:pPr>
      <w:spacing w:before="40" w:after="40" w:line="240" w:lineRule="auto"/>
    </w:pPr>
    <w:rPr>
      <w:color w:val="522380" w:themeColor="accent1"/>
    </w:rPr>
  </w:style>
  <w:style w:type="paragraph" w:customStyle="1" w:styleId="TableBullet1">
    <w:name w:val="~TableBullet1"/>
    <w:basedOn w:val="TableTextLeft"/>
    <w:qFormat/>
    <w:rsid w:val="00C94E0B"/>
    <w:pPr>
      <w:numPr>
        <w:numId w:val="3"/>
      </w:numPr>
    </w:pPr>
    <w:rPr>
      <w:rFonts w:eastAsia="Calibri"/>
    </w:rPr>
  </w:style>
  <w:style w:type="table" w:customStyle="1" w:styleId="TableClear">
    <w:name w:val="~TableClear"/>
    <w:basedOn w:val="TableNormal"/>
    <w:uiPriority w:val="99"/>
    <w:rsid w:val="00EE64AA"/>
    <w:pPr>
      <w:spacing w:after="0" w:line="240" w:lineRule="auto"/>
    </w:pPr>
    <w:tblPr>
      <w:tblInd w:w="0" w:type="dxa"/>
      <w:tblCellMar>
        <w:top w:w="0" w:type="dxa"/>
        <w:left w:w="108" w:type="dxa"/>
        <w:bottom w:w="0" w:type="dxa"/>
        <w:right w:w="108" w:type="dxa"/>
      </w:tblCellMar>
    </w:tblPr>
  </w:style>
  <w:style w:type="paragraph" w:customStyle="1" w:styleId="TableHeadingLeft">
    <w:name w:val="~TableHeadingLeft"/>
    <w:basedOn w:val="TableTextLeft"/>
    <w:qFormat/>
    <w:rsid w:val="00EE64AA"/>
    <w:pPr>
      <w:keepNext/>
    </w:pPr>
    <w:rPr>
      <w:b/>
      <w:szCs w:val="26"/>
    </w:rPr>
  </w:style>
  <w:style w:type="paragraph" w:customStyle="1" w:styleId="TableHeadingCentre">
    <w:name w:val="~TableHeadingCentre"/>
    <w:basedOn w:val="TableHeadingLeft"/>
    <w:qFormat/>
    <w:rsid w:val="00EE64AA"/>
    <w:pPr>
      <w:jc w:val="center"/>
    </w:pPr>
  </w:style>
  <w:style w:type="paragraph" w:customStyle="1" w:styleId="TableHeadingRight">
    <w:name w:val="~TableHeadingRight"/>
    <w:basedOn w:val="TableHeadingLeft"/>
    <w:qFormat/>
    <w:rsid w:val="00EE64AA"/>
    <w:pPr>
      <w:jc w:val="right"/>
    </w:pPr>
  </w:style>
  <w:style w:type="table" w:customStyle="1" w:styleId="TableNormal0">
    <w:name w:val="~TableNormal"/>
    <w:basedOn w:val="TableNormal"/>
    <w:semiHidden/>
    <w:rsid w:val="00EE64AA"/>
    <w:pPr>
      <w:spacing w:after="0" w:line="240" w:lineRule="auto"/>
    </w:pPr>
    <w:tblPr>
      <w:tblInd w:w="0" w:type="dxa"/>
      <w:tblCellMar>
        <w:top w:w="0" w:type="dxa"/>
        <w:left w:w="108" w:type="dxa"/>
        <w:bottom w:w="0" w:type="dxa"/>
        <w:right w:w="108" w:type="dxa"/>
      </w:tblCellMar>
    </w:tblPr>
  </w:style>
  <w:style w:type="paragraph" w:customStyle="1" w:styleId="TableTextCentre">
    <w:name w:val="~TableTextCentre"/>
    <w:basedOn w:val="TableTextLeft"/>
    <w:qFormat/>
    <w:rsid w:val="00EE64AA"/>
    <w:pPr>
      <w:jc w:val="center"/>
    </w:pPr>
  </w:style>
  <w:style w:type="paragraph" w:customStyle="1" w:styleId="TableTextRight">
    <w:name w:val="~TableTextRight"/>
    <w:basedOn w:val="TableTextLeft"/>
    <w:qFormat/>
    <w:rsid w:val="00EE64AA"/>
    <w:pPr>
      <w:jc w:val="right"/>
    </w:pPr>
  </w:style>
  <w:style w:type="paragraph" w:customStyle="1" w:styleId="TableTotalLeft">
    <w:name w:val="~TableTotalLeft"/>
    <w:basedOn w:val="TableTextLeft"/>
    <w:semiHidden/>
    <w:qFormat/>
    <w:rsid w:val="00EE64AA"/>
    <w:rPr>
      <w:b/>
    </w:rPr>
  </w:style>
  <w:style w:type="paragraph" w:customStyle="1" w:styleId="TableTotalCentre">
    <w:name w:val="~TableTotalCentre"/>
    <w:basedOn w:val="TableTotalLeft"/>
    <w:semiHidden/>
    <w:qFormat/>
    <w:rsid w:val="00EE64AA"/>
    <w:pPr>
      <w:framePr w:wrap="around" w:vAnchor="page" w:hAnchor="margin" w:y="1135"/>
      <w:suppressOverlap/>
      <w:jc w:val="center"/>
    </w:pPr>
  </w:style>
  <w:style w:type="paragraph" w:customStyle="1" w:styleId="TableTotalRight">
    <w:name w:val="~TableTotalRight"/>
    <w:basedOn w:val="TableTotalLeft"/>
    <w:semiHidden/>
    <w:qFormat/>
    <w:rsid w:val="00EE64AA"/>
    <w:pPr>
      <w:framePr w:wrap="around" w:vAnchor="page" w:hAnchor="margin" w:y="1135"/>
      <w:suppressOverlap/>
      <w:jc w:val="right"/>
    </w:pPr>
  </w:style>
  <w:style w:type="paragraph" w:styleId="BalloonText">
    <w:name w:val="Balloon Text"/>
    <w:basedOn w:val="Normal"/>
    <w:link w:val="BalloonTextChar"/>
    <w:uiPriority w:val="99"/>
    <w:semiHidden/>
    <w:rsid w:val="00EE64AA"/>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361E83"/>
    <w:rPr>
      <w:rFonts w:ascii="Tahoma" w:hAnsi="Tahoma" w:cs="Tahoma"/>
      <w:color w:val="808080" w:themeColor="background1" w:themeShade="80"/>
      <w:sz w:val="16"/>
      <w:szCs w:val="16"/>
    </w:rPr>
  </w:style>
  <w:style w:type="character" w:styleId="CommentReference">
    <w:name w:val="annotation reference"/>
    <w:basedOn w:val="DefaultParagraphFont"/>
    <w:uiPriority w:val="99"/>
    <w:semiHidden/>
    <w:rsid w:val="00EE64AA"/>
    <w:rPr>
      <w:sz w:val="16"/>
      <w:szCs w:val="16"/>
    </w:rPr>
  </w:style>
  <w:style w:type="paragraph" w:styleId="CommentText">
    <w:name w:val="annotation text"/>
    <w:basedOn w:val="Normal"/>
    <w:link w:val="CommentTextChar"/>
    <w:uiPriority w:val="99"/>
    <w:semiHidden/>
    <w:rsid w:val="00EE64AA"/>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361E83"/>
    <w:rPr>
      <w:rFonts w:ascii="Arial" w:hAnsi="Arial"/>
      <w:color w:val="auto"/>
    </w:rPr>
  </w:style>
  <w:style w:type="paragraph" w:styleId="CommentSubject">
    <w:name w:val="annotation subject"/>
    <w:basedOn w:val="CommentText"/>
    <w:next w:val="CommentText"/>
    <w:link w:val="CommentSubjectChar"/>
    <w:uiPriority w:val="99"/>
    <w:semiHidden/>
    <w:rsid w:val="00EE64AA"/>
    <w:rPr>
      <w:b/>
      <w:bCs/>
    </w:rPr>
  </w:style>
  <w:style w:type="character" w:customStyle="1" w:styleId="CommentSubjectChar">
    <w:name w:val="Comment Subject Char"/>
    <w:basedOn w:val="CommentTextChar"/>
    <w:link w:val="CommentSubject"/>
    <w:uiPriority w:val="99"/>
    <w:semiHidden/>
    <w:rsid w:val="00361E83"/>
    <w:rPr>
      <w:rFonts w:ascii="Arial" w:hAnsi="Arial"/>
      <w:b/>
      <w:bCs/>
      <w:color w:val="auto"/>
    </w:rPr>
  </w:style>
  <w:style w:type="character" w:styleId="FollowedHyperlink">
    <w:name w:val="FollowedHyperlink"/>
    <w:aliases w:val="~FollowedHyperlink"/>
    <w:basedOn w:val="DefaultParagraphFont"/>
    <w:uiPriority w:val="99"/>
    <w:semiHidden/>
    <w:rsid w:val="00EE64AA"/>
    <w:rPr>
      <w:color w:val="F584C6" w:themeColor="followedHyperlink"/>
      <w:u w:val="single"/>
    </w:rPr>
  </w:style>
  <w:style w:type="paragraph" w:styleId="Footer">
    <w:name w:val="footer"/>
    <w:aliases w:val="~Footer"/>
    <w:basedOn w:val="NoSpacing"/>
    <w:link w:val="FooterChar"/>
    <w:uiPriority w:val="99"/>
    <w:semiHidden/>
    <w:rsid w:val="00EE64AA"/>
  </w:style>
  <w:style w:type="character" w:customStyle="1" w:styleId="FooterChar">
    <w:name w:val="Footer Char"/>
    <w:aliases w:val="~Footer Char"/>
    <w:basedOn w:val="DefaultParagraphFont"/>
    <w:link w:val="Footer"/>
    <w:uiPriority w:val="99"/>
    <w:semiHidden/>
    <w:rsid w:val="00361E83"/>
  </w:style>
  <w:style w:type="character" w:styleId="FootnoteReference">
    <w:name w:val="footnote reference"/>
    <w:basedOn w:val="DefaultParagraphFont"/>
    <w:rsid w:val="006940D4"/>
    <w:rPr>
      <w:rFonts w:asciiTheme="minorHAnsi" w:hAnsiTheme="minorHAnsi"/>
      <w:color w:val="EC098D" w:themeColor="accent3"/>
      <w:vertAlign w:val="superscript"/>
    </w:rPr>
  </w:style>
  <w:style w:type="paragraph" w:styleId="FootnoteText">
    <w:name w:val="footnote text"/>
    <w:aliases w:val="~FootnoteText"/>
    <w:basedOn w:val="NoSpacing"/>
    <w:link w:val="FootnoteTextChar"/>
    <w:rsid w:val="006940D4"/>
    <w:pPr>
      <w:spacing w:before="60"/>
      <w:ind w:left="284" w:hanging="284"/>
    </w:pPr>
    <w:rPr>
      <w:sz w:val="18"/>
    </w:rPr>
  </w:style>
  <w:style w:type="paragraph" w:styleId="Header">
    <w:name w:val="header"/>
    <w:aliases w:val="~Header"/>
    <w:basedOn w:val="NoSpacing"/>
    <w:link w:val="HeaderChar"/>
    <w:uiPriority w:val="99"/>
    <w:semiHidden/>
    <w:rsid w:val="00EE64AA"/>
  </w:style>
  <w:style w:type="character" w:customStyle="1" w:styleId="HeaderChar">
    <w:name w:val="Header Char"/>
    <w:aliases w:val="~Header Char"/>
    <w:basedOn w:val="DefaultParagraphFont"/>
    <w:link w:val="Header"/>
    <w:uiPriority w:val="99"/>
    <w:semiHidden/>
    <w:rsid w:val="00361E83"/>
  </w:style>
  <w:style w:type="character" w:customStyle="1" w:styleId="Heading1Char">
    <w:name w:val="Heading 1 Char"/>
    <w:aliases w:val="~SectionHeading Char"/>
    <w:basedOn w:val="DefaultParagraphFont"/>
    <w:link w:val="Heading1"/>
    <w:uiPriority w:val="9"/>
    <w:rsid w:val="00356FD1"/>
    <w:rPr>
      <w:rFonts w:asciiTheme="majorHAnsi" w:hAnsiTheme="majorHAnsi"/>
      <w:b/>
      <w:color w:val="EC098D" w:themeColor="accent3"/>
      <w:sz w:val="28"/>
      <w:szCs w:val="28"/>
    </w:rPr>
  </w:style>
  <w:style w:type="character" w:customStyle="1" w:styleId="Heading2Char">
    <w:name w:val="Heading 2 Char"/>
    <w:aliases w:val="~SubHeading Char"/>
    <w:basedOn w:val="DefaultParagraphFont"/>
    <w:link w:val="Heading2"/>
    <w:uiPriority w:val="9"/>
    <w:rsid w:val="00C17B5E"/>
    <w:rPr>
      <w:b/>
      <w:sz w:val="22"/>
      <w:szCs w:val="22"/>
    </w:rPr>
  </w:style>
  <w:style w:type="character" w:customStyle="1" w:styleId="Heading3Char">
    <w:name w:val="Heading 3 Char"/>
    <w:aliases w:val="~MinorSubHeading Char"/>
    <w:basedOn w:val="DefaultParagraphFont"/>
    <w:link w:val="Heading3"/>
    <w:uiPriority w:val="9"/>
    <w:semiHidden/>
    <w:rsid w:val="00B729E0"/>
    <w:rPr>
      <w:sz w:val="22"/>
      <w:szCs w:val="22"/>
    </w:rPr>
  </w:style>
  <w:style w:type="character" w:customStyle="1" w:styleId="Heading4Char">
    <w:name w:val="Heading 4 Char"/>
    <w:aliases w:val="~Level4Heading Char"/>
    <w:basedOn w:val="DefaultParagraphFont"/>
    <w:link w:val="Heading4"/>
    <w:uiPriority w:val="9"/>
    <w:semiHidden/>
    <w:rsid w:val="00361E83"/>
    <w:rPr>
      <w:sz w:val="22"/>
      <w:szCs w:val="22"/>
    </w:rPr>
  </w:style>
  <w:style w:type="character" w:customStyle="1" w:styleId="Heading5Char">
    <w:name w:val="Heading 5 Char"/>
    <w:basedOn w:val="DefaultParagraphFont"/>
    <w:link w:val="Heading5"/>
    <w:uiPriority w:val="9"/>
    <w:semiHidden/>
    <w:rsid w:val="00361E8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361E8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361E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1E83"/>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361E83"/>
    <w:rPr>
      <w:rFonts w:asciiTheme="majorHAnsi" w:eastAsiaTheme="majorEastAsia" w:hAnsiTheme="majorHAnsi" w:cstheme="majorBidi"/>
      <w:i/>
      <w:iCs/>
    </w:rPr>
  </w:style>
  <w:style w:type="character" w:styleId="Hyperlink">
    <w:name w:val="Hyperlink"/>
    <w:aliases w:val="~HyperLink"/>
    <w:basedOn w:val="DefaultParagraphFont"/>
    <w:uiPriority w:val="99"/>
    <w:semiHidden/>
    <w:rsid w:val="00EE64AA"/>
    <w:rPr>
      <w:color w:val="FF0000"/>
      <w:u w:val="single"/>
    </w:rPr>
  </w:style>
  <w:style w:type="table" w:styleId="MediumShading2-Accent1">
    <w:name w:val="Medium Shading 2 Accent 1"/>
    <w:basedOn w:val="TableNormal"/>
    <w:uiPriority w:val="64"/>
    <w:rsid w:val="00EE64AA"/>
    <w:pPr>
      <w:spacing w:after="0" w:line="240" w:lineRule="auto"/>
    </w:pPr>
    <w:rPr>
      <w:color w:val="808080" w:themeColor="background1" w:themeShade="8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2238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22380" w:themeFill="accent1"/>
      </w:tcPr>
    </w:tblStylePr>
    <w:tblStylePr w:type="lastCol">
      <w:rPr>
        <w:b/>
        <w:bCs/>
        <w:color w:val="FFFFFF" w:themeColor="background1"/>
      </w:rPr>
      <w:tblPr/>
      <w:tcPr>
        <w:tcBorders>
          <w:left w:val="nil"/>
          <w:right w:val="nil"/>
          <w:insideH w:val="nil"/>
          <w:insideV w:val="nil"/>
        </w:tcBorders>
        <w:shd w:val="clear" w:color="auto" w:fill="52238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EE64AA"/>
    <w:rPr>
      <w:color w:val="808080"/>
    </w:rPr>
  </w:style>
  <w:style w:type="table" w:styleId="TableGrid">
    <w:name w:val="Table Grid"/>
    <w:basedOn w:val="TableNormal"/>
    <w:rsid w:val="00162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aliases w:val="~SectionHeadings"/>
    <w:basedOn w:val="NoSpacing"/>
    <w:next w:val="Normal"/>
    <w:uiPriority w:val="39"/>
    <w:semiHidden/>
    <w:qFormat/>
    <w:rsid w:val="00EE64AA"/>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qFormat/>
    <w:rsid w:val="00EE64AA"/>
    <w:pPr>
      <w:ind w:left="425"/>
    </w:pPr>
  </w:style>
  <w:style w:type="paragraph" w:styleId="TOC3">
    <w:name w:val="toc 3"/>
    <w:aliases w:val="~MinorSubheadings"/>
    <w:basedOn w:val="TOC2"/>
    <w:next w:val="Normal"/>
    <w:uiPriority w:val="39"/>
    <w:semiHidden/>
    <w:qFormat/>
    <w:rsid w:val="00EE64AA"/>
    <w:pPr>
      <w:ind w:left="850"/>
    </w:pPr>
  </w:style>
  <w:style w:type="paragraph" w:styleId="TOC4">
    <w:name w:val="toc 4"/>
    <w:aliases w:val="~FourthHeadLevel"/>
    <w:basedOn w:val="TOC3"/>
    <w:next w:val="Normal"/>
    <w:uiPriority w:val="39"/>
    <w:semiHidden/>
    <w:rsid w:val="00EE64AA"/>
    <w:pPr>
      <w:tabs>
        <w:tab w:val="left" w:pos="2098"/>
      </w:tabs>
      <w:ind w:left="2098" w:hanging="794"/>
    </w:pPr>
  </w:style>
  <w:style w:type="paragraph" w:styleId="TOC5">
    <w:name w:val="toc 5"/>
    <w:aliases w:val="~ExecSumHeading"/>
    <w:basedOn w:val="TOC1"/>
    <w:next w:val="Normal"/>
    <w:uiPriority w:val="39"/>
    <w:semiHidden/>
    <w:rsid w:val="00EE64AA"/>
  </w:style>
  <w:style w:type="paragraph" w:styleId="TOC6">
    <w:name w:val="toc 6"/>
    <w:aliases w:val="~AppDivider"/>
    <w:basedOn w:val="TOC1"/>
    <w:next w:val="Normal"/>
    <w:uiPriority w:val="39"/>
    <w:semiHidden/>
    <w:rsid w:val="00EE64AA"/>
    <w:pPr>
      <w:spacing w:before="240"/>
    </w:pPr>
  </w:style>
  <w:style w:type="paragraph" w:styleId="TOC7">
    <w:name w:val="toc 7"/>
    <w:aliases w:val="~AppHeadings"/>
    <w:basedOn w:val="TOC1"/>
    <w:next w:val="Normal"/>
    <w:uiPriority w:val="39"/>
    <w:semiHidden/>
    <w:rsid w:val="00EE64AA"/>
  </w:style>
  <w:style w:type="paragraph" w:styleId="TOC8">
    <w:name w:val="toc 8"/>
    <w:aliases w:val="~AppSubHeadings"/>
    <w:basedOn w:val="TOC2"/>
    <w:next w:val="Normal"/>
    <w:uiPriority w:val="39"/>
    <w:semiHidden/>
    <w:rsid w:val="00EE64AA"/>
  </w:style>
  <w:style w:type="paragraph" w:styleId="TOC9">
    <w:name w:val="toc 9"/>
    <w:basedOn w:val="Normal"/>
    <w:next w:val="Normal"/>
    <w:uiPriority w:val="39"/>
    <w:semiHidden/>
    <w:rsid w:val="00EE64AA"/>
    <w:pPr>
      <w:spacing w:before="120" w:after="100"/>
      <w:ind w:left="1600"/>
    </w:pPr>
    <w:rPr>
      <w:rFonts w:ascii="Arial" w:hAnsi="Arial"/>
    </w:rPr>
  </w:style>
  <w:style w:type="paragraph" w:styleId="TOCHeading">
    <w:name w:val="TOC Heading"/>
    <w:basedOn w:val="Heading1"/>
    <w:next w:val="Normal"/>
    <w:uiPriority w:val="39"/>
    <w:semiHidden/>
    <w:qFormat/>
    <w:rsid w:val="00EE64AA"/>
    <w:pPr>
      <w:keepLines/>
      <w:spacing w:before="480" w:after="0"/>
      <w:jc w:val="both"/>
      <w:outlineLvl w:val="9"/>
    </w:pPr>
    <w:rPr>
      <w:rFonts w:eastAsiaTheme="majorEastAsia" w:cstheme="majorBidi"/>
      <w:bCs/>
    </w:rPr>
  </w:style>
  <w:style w:type="table" w:customStyle="1" w:styleId="LondonCouncils">
    <w:name w:val="~LondonCouncils"/>
    <w:basedOn w:val="TableNormal"/>
    <w:uiPriority w:val="99"/>
    <w:rsid w:val="008A7EAA"/>
    <w:pPr>
      <w:spacing w:after="0" w:line="240" w:lineRule="auto"/>
    </w:pPr>
    <w:rPr>
      <w:color w:val="522380" w:themeColor="accent1"/>
    </w:rPr>
    <w:tblPr>
      <w:tblInd w:w="108" w:type="dxa"/>
      <w:tblCellMar>
        <w:top w:w="28" w:type="dxa"/>
        <w:left w:w="85" w:type="dxa"/>
        <w:bottom w:w="28" w:type="dxa"/>
        <w:right w:w="85" w:type="dxa"/>
      </w:tblCellMar>
    </w:tblPr>
    <w:tcPr>
      <w:shd w:val="clear" w:color="auto" w:fill="E1DCEB" w:themeFill="accent2"/>
    </w:tcPr>
    <w:tblStylePr w:type="firstRow">
      <w:rPr>
        <w:b/>
      </w:rPr>
    </w:tblStylePr>
    <w:tblStylePr w:type="firstCol">
      <w:rPr>
        <w:b/>
      </w:rPr>
    </w:tblStylePr>
  </w:style>
  <w:style w:type="paragraph" w:styleId="Revision">
    <w:name w:val="Revision"/>
    <w:hidden/>
    <w:uiPriority w:val="99"/>
    <w:semiHidden/>
    <w:rsid w:val="00EE64AA"/>
    <w:pPr>
      <w:spacing w:after="0" w:line="240" w:lineRule="auto"/>
    </w:pPr>
    <w:rPr>
      <w:color w:val="808080" w:themeColor="background1" w:themeShade="80"/>
    </w:rPr>
  </w:style>
  <w:style w:type="paragraph" w:customStyle="1" w:styleId="HighlightText">
    <w:name w:val="~HighlightText"/>
    <w:basedOn w:val="TableTextLeft"/>
    <w:qFormat/>
    <w:rsid w:val="00A03785"/>
  </w:style>
  <w:style w:type="character" w:customStyle="1" w:styleId="FootnoteTextChar">
    <w:name w:val="Footnote Text Char"/>
    <w:aliases w:val="~FootnoteText Char"/>
    <w:basedOn w:val="DefaultParagraphFont"/>
    <w:link w:val="FootnoteText"/>
    <w:rsid w:val="00CD33B2"/>
    <w:rPr>
      <w:sz w:val="18"/>
    </w:rPr>
  </w:style>
  <w:style w:type="paragraph" w:styleId="ListParagraph">
    <w:name w:val="List Paragraph"/>
    <w:basedOn w:val="Normal"/>
    <w:uiPriority w:val="34"/>
    <w:qFormat/>
    <w:rsid w:val="00CD33B2"/>
    <w:pPr>
      <w:spacing w:after="200" w:line="276" w:lineRule="auto"/>
      <w:ind w:left="720"/>
      <w:contextualSpacing/>
    </w:pPr>
    <w:rPr>
      <w:rFonts w:eastAsiaTheme="minorEastAsia" w:cstheme="minorBidi"/>
      <w:color w:val="auto"/>
      <w:sz w:val="22"/>
      <w:szCs w:val="22"/>
      <w:lang w:eastAsia="en-GB"/>
    </w:rPr>
  </w:style>
  <w:style w:type="paragraph" w:styleId="ListBullet">
    <w:name w:val="List Bullet"/>
    <w:basedOn w:val="Normal"/>
    <w:uiPriority w:val="99"/>
    <w:unhideWhenUsed/>
    <w:rsid w:val="00804B5E"/>
    <w:pPr>
      <w:numPr>
        <w:numId w:val="6"/>
      </w:numPr>
      <w:contextualSpacing/>
    </w:pPr>
  </w:style>
  <w:style w:type="paragraph" w:styleId="Quote">
    <w:name w:val="Quote"/>
    <w:basedOn w:val="Normal"/>
    <w:next w:val="Normal"/>
    <w:link w:val="QuoteChar"/>
    <w:uiPriority w:val="29"/>
    <w:qFormat/>
    <w:rsid w:val="00496077"/>
    <w:pPr>
      <w:spacing w:line="240" w:lineRule="auto"/>
    </w:pPr>
    <w:rPr>
      <w:rFonts w:eastAsia="Times New Roman" w:cstheme="minorHAnsi"/>
      <w:i/>
      <w:iCs/>
      <w:sz w:val="22"/>
      <w:szCs w:val="22"/>
      <w:lang w:eastAsia="en-GB"/>
    </w:rPr>
  </w:style>
  <w:style w:type="character" w:customStyle="1" w:styleId="QuoteChar">
    <w:name w:val="Quote Char"/>
    <w:basedOn w:val="DefaultParagraphFont"/>
    <w:link w:val="Quote"/>
    <w:uiPriority w:val="29"/>
    <w:rsid w:val="00496077"/>
    <w:rPr>
      <w:rFonts w:eastAsia="Times New Roman" w:cstheme="minorHAnsi"/>
      <w:i/>
      <w:iCs/>
      <w:sz w:val="22"/>
      <w:szCs w:val="22"/>
      <w:lang w:eastAsia="en-GB"/>
    </w:rPr>
  </w:style>
  <w:style w:type="character" w:styleId="Strong">
    <w:name w:val="Strong"/>
    <w:basedOn w:val="DefaultParagraphFont"/>
    <w:qFormat/>
    <w:rsid w:val="00496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789">
      <w:bodyDiv w:val="1"/>
      <w:marLeft w:val="0"/>
      <w:marRight w:val="0"/>
      <w:marTop w:val="0"/>
      <w:marBottom w:val="0"/>
      <w:divBdr>
        <w:top w:val="none" w:sz="0" w:space="0" w:color="auto"/>
        <w:left w:val="none" w:sz="0" w:space="0" w:color="auto"/>
        <w:bottom w:val="none" w:sz="0" w:space="0" w:color="auto"/>
        <w:right w:val="none" w:sz="0" w:space="0" w:color="auto"/>
      </w:divBdr>
    </w:div>
    <w:div w:id="162672908">
      <w:bodyDiv w:val="1"/>
      <w:marLeft w:val="0"/>
      <w:marRight w:val="0"/>
      <w:marTop w:val="0"/>
      <w:marBottom w:val="0"/>
      <w:divBdr>
        <w:top w:val="none" w:sz="0" w:space="0" w:color="auto"/>
        <w:left w:val="none" w:sz="0" w:space="0" w:color="auto"/>
        <w:bottom w:val="none" w:sz="0" w:space="0" w:color="auto"/>
        <w:right w:val="none" w:sz="0" w:space="0" w:color="auto"/>
      </w:divBdr>
    </w:div>
    <w:div w:id="240989596">
      <w:bodyDiv w:val="1"/>
      <w:marLeft w:val="0"/>
      <w:marRight w:val="0"/>
      <w:marTop w:val="0"/>
      <w:marBottom w:val="0"/>
      <w:divBdr>
        <w:top w:val="none" w:sz="0" w:space="0" w:color="auto"/>
        <w:left w:val="none" w:sz="0" w:space="0" w:color="auto"/>
        <w:bottom w:val="none" w:sz="0" w:space="0" w:color="auto"/>
        <w:right w:val="none" w:sz="0" w:space="0" w:color="auto"/>
      </w:divBdr>
    </w:div>
    <w:div w:id="498547087">
      <w:bodyDiv w:val="1"/>
      <w:marLeft w:val="0"/>
      <w:marRight w:val="0"/>
      <w:marTop w:val="0"/>
      <w:marBottom w:val="0"/>
      <w:divBdr>
        <w:top w:val="none" w:sz="0" w:space="0" w:color="auto"/>
        <w:left w:val="none" w:sz="0" w:space="0" w:color="auto"/>
        <w:bottom w:val="none" w:sz="0" w:space="0" w:color="auto"/>
        <w:right w:val="none" w:sz="0" w:space="0" w:color="auto"/>
      </w:divBdr>
    </w:div>
    <w:div w:id="617953469">
      <w:bodyDiv w:val="1"/>
      <w:marLeft w:val="0"/>
      <w:marRight w:val="0"/>
      <w:marTop w:val="0"/>
      <w:marBottom w:val="0"/>
      <w:divBdr>
        <w:top w:val="none" w:sz="0" w:space="0" w:color="auto"/>
        <w:left w:val="none" w:sz="0" w:space="0" w:color="auto"/>
        <w:bottom w:val="none" w:sz="0" w:space="0" w:color="auto"/>
        <w:right w:val="none" w:sz="0" w:space="0" w:color="auto"/>
      </w:divBdr>
    </w:div>
    <w:div w:id="752704309">
      <w:bodyDiv w:val="1"/>
      <w:marLeft w:val="0"/>
      <w:marRight w:val="0"/>
      <w:marTop w:val="0"/>
      <w:marBottom w:val="0"/>
      <w:divBdr>
        <w:top w:val="none" w:sz="0" w:space="0" w:color="auto"/>
        <w:left w:val="none" w:sz="0" w:space="0" w:color="auto"/>
        <w:bottom w:val="none" w:sz="0" w:space="0" w:color="auto"/>
        <w:right w:val="none" w:sz="0" w:space="0" w:color="auto"/>
      </w:divBdr>
    </w:div>
    <w:div w:id="1551842934">
      <w:bodyDiv w:val="1"/>
      <w:marLeft w:val="0"/>
      <w:marRight w:val="0"/>
      <w:marTop w:val="0"/>
      <w:marBottom w:val="0"/>
      <w:divBdr>
        <w:top w:val="none" w:sz="0" w:space="0" w:color="auto"/>
        <w:left w:val="none" w:sz="0" w:space="0" w:color="auto"/>
        <w:bottom w:val="none" w:sz="0" w:space="0" w:color="auto"/>
        <w:right w:val="none" w:sz="0" w:space="0" w:color="auto"/>
      </w:divBdr>
    </w:div>
    <w:div w:id="1936354169">
      <w:bodyDiv w:val="1"/>
      <w:marLeft w:val="0"/>
      <w:marRight w:val="0"/>
      <w:marTop w:val="0"/>
      <w:marBottom w:val="0"/>
      <w:divBdr>
        <w:top w:val="none" w:sz="0" w:space="0" w:color="auto"/>
        <w:left w:val="none" w:sz="0" w:space="0" w:color="auto"/>
        <w:bottom w:val="none" w:sz="0" w:space="0" w:color="auto"/>
        <w:right w:val="none" w:sz="0" w:space="0" w:color="auto"/>
      </w:divBdr>
    </w:div>
    <w:div w:id="208564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24912/foi-2013-3220.pdf" TargetMode="External"/><Relationship Id="rId1" Type="http://schemas.openxmlformats.org/officeDocument/2006/relationships/hyperlink" Target="https://www.gov.uk/government/uploads/system/uploads/attachment_data/file/210396/foi-2013-267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honeyben\AppData\Local\Microsoft\Windows\Temporary%20Internet%20Files\Content.Outlook\OHRWUL0V\London%20Council%20Consultation%20Response%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866AAFFE604A2CBB57BBBCC59F0007"/>
        <w:category>
          <w:name w:val="General"/>
          <w:gallery w:val="placeholder"/>
        </w:category>
        <w:types>
          <w:type w:val="bbPlcHdr"/>
        </w:types>
        <w:behaviors>
          <w:behavior w:val="content"/>
        </w:behaviors>
        <w:guid w:val="{DE8F57B0-04F6-483C-80D4-4F416522C579}"/>
      </w:docPartPr>
      <w:docPartBody>
        <w:p w:rsidR="002F3009" w:rsidRDefault="002F3009">
          <w:pPr>
            <w:pStyle w:val="C2866AAFFE604A2CBB57BBBCC59F0007"/>
          </w:pPr>
          <w:r w:rsidRPr="007910E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ne)">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09"/>
    <w:rsid w:val="000E08B6"/>
    <w:rsid w:val="001B4259"/>
    <w:rsid w:val="0020052B"/>
    <w:rsid w:val="002C2B53"/>
    <w:rsid w:val="002F3009"/>
    <w:rsid w:val="004474EA"/>
    <w:rsid w:val="004B4C37"/>
    <w:rsid w:val="0053185F"/>
    <w:rsid w:val="007167EB"/>
    <w:rsid w:val="007E5590"/>
    <w:rsid w:val="00852502"/>
    <w:rsid w:val="00854D8B"/>
    <w:rsid w:val="00897060"/>
    <w:rsid w:val="008A282C"/>
    <w:rsid w:val="00925323"/>
    <w:rsid w:val="0092680E"/>
    <w:rsid w:val="00B263B7"/>
    <w:rsid w:val="00BE15E2"/>
    <w:rsid w:val="00CF4811"/>
    <w:rsid w:val="00E6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866AAFFE604A2CBB57BBBCC59F0007">
    <w:name w:val="C2866AAFFE604A2CBB57BBBCC59F00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2866AAFFE604A2CBB57BBBCC59F0007">
    <w:name w:val="C2866AAFFE604A2CBB57BBBCC59F00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London Councils">
      <a:dk1>
        <a:sysClr val="windowText" lastClr="000000"/>
      </a:dk1>
      <a:lt1>
        <a:sysClr val="window" lastClr="FFFFFF"/>
      </a:lt1>
      <a:dk2>
        <a:srgbClr val="44546A"/>
      </a:dk2>
      <a:lt2>
        <a:srgbClr val="E7E6E6"/>
      </a:lt2>
      <a:accent1>
        <a:srgbClr val="522380"/>
      </a:accent1>
      <a:accent2>
        <a:srgbClr val="E1DCEB"/>
      </a:accent2>
      <a:accent3>
        <a:srgbClr val="EC098D"/>
      </a:accent3>
      <a:accent4>
        <a:srgbClr val="A891BF"/>
      </a:accent4>
      <a:accent5>
        <a:srgbClr val="F0EDF5"/>
      </a:accent5>
      <a:accent6>
        <a:srgbClr val="F584C6"/>
      </a:accent6>
      <a:hlink>
        <a:srgbClr val="EC098D"/>
      </a:hlink>
      <a:folHlink>
        <a:srgbClr val="F584C6"/>
      </a:folHlink>
    </a:clrScheme>
    <a:fontScheme name="London Counci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4F4E-18ED-4F1F-8021-A1719FE1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London Council Consultation Response Word Template</Template>
  <TotalTime>4011</TotalTime>
  <Pages>6</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London Council Consultation Response Word Template</vt:lpstr>
    </vt:vector>
  </TitlesOfParts>
  <Company>Creative Template Solutions Limited</Company>
  <LinksUpToDate>false</LinksUpToDate>
  <CharactersWithSpaces>16376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 Consultation Response Word Template</dc:title>
  <dc:creator>Paul Honeyben</dc:creator>
  <cp:lastModifiedBy>Daniel Drillsma-Milgrom</cp:lastModifiedBy>
  <cp:revision>3</cp:revision>
  <cp:lastPrinted>2015-02-10T16:43:00Z</cp:lastPrinted>
  <dcterms:created xsi:type="dcterms:W3CDTF">2015-01-16T16:42:00Z</dcterms:created>
  <dcterms:modified xsi:type="dcterms:W3CDTF">2015-02-13T11:34:00Z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11 June 2014</vt:lpwstr>
  </property>
</Properties>
</file>