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Tr="007871DC">
        <w:trPr>
          <w:cantSplit/>
        </w:trPr>
        <w:tc>
          <w:tcPr>
            <w:tcW w:w="9640" w:type="dxa"/>
            <w:gridSpan w:val="8"/>
            <w:tcBorders>
              <w:top w:val="nil"/>
              <w:bottom w:val="nil"/>
            </w:tcBorders>
          </w:tcPr>
          <w:p w:rsidR="000F11AE" w:rsidRDefault="007871DC" w:rsidP="007871DC">
            <w:pPr>
              <w:pStyle w:val="algHeading1"/>
            </w:pPr>
            <w:r w:rsidRPr="00E562D7">
              <w:rPr>
                <w:rFonts w:cs="Arial"/>
              </w:rPr>
              <w:t>London Councils</w:t>
            </w:r>
            <w:r>
              <w:rPr>
                <w:rFonts w:cs="Arial"/>
              </w:rPr>
              <w:t>’ Transport &amp; Environment Committee</w:t>
            </w:r>
          </w:p>
        </w:tc>
      </w:tr>
      <w:tr w:rsidR="000F11AE" w:rsidTr="007871DC">
        <w:trPr>
          <w:cantSplit/>
          <w:trHeight w:val="275"/>
        </w:trPr>
        <w:tc>
          <w:tcPr>
            <w:tcW w:w="9640" w:type="dxa"/>
            <w:gridSpan w:val="8"/>
            <w:tcBorders>
              <w:top w:val="nil"/>
              <w:bottom w:val="nil"/>
            </w:tcBorders>
          </w:tcPr>
          <w:p w:rsidR="000F11AE" w:rsidRPr="007871DC" w:rsidRDefault="000F11AE" w:rsidP="007871DC">
            <w:pPr>
              <w:pStyle w:val="Spacer"/>
              <w:rPr>
                <w:sz w:val="22"/>
              </w:rPr>
            </w:pPr>
          </w:p>
        </w:tc>
      </w:tr>
      <w:tr w:rsidR="000F11AE" w:rsidRPr="00CB2B3F" w:rsidTr="007871DC">
        <w:trPr>
          <w:cantSplit/>
        </w:trPr>
        <w:tc>
          <w:tcPr>
            <w:tcW w:w="6442" w:type="dxa"/>
            <w:gridSpan w:val="6"/>
            <w:tcBorders>
              <w:top w:val="nil"/>
              <w:bottom w:val="nil"/>
            </w:tcBorders>
          </w:tcPr>
          <w:p w:rsidR="000F11AE" w:rsidRPr="007B0CCE" w:rsidRDefault="00185207" w:rsidP="007B0CCE">
            <w:pPr>
              <w:pStyle w:val="algHeading2"/>
              <w:tabs>
                <w:tab w:val="clear" w:pos="-108"/>
                <w:tab w:val="clear" w:pos="709"/>
              </w:tabs>
              <w:spacing w:after="0"/>
              <w:rPr>
                <w:sz w:val="40"/>
                <w:szCs w:val="40"/>
                <w:u w:val="none"/>
              </w:rPr>
            </w:pPr>
            <w:r>
              <w:rPr>
                <w:sz w:val="40"/>
                <w:szCs w:val="40"/>
                <w:u w:val="none"/>
              </w:rPr>
              <w:t>Flooding Investment in London</w:t>
            </w:r>
          </w:p>
        </w:tc>
        <w:tc>
          <w:tcPr>
            <w:tcW w:w="2347" w:type="dxa"/>
            <w:tcBorders>
              <w:top w:val="nil"/>
              <w:bottom w:val="nil"/>
            </w:tcBorders>
          </w:tcPr>
          <w:p w:rsidR="000F11AE" w:rsidRPr="007B0CCE" w:rsidRDefault="000F11AE" w:rsidP="007B0CCE">
            <w:pPr>
              <w:pStyle w:val="algHeading2"/>
              <w:tabs>
                <w:tab w:val="clear" w:pos="-108"/>
                <w:tab w:val="clear" w:pos="709"/>
              </w:tabs>
              <w:spacing w:after="0"/>
              <w:rPr>
                <w:sz w:val="40"/>
                <w:szCs w:val="40"/>
                <w:u w:val="none"/>
              </w:rPr>
            </w:pPr>
            <w:r w:rsidRPr="007B0CCE">
              <w:rPr>
                <w:sz w:val="40"/>
                <w:szCs w:val="40"/>
                <w:u w:val="none"/>
              </w:rPr>
              <w:t>Item no:</w:t>
            </w:r>
          </w:p>
        </w:tc>
        <w:tc>
          <w:tcPr>
            <w:tcW w:w="851" w:type="dxa"/>
            <w:tcBorders>
              <w:top w:val="nil"/>
              <w:bottom w:val="nil"/>
            </w:tcBorders>
          </w:tcPr>
          <w:p w:rsidR="00CB2B3F" w:rsidRPr="007B0CCE" w:rsidRDefault="00BE122F" w:rsidP="007B0CCE">
            <w:pPr>
              <w:pStyle w:val="algHeading2"/>
              <w:tabs>
                <w:tab w:val="clear" w:pos="-108"/>
                <w:tab w:val="clear" w:pos="709"/>
              </w:tabs>
              <w:spacing w:after="0"/>
              <w:rPr>
                <w:sz w:val="40"/>
                <w:szCs w:val="40"/>
                <w:u w:val="none"/>
              </w:rPr>
            </w:pPr>
            <w:r>
              <w:rPr>
                <w:sz w:val="40"/>
                <w:szCs w:val="40"/>
                <w:u w:val="none"/>
              </w:rPr>
              <w:t>06</w:t>
            </w:r>
            <w:bookmarkStart w:id="0" w:name="_GoBack"/>
            <w:bookmarkEnd w:id="0"/>
          </w:p>
        </w:tc>
      </w:tr>
      <w:tr w:rsidR="000F11AE" w:rsidRPr="00CB2B3F" w:rsidTr="007871DC">
        <w:trPr>
          <w:cantSplit/>
        </w:trPr>
        <w:tc>
          <w:tcPr>
            <w:tcW w:w="9640" w:type="dxa"/>
            <w:gridSpan w:val="8"/>
            <w:tcBorders>
              <w:top w:val="nil"/>
              <w:bottom w:val="nil"/>
            </w:tcBorders>
          </w:tcPr>
          <w:p w:rsidR="000F11AE" w:rsidRPr="007252A2" w:rsidRDefault="000F11AE" w:rsidP="007871DC">
            <w:pPr>
              <w:pStyle w:val="Spacer"/>
              <w:rPr>
                <w:sz w:val="22"/>
              </w:rPr>
            </w:pPr>
          </w:p>
        </w:tc>
      </w:tr>
      <w:tr w:rsidR="000F11AE" w:rsidTr="007252A2">
        <w:trPr>
          <w:cantSplit/>
        </w:trPr>
        <w:tc>
          <w:tcPr>
            <w:tcW w:w="1843" w:type="dxa"/>
            <w:tcBorders>
              <w:top w:val="nil"/>
              <w:bottom w:val="nil"/>
              <w:right w:val="nil"/>
            </w:tcBorders>
          </w:tcPr>
          <w:p w:rsidR="000F11AE" w:rsidRDefault="000F11AE" w:rsidP="007871DC">
            <w:pPr>
              <w:pStyle w:val="algFormBold"/>
              <w:rPr>
                <w:noProof/>
              </w:rPr>
            </w:pPr>
            <w:r>
              <w:rPr>
                <w:noProof/>
              </w:rPr>
              <w:t>Report by:</w:t>
            </w:r>
          </w:p>
        </w:tc>
        <w:tc>
          <w:tcPr>
            <w:tcW w:w="2225" w:type="dxa"/>
            <w:gridSpan w:val="2"/>
            <w:tcBorders>
              <w:top w:val="nil"/>
              <w:left w:val="nil"/>
              <w:bottom w:val="nil"/>
              <w:right w:val="nil"/>
            </w:tcBorders>
          </w:tcPr>
          <w:p w:rsidR="000F11AE" w:rsidRDefault="00185207" w:rsidP="007871DC">
            <w:pPr>
              <w:pStyle w:val="algForm"/>
              <w:rPr>
                <w:noProof/>
              </w:rPr>
            </w:pPr>
            <w:r>
              <w:rPr>
                <w:noProof/>
              </w:rPr>
              <w:t>Jennifer Sibley</w:t>
            </w:r>
          </w:p>
        </w:tc>
        <w:tc>
          <w:tcPr>
            <w:tcW w:w="1440" w:type="dxa"/>
            <w:gridSpan w:val="2"/>
            <w:tcBorders>
              <w:top w:val="nil"/>
              <w:left w:val="nil"/>
              <w:bottom w:val="nil"/>
              <w:right w:val="nil"/>
            </w:tcBorders>
          </w:tcPr>
          <w:p w:rsidR="000F11AE" w:rsidRDefault="000F11AE" w:rsidP="007871DC">
            <w:pPr>
              <w:pStyle w:val="algFormBold"/>
              <w:ind w:left="0"/>
              <w:rPr>
                <w:noProof/>
              </w:rPr>
            </w:pPr>
            <w:r>
              <w:rPr>
                <w:noProof/>
              </w:rPr>
              <w:t>Job title:</w:t>
            </w:r>
          </w:p>
        </w:tc>
        <w:tc>
          <w:tcPr>
            <w:tcW w:w="4132" w:type="dxa"/>
            <w:gridSpan w:val="3"/>
            <w:tcBorders>
              <w:top w:val="nil"/>
              <w:left w:val="nil"/>
              <w:bottom w:val="nil"/>
            </w:tcBorders>
          </w:tcPr>
          <w:p w:rsidR="000F11AE" w:rsidRDefault="00185207" w:rsidP="00F037E8">
            <w:pPr>
              <w:pStyle w:val="algForm"/>
            </w:pPr>
            <w:r>
              <w:t>Principal Policy Officer</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Date:</w:t>
            </w:r>
          </w:p>
        </w:tc>
        <w:tc>
          <w:tcPr>
            <w:tcW w:w="7797" w:type="dxa"/>
            <w:gridSpan w:val="7"/>
            <w:tcBorders>
              <w:top w:val="nil"/>
              <w:left w:val="nil"/>
              <w:bottom w:val="nil"/>
            </w:tcBorders>
          </w:tcPr>
          <w:p w:rsidR="000F11AE" w:rsidRDefault="00962085" w:rsidP="007D564E">
            <w:pPr>
              <w:pStyle w:val="algForm"/>
            </w:pPr>
            <w:r>
              <w:rPr>
                <w:rFonts w:cs="Arial"/>
              </w:rPr>
              <w:t>13 October 2016</w:t>
            </w:r>
            <w:r w:rsidR="0035583F">
              <w:rPr>
                <w:rFonts w:cs="Arial"/>
              </w:rPr>
              <w:t xml:space="preserve"> </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Contact Officer:</w:t>
            </w:r>
          </w:p>
        </w:tc>
        <w:tc>
          <w:tcPr>
            <w:tcW w:w="7797" w:type="dxa"/>
            <w:gridSpan w:val="7"/>
            <w:tcBorders>
              <w:top w:val="nil"/>
              <w:left w:val="nil"/>
              <w:bottom w:val="nil"/>
            </w:tcBorders>
          </w:tcPr>
          <w:p w:rsidR="000F11AE" w:rsidRDefault="00185207" w:rsidP="007871DC">
            <w:pPr>
              <w:pStyle w:val="algForm"/>
              <w:rPr>
                <w:noProof/>
              </w:rPr>
            </w:pPr>
            <w:r>
              <w:rPr>
                <w:noProof/>
              </w:rPr>
              <w:t>Jennifer Sibley</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Telephone:</w:t>
            </w:r>
          </w:p>
        </w:tc>
        <w:tc>
          <w:tcPr>
            <w:tcW w:w="2045" w:type="dxa"/>
            <w:tcBorders>
              <w:top w:val="nil"/>
              <w:left w:val="nil"/>
              <w:bottom w:val="nil"/>
              <w:right w:val="nil"/>
            </w:tcBorders>
          </w:tcPr>
          <w:p w:rsidR="000F11AE" w:rsidRDefault="000F11AE" w:rsidP="00185207">
            <w:pPr>
              <w:pStyle w:val="algForm"/>
              <w:rPr>
                <w:noProof/>
              </w:rPr>
            </w:pPr>
            <w:r>
              <w:rPr>
                <w:noProof/>
              </w:rPr>
              <w:t>020 793</w:t>
            </w:r>
            <w:r w:rsidR="001A0256">
              <w:rPr>
                <w:noProof/>
              </w:rPr>
              <w:t xml:space="preserve">4 </w:t>
            </w:r>
            <w:r w:rsidR="00A450E3">
              <w:rPr>
                <w:noProof/>
              </w:rPr>
              <w:t>9</w:t>
            </w:r>
            <w:r w:rsidR="00185207">
              <w:rPr>
                <w:noProof/>
              </w:rPr>
              <w:t>829</w:t>
            </w:r>
          </w:p>
        </w:tc>
        <w:tc>
          <w:tcPr>
            <w:tcW w:w="1260" w:type="dxa"/>
            <w:gridSpan w:val="2"/>
            <w:tcBorders>
              <w:top w:val="nil"/>
              <w:left w:val="nil"/>
              <w:bottom w:val="nil"/>
              <w:right w:val="nil"/>
            </w:tcBorders>
          </w:tcPr>
          <w:p w:rsidR="000F11AE" w:rsidRDefault="000F11AE" w:rsidP="007871DC">
            <w:pPr>
              <w:pStyle w:val="algFormBold"/>
              <w:ind w:left="0"/>
              <w:rPr>
                <w:noProof/>
              </w:rPr>
            </w:pPr>
            <w:r>
              <w:rPr>
                <w:noProof/>
              </w:rPr>
              <w:t>Email:</w:t>
            </w:r>
          </w:p>
        </w:tc>
        <w:tc>
          <w:tcPr>
            <w:tcW w:w="4492" w:type="dxa"/>
            <w:gridSpan w:val="4"/>
            <w:tcBorders>
              <w:top w:val="nil"/>
              <w:left w:val="nil"/>
              <w:bottom w:val="nil"/>
            </w:tcBorders>
          </w:tcPr>
          <w:p w:rsidR="000F11AE" w:rsidRDefault="00185207" w:rsidP="00F037E8">
            <w:pPr>
              <w:pStyle w:val="algForm"/>
              <w:rPr>
                <w:noProof/>
              </w:rPr>
            </w:pPr>
            <w:r>
              <w:rPr>
                <w:noProof/>
              </w:rPr>
              <w:t>Jennifer.sibley</w:t>
            </w:r>
            <w:r w:rsidR="000F11AE">
              <w:rPr>
                <w:noProof/>
              </w:rPr>
              <w:t>@londoncouncils.gov.uk</w:t>
            </w:r>
          </w:p>
        </w:tc>
      </w:tr>
      <w:tr w:rsidR="000F11AE" w:rsidTr="007871DC">
        <w:trPr>
          <w:cantSplit/>
        </w:trPr>
        <w:tc>
          <w:tcPr>
            <w:tcW w:w="9640" w:type="dxa"/>
            <w:gridSpan w:val="8"/>
            <w:tcBorders>
              <w:top w:val="nil"/>
              <w:bottom w:val="single" w:sz="4" w:space="0" w:color="auto"/>
            </w:tcBorders>
          </w:tcPr>
          <w:p w:rsidR="000F11AE" w:rsidRDefault="000F11AE" w:rsidP="007871DC">
            <w:pPr>
              <w:pStyle w:val="Spacer"/>
              <w:rPr>
                <w:sz w:val="18"/>
              </w:rPr>
            </w:pPr>
          </w:p>
        </w:tc>
      </w:tr>
    </w:tbl>
    <w:p w:rsidR="000F11AE" w:rsidRPr="00686C1B" w:rsidRDefault="00AB64ED" w:rsidP="007871DC">
      <w:pPr>
        <w:jc w:val="right"/>
        <w:rPr>
          <w:noProof/>
        </w:rPr>
      </w:pPr>
      <w:r w:rsidRPr="00686C1B">
        <w:rPr>
          <w:noProof/>
          <w:lang w:eastAsia="en-GB"/>
        </w:rPr>
        <w:drawing>
          <wp:anchor distT="0" distB="0" distL="114300" distR="114300" simplePos="0" relativeHeight="251657728" behindDoc="1" locked="0" layoutInCell="1" allowOverlap="1" wp14:anchorId="2E41F5E9" wp14:editId="3383C51C">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anchor>
        </w:drawing>
      </w:r>
    </w:p>
    <w:p w:rsidR="000F11AE" w:rsidRPr="00686C1B" w:rsidRDefault="000F11AE" w:rsidP="007B0CCE">
      <w:pPr>
        <w:pStyle w:val="algHeading2"/>
        <w:tabs>
          <w:tab w:val="clear" w:pos="-108"/>
          <w:tab w:val="clear" w:pos="709"/>
        </w:tabs>
        <w:spacing w:after="0"/>
      </w:pPr>
    </w:p>
    <w:tbl>
      <w:tblPr>
        <w:tblpPr w:leftFromText="180" w:rightFromText="180" w:vertAnchor="page" w:horzAnchor="margin" w:tblpY="699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281"/>
      </w:tblGrid>
      <w:tr w:rsidR="007252A2" w:rsidRPr="00686C1B" w:rsidTr="007F04F3">
        <w:trPr>
          <w:trHeight w:val="686"/>
        </w:trPr>
        <w:tc>
          <w:tcPr>
            <w:tcW w:w="2324" w:type="dxa"/>
            <w:tcBorders>
              <w:top w:val="nil"/>
              <w:left w:val="nil"/>
              <w:bottom w:val="nil"/>
              <w:right w:val="nil"/>
            </w:tcBorders>
            <w:shd w:val="clear" w:color="auto" w:fill="auto"/>
          </w:tcPr>
          <w:p w:rsidR="007252A2" w:rsidRPr="00686C1B" w:rsidRDefault="007252A2" w:rsidP="007F04F3">
            <w:pPr>
              <w:spacing w:before="120"/>
              <w:rPr>
                <w:b/>
                <w:bCs/>
              </w:rPr>
            </w:pPr>
            <w:r w:rsidRPr="00686C1B">
              <w:rPr>
                <w:b/>
                <w:bCs/>
              </w:rPr>
              <w:t>Summary</w:t>
            </w:r>
          </w:p>
        </w:tc>
        <w:tc>
          <w:tcPr>
            <w:tcW w:w="7281" w:type="dxa"/>
            <w:tcBorders>
              <w:top w:val="nil"/>
              <w:left w:val="nil"/>
              <w:bottom w:val="nil"/>
              <w:right w:val="nil"/>
            </w:tcBorders>
            <w:shd w:val="clear" w:color="auto" w:fill="auto"/>
          </w:tcPr>
          <w:p w:rsidR="00962085" w:rsidRPr="00686C1B" w:rsidRDefault="00962085" w:rsidP="007D564E">
            <w:pPr>
              <w:widowControl w:val="0"/>
              <w:autoSpaceDE w:val="0"/>
              <w:autoSpaceDN w:val="0"/>
              <w:adjustRightInd w:val="0"/>
              <w:spacing w:before="120" w:after="120"/>
              <w:rPr>
                <w:rFonts w:cs="Arial"/>
              </w:rPr>
            </w:pPr>
            <w:r w:rsidRPr="00686C1B">
              <w:rPr>
                <w:rFonts w:cs="Arial"/>
              </w:rPr>
              <w:t>This report provides TEC with a</w:t>
            </w:r>
            <w:r w:rsidR="009C698A" w:rsidRPr="00686C1B">
              <w:rPr>
                <w:rFonts w:cs="Arial"/>
              </w:rPr>
              <w:t xml:space="preserve">n </w:t>
            </w:r>
            <w:r w:rsidRPr="00686C1B">
              <w:rPr>
                <w:rFonts w:cs="Arial"/>
              </w:rPr>
              <w:t>update on progress o</w:t>
            </w:r>
            <w:r w:rsidR="003F11CD" w:rsidRPr="00686C1B">
              <w:rPr>
                <w:rFonts w:cs="Arial"/>
              </w:rPr>
              <w:t>f</w:t>
            </w:r>
            <w:r w:rsidRPr="00686C1B">
              <w:rPr>
                <w:rFonts w:cs="Arial"/>
              </w:rPr>
              <w:t xml:space="preserve"> the Thames Regional Flood and Coastal Committee’s </w:t>
            </w:r>
            <w:r w:rsidR="009C698A" w:rsidRPr="00686C1B">
              <w:rPr>
                <w:rFonts w:cs="Arial"/>
              </w:rPr>
              <w:t xml:space="preserve">(Thames RFCC) </w:t>
            </w:r>
            <w:r w:rsidRPr="00686C1B">
              <w:rPr>
                <w:rFonts w:cs="Arial"/>
              </w:rPr>
              <w:t>six year capital programme. It</w:t>
            </w:r>
            <w:r w:rsidR="009C698A" w:rsidRPr="00686C1B">
              <w:rPr>
                <w:rFonts w:cs="Arial"/>
              </w:rPr>
              <w:t xml:space="preserve"> also</w:t>
            </w:r>
            <w:r w:rsidRPr="00686C1B">
              <w:rPr>
                <w:rFonts w:cs="Arial"/>
              </w:rPr>
              <w:t xml:space="preserve"> provides an update on the work to increase local authority capacity to put forward capital projects for funding, and provides the business case presented by the Environment Agency for an increase in local levy. </w:t>
            </w:r>
          </w:p>
          <w:p w:rsidR="00962085" w:rsidRPr="00686C1B" w:rsidRDefault="00962085" w:rsidP="007D564E">
            <w:pPr>
              <w:widowControl w:val="0"/>
              <w:autoSpaceDE w:val="0"/>
              <w:autoSpaceDN w:val="0"/>
              <w:adjustRightInd w:val="0"/>
              <w:spacing w:before="120" w:after="120"/>
              <w:rPr>
                <w:rFonts w:cs="Arial"/>
              </w:rPr>
            </w:pPr>
          </w:p>
          <w:p w:rsidR="007252A2" w:rsidRPr="00686C1B" w:rsidRDefault="007252A2" w:rsidP="007D564E">
            <w:pPr>
              <w:widowControl w:val="0"/>
              <w:autoSpaceDE w:val="0"/>
              <w:autoSpaceDN w:val="0"/>
              <w:adjustRightInd w:val="0"/>
              <w:spacing w:before="120" w:after="120"/>
            </w:pPr>
          </w:p>
        </w:tc>
      </w:tr>
      <w:tr w:rsidR="007252A2" w:rsidRPr="00686C1B" w:rsidTr="007F04F3">
        <w:trPr>
          <w:trHeight w:val="424"/>
        </w:trPr>
        <w:tc>
          <w:tcPr>
            <w:tcW w:w="2324" w:type="dxa"/>
            <w:tcBorders>
              <w:top w:val="nil"/>
              <w:left w:val="nil"/>
              <w:bottom w:val="nil"/>
              <w:right w:val="nil"/>
            </w:tcBorders>
            <w:shd w:val="clear" w:color="auto" w:fill="auto"/>
          </w:tcPr>
          <w:p w:rsidR="007252A2" w:rsidRPr="00686C1B" w:rsidRDefault="007252A2" w:rsidP="007F04F3">
            <w:pPr>
              <w:spacing w:before="120"/>
              <w:rPr>
                <w:b/>
                <w:bCs/>
              </w:rPr>
            </w:pPr>
            <w:r w:rsidRPr="00686C1B">
              <w:rPr>
                <w:b/>
                <w:bCs/>
              </w:rPr>
              <w:t>Recommendations</w:t>
            </w:r>
          </w:p>
        </w:tc>
        <w:tc>
          <w:tcPr>
            <w:tcW w:w="7281" w:type="dxa"/>
            <w:tcBorders>
              <w:top w:val="nil"/>
              <w:left w:val="nil"/>
              <w:bottom w:val="nil"/>
              <w:right w:val="nil"/>
            </w:tcBorders>
            <w:shd w:val="clear" w:color="auto" w:fill="auto"/>
          </w:tcPr>
          <w:p w:rsidR="007252A2" w:rsidRPr="00686C1B" w:rsidRDefault="007252A2" w:rsidP="00185207">
            <w:pPr>
              <w:spacing w:before="120"/>
            </w:pPr>
            <w:r w:rsidRPr="00686C1B">
              <w:t xml:space="preserve">Members </w:t>
            </w:r>
            <w:r w:rsidR="00185207" w:rsidRPr="00686C1B">
              <w:t xml:space="preserve">are asked to </w:t>
            </w:r>
            <w:r w:rsidRPr="00686C1B">
              <w:t>note</w:t>
            </w:r>
            <w:r w:rsidR="00185207" w:rsidRPr="00686C1B">
              <w:t xml:space="preserve"> the report.</w:t>
            </w:r>
          </w:p>
          <w:p w:rsidR="00185207" w:rsidRPr="00686C1B" w:rsidRDefault="00185207" w:rsidP="00B75353">
            <w:pPr>
              <w:spacing w:before="120"/>
            </w:pPr>
            <w:r w:rsidRPr="00686C1B">
              <w:t xml:space="preserve">Members are asked to provide a steer to </w:t>
            </w:r>
            <w:r w:rsidR="00E460FB" w:rsidRPr="00686C1B">
              <w:t xml:space="preserve">the </w:t>
            </w:r>
            <w:r w:rsidRPr="00686C1B">
              <w:t>TEC members who sit on the Thames RFCC regarding a levy increase</w:t>
            </w:r>
            <w:r w:rsidR="009C698A" w:rsidRPr="00686C1B">
              <w:t xml:space="preserve"> of 1.99 per cent for 2017/18</w:t>
            </w:r>
            <w:r w:rsidRPr="00686C1B">
              <w:t xml:space="preserve">. </w:t>
            </w:r>
          </w:p>
        </w:tc>
      </w:tr>
    </w:tbl>
    <w:p w:rsidR="007B6887" w:rsidRPr="00686C1B" w:rsidRDefault="007B688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p w:rsidR="00185207" w:rsidRPr="00686C1B" w:rsidRDefault="00185207" w:rsidP="007252A2">
      <w:r w:rsidRPr="00686C1B">
        <w:rPr>
          <w:b/>
        </w:rPr>
        <w:lastRenderedPageBreak/>
        <w:t>Background</w:t>
      </w:r>
    </w:p>
    <w:p w:rsidR="00185207" w:rsidRPr="00686C1B" w:rsidRDefault="00185207" w:rsidP="007252A2"/>
    <w:p w:rsidR="00962085" w:rsidRPr="00686C1B" w:rsidRDefault="00962085" w:rsidP="00C24D08">
      <w:pPr>
        <w:pStyle w:val="ListParagraph"/>
        <w:numPr>
          <w:ilvl w:val="0"/>
          <w:numId w:val="2"/>
        </w:numPr>
        <w:spacing w:after="240"/>
      </w:pPr>
      <w:r w:rsidRPr="00686C1B">
        <w:t xml:space="preserve">This report provides TEC with </w:t>
      </w:r>
      <w:r w:rsidR="00AC5997" w:rsidRPr="00686C1B">
        <w:t xml:space="preserve">the annual </w:t>
      </w:r>
      <w:r w:rsidRPr="00686C1B">
        <w:t xml:space="preserve">update on the work of the Thames Regional Flood and Coastal Committee (Thames RFCC). </w:t>
      </w:r>
      <w:r w:rsidR="00AC5997" w:rsidRPr="00686C1B">
        <w:t>This follows on from t</w:t>
      </w:r>
      <w:r w:rsidRPr="00686C1B">
        <w:t>he last report TEC received, in March 2016,</w:t>
      </w:r>
      <w:r w:rsidR="00AC5997" w:rsidRPr="00686C1B">
        <w:t xml:space="preserve"> which</w:t>
      </w:r>
      <w:r w:rsidRPr="00686C1B">
        <w:t xml:space="preserve"> provided an update </w:t>
      </w:r>
      <w:r w:rsidR="00D203BE" w:rsidRPr="00686C1B">
        <w:t>o</w:t>
      </w:r>
      <w:r w:rsidR="003F11CD" w:rsidRPr="00686C1B">
        <w:t>n</w:t>
      </w:r>
      <w:r w:rsidRPr="00686C1B">
        <w:t xml:space="preserve"> the work of boroughs on their statutory flood risk management duties. </w:t>
      </w:r>
    </w:p>
    <w:p w:rsidR="00962085" w:rsidRPr="00686C1B" w:rsidRDefault="00163BC2" w:rsidP="00C24D08">
      <w:pPr>
        <w:pStyle w:val="ListParagraph"/>
        <w:numPr>
          <w:ilvl w:val="0"/>
          <w:numId w:val="2"/>
        </w:numPr>
        <w:spacing w:after="240"/>
      </w:pPr>
      <w:r w:rsidRPr="00686C1B">
        <w:t xml:space="preserve">There are twelve Regional Flood and Coastal Committees in England. </w:t>
      </w:r>
      <w:r w:rsidR="00962085" w:rsidRPr="00686C1B">
        <w:t xml:space="preserve">The Thames RFCC covers an area that includes London, Surrey, </w:t>
      </w:r>
      <w:proofErr w:type="gramStart"/>
      <w:r w:rsidR="00962085" w:rsidRPr="00686C1B">
        <w:t>Berkshire</w:t>
      </w:r>
      <w:proofErr w:type="gramEnd"/>
      <w:r w:rsidR="00962085" w:rsidRPr="00686C1B">
        <w:t>, Hertfordshire, Oxfordshire and parts o</w:t>
      </w:r>
      <w:r w:rsidR="001D1090" w:rsidRPr="00686C1B">
        <w:t xml:space="preserve">f Warwickshire, Gloucestershire, Hampshire </w:t>
      </w:r>
      <w:r w:rsidR="00962085" w:rsidRPr="00686C1B">
        <w:t xml:space="preserve">and Essex. It brings together all London boroughs, unitary authorities and county councils in their statutory role as Lead Local Flood Authorities with the Environment Agency and specialist independent members. TEC appoints seven elected members to the Thames RFCC who represent their sub-regional partnerships on behalf of London. </w:t>
      </w:r>
    </w:p>
    <w:p w:rsidR="00C24D08" w:rsidRPr="00686C1B" w:rsidRDefault="00C24D08" w:rsidP="00C24D08">
      <w:pPr>
        <w:pStyle w:val="ListParagraph"/>
        <w:numPr>
          <w:ilvl w:val="1"/>
          <w:numId w:val="2"/>
        </w:numPr>
        <w:spacing w:after="120"/>
        <w:rPr>
          <w:rFonts w:cs="Arial"/>
        </w:rPr>
      </w:pPr>
      <w:r w:rsidRPr="00686C1B">
        <w:rPr>
          <w:rFonts w:cs="Arial"/>
          <w:u w:val="single"/>
        </w:rPr>
        <w:t>West</w:t>
      </w:r>
      <w:r w:rsidRPr="00686C1B">
        <w:rPr>
          <w:rFonts w:cs="Arial"/>
        </w:rPr>
        <w:t xml:space="preserve"> (covers Hillingdon, Hounslow, Ealing, Brent, Harrow and Barnet) represented by Cllr Dean Cohen.</w:t>
      </w:r>
    </w:p>
    <w:p w:rsidR="00C24D08" w:rsidRPr="00686C1B" w:rsidRDefault="00C24D08" w:rsidP="00C24D08">
      <w:pPr>
        <w:pStyle w:val="ListParagraph"/>
        <w:numPr>
          <w:ilvl w:val="1"/>
          <w:numId w:val="2"/>
        </w:numPr>
        <w:spacing w:after="120"/>
        <w:rPr>
          <w:rFonts w:cs="Arial"/>
        </w:rPr>
      </w:pPr>
      <w:r w:rsidRPr="00686C1B">
        <w:rPr>
          <w:rFonts w:cs="Arial"/>
          <w:u w:val="single"/>
        </w:rPr>
        <w:t>North</w:t>
      </w:r>
      <w:r w:rsidRPr="00686C1B">
        <w:rPr>
          <w:rFonts w:cs="Arial"/>
        </w:rPr>
        <w:t xml:space="preserve"> (covers Hackney, Tower Hamlets, Haringey, Enfield, Waltham Forest and Newham) represented by Cllr Daniel Anderson. </w:t>
      </w:r>
    </w:p>
    <w:p w:rsidR="00C24D08" w:rsidRPr="00686C1B" w:rsidRDefault="00C24D08" w:rsidP="00C24D08">
      <w:pPr>
        <w:pStyle w:val="ListParagraph"/>
        <w:numPr>
          <w:ilvl w:val="1"/>
          <w:numId w:val="2"/>
        </w:numPr>
        <w:spacing w:after="120"/>
        <w:rPr>
          <w:rFonts w:cs="Arial"/>
        </w:rPr>
      </w:pPr>
      <w:r w:rsidRPr="00686C1B">
        <w:rPr>
          <w:rFonts w:cs="Arial"/>
          <w:u w:val="single"/>
        </w:rPr>
        <w:t>North East</w:t>
      </w:r>
      <w:r w:rsidRPr="00686C1B">
        <w:rPr>
          <w:rFonts w:cs="Arial"/>
        </w:rPr>
        <w:t xml:space="preserve"> (covers Havering, Barking and Dagenham and Redbridge) represented by Cllr Lynda Rice.</w:t>
      </w:r>
    </w:p>
    <w:p w:rsidR="00C24D08" w:rsidRPr="00686C1B" w:rsidRDefault="00C24D08" w:rsidP="00C24D08">
      <w:pPr>
        <w:pStyle w:val="ListParagraph"/>
        <w:numPr>
          <w:ilvl w:val="1"/>
          <w:numId w:val="2"/>
        </w:numPr>
        <w:spacing w:after="120"/>
        <w:rPr>
          <w:rFonts w:cs="Arial"/>
        </w:rPr>
      </w:pPr>
      <w:r w:rsidRPr="00686C1B">
        <w:rPr>
          <w:rFonts w:cs="Arial"/>
          <w:u w:val="single"/>
        </w:rPr>
        <w:t>North Central</w:t>
      </w:r>
      <w:r w:rsidRPr="00686C1B">
        <w:rPr>
          <w:rFonts w:cs="Arial"/>
        </w:rPr>
        <w:t xml:space="preserve"> (covers Hammersmith and Fulham, Kensington and Chelsea, City of Westminster, City of London, Camden and Islington) represented by Cllr Timothy Coleridge. </w:t>
      </w:r>
    </w:p>
    <w:p w:rsidR="00C24D08" w:rsidRPr="00686C1B" w:rsidRDefault="00C24D08" w:rsidP="00C24D08">
      <w:pPr>
        <w:pStyle w:val="ListParagraph"/>
        <w:numPr>
          <w:ilvl w:val="1"/>
          <w:numId w:val="2"/>
        </w:numPr>
        <w:spacing w:after="120"/>
        <w:rPr>
          <w:rFonts w:cs="Arial"/>
        </w:rPr>
      </w:pPr>
      <w:r w:rsidRPr="00686C1B">
        <w:rPr>
          <w:rFonts w:cs="Arial"/>
          <w:u w:val="single"/>
        </w:rPr>
        <w:t>South Central</w:t>
      </w:r>
      <w:r w:rsidRPr="00686C1B">
        <w:rPr>
          <w:rFonts w:cs="Arial"/>
        </w:rPr>
        <w:t xml:space="preserve"> (covers Lambeth and Southwark) represented by Cllr Jennifer Brathwaite. </w:t>
      </w:r>
    </w:p>
    <w:p w:rsidR="00C24D08" w:rsidRPr="00686C1B" w:rsidRDefault="00C24D08" w:rsidP="00C24D08">
      <w:pPr>
        <w:pStyle w:val="ListParagraph"/>
        <w:numPr>
          <w:ilvl w:val="1"/>
          <w:numId w:val="2"/>
        </w:numPr>
        <w:spacing w:after="120"/>
        <w:rPr>
          <w:rFonts w:cs="Arial"/>
        </w:rPr>
      </w:pPr>
      <w:r w:rsidRPr="00686C1B">
        <w:rPr>
          <w:rFonts w:cs="Arial"/>
          <w:u w:val="single"/>
        </w:rPr>
        <w:t>South East</w:t>
      </w:r>
      <w:r w:rsidRPr="00686C1B">
        <w:rPr>
          <w:rFonts w:cs="Arial"/>
        </w:rPr>
        <w:t xml:space="preserve"> (covers Bromley, Lewisham, Greenwich and Bexley) represented by Cllr Alan Smith.</w:t>
      </w:r>
    </w:p>
    <w:p w:rsidR="00C24D08" w:rsidRPr="00686C1B" w:rsidRDefault="00C24D08" w:rsidP="00C24D08">
      <w:pPr>
        <w:pStyle w:val="ListParagraph"/>
        <w:numPr>
          <w:ilvl w:val="1"/>
          <w:numId w:val="2"/>
        </w:numPr>
        <w:spacing w:after="120"/>
        <w:rPr>
          <w:rFonts w:cs="Arial"/>
        </w:rPr>
      </w:pPr>
      <w:r w:rsidRPr="00686C1B">
        <w:rPr>
          <w:rFonts w:cs="Arial"/>
          <w:u w:val="single"/>
        </w:rPr>
        <w:t>South West</w:t>
      </w:r>
      <w:r w:rsidRPr="00686C1B">
        <w:rPr>
          <w:rFonts w:cs="Arial"/>
        </w:rPr>
        <w:t xml:space="preserve"> (covers Richmond upon Thames, Kingston upon Thames, Sutton, Merton, Wandsworth and Croydon) represented by Cllr Nick Draper.</w:t>
      </w:r>
    </w:p>
    <w:p w:rsidR="00163BC2" w:rsidRPr="00686C1B" w:rsidRDefault="00424F91" w:rsidP="00C24D08">
      <w:pPr>
        <w:pStyle w:val="ListParagraph"/>
        <w:numPr>
          <w:ilvl w:val="0"/>
          <w:numId w:val="2"/>
        </w:numPr>
        <w:spacing w:after="240"/>
      </w:pPr>
      <w:r w:rsidRPr="00686C1B">
        <w:t xml:space="preserve">One of the Thames RFCC’s roles is to identify projects that could be funded to reduce the risk of flooding to households and businesses. Local authorities can submit projects for scrutiny and funding that address the flooding risk that they are responsible for; surface water, groundwater and flooding from ordinary watercourses. The Environment Agency does the same for </w:t>
      </w:r>
      <w:proofErr w:type="gramStart"/>
      <w:r w:rsidRPr="00686C1B">
        <w:t>main river</w:t>
      </w:r>
      <w:proofErr w:type="gramEnd"/>
      <w:r w:rsidRPr="00686C1B">
        <w:t xml:space="preserve"> flooding</w:t>
      </w:r>
      <w:r w:rsidR="00F25B50" w:rsidRPr="00686C1B">
        <w:t>, including from the Thames</w:t>
      </w:r>
      <w:r w:rsidRPr="00686C1B">
        <w:t>.</w:t>
      </w:r>
    </w:p>
    <w:p w:rsidR="00962085" w:rsidRPr="00686C1B" w:rsidRDefault="00424F91" w:rsidP="00C24D08">
      <w:pPr>
        <w:pStyle w:val="ListParagraph"/>
        <w:numPr>
          <w:ilvl w:val="0"/>
          <w:numId w:val="2"/>
        </w:numPr>
        <w:spacing w:after="240"/>
      </w:pPr>
      <w:r w:rsidRPr="00686C1B">
        <w:t xml:space="preserve">There are three sources of funding for capital projects: Grant in Aid provided by the government; local levy which is paid by local authorities on an annual basis; and third party contributions, usually secured from beneficiaries of the scheme. </w:t>
      </w:r>
    </w:p>
    <w:p w:rsidR="00F25B50" w:rsidRPr="00686C1B" w:rsidRDefault="00163BC2" w:rsidP="00C24D08">
      <w:pPr>
        <w:pStyle w:val="ListParagraph"/>
        <w:numPr>
          <w:ilvl w:val="0"/>
          <w:numId w:val="2"/>
        </w:numPr>
        <w:spacing w:after="240"/>
      </w:pPr>
      <w:r w:rsidRPr="00686C1B">
        <w:t xml:space="preserve">The government has agreed a </w:t>
      </w:r>
      <w:r w:rsidR="00F25B50" w:rsidRPr="00686C1B">
        <w:t>six year programme of capital improvements</w:t>
      </w:r>
      <w:r w:rsidRPr="00686C1B">
        <w:t xml:space="preserve"> with each RFCC which runs from 2015/16 to 2020/21</w:t>
      </w:r>
      <w:r w:rsidR="00F25B50" w:rsidRPr="00686C1B">
        <w:t xml:space="preserve">. </w:t>
      </w:r>
    </w:p>
    <w:p w:rsidR="00F806B0" w:rsidRPr="00686C1B" w:rsidRDefault="00F25B50" w:rsidP="00C24D08">
      <w:pPr>
        <w:pStyle w:val="ListParagraph"/>
        <w:numPr>
          <w:ilvl w:val="0"/>
          <w:numId w:val="2"/>
        </w:numPr>
        <w:spacing w:after="240"/>
      </w:pPr>
      <w:r w:rsidRPr="00686C1B">
        <w:t xml:space="preserve">In December 2014 TEC received a business case from the Thames RFCC for an annual local levy increase </w:t>
      </w:r>
      <w:r w:rsidR="00196759" w:rsidRPr="00686C1B">
        <w:t>of 1.99% each year of the six year programme, payable by all Lead Local Flood Authorities in the Thames catchment area. TEC voted to give ‘in principle’ support for a levy increase in each year of the six year capital programme (to 2020/21)</w:t>
      </w:r>
      <w:r w:rsidR="00CB0AE7" w:rsidRPr="00686C1B">
        <w:t xml:space="preserve"> with the understanding that it would receive annual updates on progress</w:t>
      </w:r>
      <w:r w:rsidR="00196759" w:rsidRPr="00686C1B">
        <w:t>. TEC support</w:t>
      </w:r>
      <w:r w:rsidR="00CB0AE7" w:rsidRPr="00686C1B">
        <w:t>ed</w:t>
      </w:r>
      <w:r w:rsidR="00196759" w:rsidRPr="00686C1B">
        <w:t xml:space="preserve"> a levy increase in October 2015 for the financial year 2016/17. </w:t>
      </w:r>
    </w:p>
    <w:p w:rsidR="00163BC2" w:rsidRPr="00686C1B" w:rsidRDefault="00163BC2" w:rsidP="00163BC2">
      <w:pPr>
        <w:pStyle w:val="ListParagraph"/>
        <w:spacing w:after="240"/>
        <w:ind w:left="360"/>
      </w:pPr>
    </w:p>
    <w:p w:rsidR="00E460FB" w:rsidRPr="00686C1B" w:rsidRDefault="00E460FB" w:rsidP="00E460FB">
      <w:pPr>
        <w:spacing w:after="240"/>
        <w:rPr>
          <w:b/>
        </w:rPr>
      </w:pPr>
      <w:r w:rsidRPr="00686C1B">
        <w:rPr>
          <w:b/>
        </w:rPr>
        <w:lastRenderedPageBreak/>
        <w:t>London’s flooding risk</w:t>
      </w:r>
    </w:p>
    <w:p w:rsidR="003D5515" w:rsidRPr="00686C1B" w:rsidRDefault="003D5515" w:rsidP="00C24D08">
      <w:pPr>
        <w:pStyle w:val="ListParagraph"/>
        <w:numPr>
          <w:ilvl w:val="0"/>
          <w:numId w:val="2"/>
        </w:numPr>
        <w:spacing w:after="240"/>
      </w:pPr>
      <w:r w:rsidRPr="00686C1B">
        <w:t xml:space="preserve">London continues to be at high risk of flooding, especially </w:t>
      </w:r>
      <w:r w:rsidR="003F11CD" w:rsidRPr="00686C1B">
        <w:t xml:space="preserve">from </w:t>
      </w:r>
      <w:r w:rsidRPr="00686C1B">
        <w:t xml:space="preserve">surface water and groundwater flooding. Recent weather events in summer 2016 and over the winter </w:t>
      </w:r>
      <w:r w:rsidR="003F11CD" w:rsidRPr="00686C1B">
        <w:t xml:space="preserve">of </w:t>
      </w:r>
      <w:r w:rsidRPr="00686C1B">
        <w:t xml:space="preserve">2015/16 saw localised flooding </w:t>
      </w:r>
      <w:r w:rsidR="00E50FEA" w:rsidRPr="00686C1B">
        <w:t xml:space="preserve">and disruption </w:t>
      </w:r>
      <w:r w:rsidRPr="00686C1B">
        <w:t xml:space="preserve">in a number of </w:t>
      </w:r>
      <w:r w:rsidR="003F11CD" w:rsidRPr="00686C1B">
        <w:t xml:space="preserve">boroughs. </w:t>
      </w:r>
      <w:r w:rsidRPr="00686C1B">
        <w:t xml:space="preserve">As boroughs have statutory responsibility for this type of flooding, the Thames RFCC continues to encourage boroughs to put forward schemes for funding to address this. </w:t>
      </w:r>
    </w:p>
    <w:p w:rsidR="00185207" w:rsidRPr="00686C1B" w:rsidRDefault="007E7937" w:rsidP="00E03D81">
      <w:pPr>
        <w:spacing w:after="240"/>
        <w:rPr>
          <w:b/>
        </w:rPr>
      </w:pPr>
      <w:r w:rsidRPr="00686C1B">
        <w:rPr>
          <w:b/>
        </w:rPr>
        <w:t>Thames RFCC c</w:t>
      </w:r>
      <w:r w:rsidR="00E03D81" w:rsidRPr="00686C1B">
        <w:rPr>
          <w:b/>
        </w:rPr>
        <w:t>ore priorities and achievements over the last financial year</w:t>
      </w:r>
      <w:r w:rsidRPr="00686C1B">
        <w:rPr>
          <w:b/>
        </w:rPr>
        <w:t xml:space="preserve"> </w:t>
      </w:r>
    </w:p>
    <w:p w:rsidR="001D1090" w:rsidRPr="00686C1B" w:rsidRDefault="003F11CD" w:rsidP="001D1090">
      <w:pPr>
        <w:pStyle w:val="ListParagraph"/>
        <w:numPr>
          <w:ilvl w:val="0"/>
          <w:numId w:val="2"/>
        </w:numPr>
        <w:spacing w:after="240"/>
      </w:pPr>
      <w:r w:rsidRPr="00686C1B">
        <w:t xml:space="preserve">The </w:t>
      </w:r>
      <w:r w:rsidR="001D1090" w:rsidRPr="00686C1B">
        <w:t xml:space="preserve">Thames RFCC exceeded its overall targets for properties with reduced risk across the catchment during 2015/16. Currently, performance to reduce tidal flood risk is very strong and there is also a drive to make progress in reducing flood risk from tributaries of the Thames across London. This year saw the opening of the £15.3m Salmons Brook Scheme which reduces risk to 2,587 homes in Enfield and Edmonton. Good progress is being made on the major Lewisham and </w:t>
      </w:r>
      <w:proofErr w:type="spellStart"/>
      <w:r w:rsidR="001D1090" w:rsidRPr="00686C1B">
        <w:t>Catford</w:t>
      </w:r>
      <w:proofErr w:type="spellEnd"/>
      <w:r w:rsidR="001D1090" w:rsidRPr="00686C1B">
        <w:t xml:space="preserve"> scheme and other potential projects to manage flood risk from tributaries are in development or under investigation. Although there continue to be challenges associated with delivering schemes to reduce surface water risk, which is a less established area of flood risk management, a growing number of investigations are being undertaken and there are now a number of completed projects across London that demonstrate what can be achieved. These often deliver environmental improvements, reduced flood risk to properties and greater infrastructure resilience.</w:t>
      </w:r>
    </w:p>
    <w:p w:rsidR="001D1090" w:rsidRPr="00686C1B" w:rsidRDefault="001D1090" w:rsidP="001D1090">
      <w:pPr>
        <w:pStyle w:val="ListParagraph"/>
        <w:numPr>
          <w:ilvl w:val="0"/>
          <w:numId w:val="2"/>
        </w:numPr>
        <w:spacing w:after="240"/>
      </w:pPr>
      <w:r w:rsidRPr="00686C1B">
        <w:t>The move to a six year programme is enabling projects that address complex flood</w:t>
      </w:r>
      <w:r w:rsidR="003F11CD" w:rsidRPr="00686C1B">
        <w:t>ing</w:t>
      </w:r>
      <w:r w:rsidRPr="00686C1B">
        <w:t xml:space="preserve"> problems involving multiple sources of risk to be taken forward. Previously, these projects often stalled or </w:t>
      </w:r>
      <w:r w:rsidR="003F11CD" w:rsidRPr="00686C1B">
        <w:t xml:space="preserve">were considered too difficult to address. </w:t>
      </w:r>
      <w:r w:rsidRPr="00686C1B">
        <w:t xml:space="preserve">There is </w:t>
      </w:r>
      <w:r w:rsidR="003F11CD" w:rsidRPr="00686C1B">
        <w:t xml:space="preserve">now </w:t>
      </w:r>
      <w:r w:rsidRPr="00686C1B">
        <w:t xml:space="preserve">growing appreciation that slowing the flow of water in the upper Thames catchment can help to reduce flood risk lower in the catchment, including in London. A strategy is being developed for the deployment of temporary defences which identifies where a combination of demountable metal barriers and pumping can help to reduce flood risk. </w:t>
      </w:r>
    </w:p>
    <w:p w:rsidR="00EE204A" w:rsidRPr="00686C1B" w:rsidRDefault="00EE204A" w:rsidP="001D1090">
      <w:pPr>
        <w:pStyle w:val="ListParagraph"/>
        <w:numPr>
          <w:ilvl w:val="0"/>
          <w:numId w:val="2"/>
        </w:numPr>
        <w:spacing w:after="240"/>
      </w:pPr>
      <w:r w:rsidRPr="00686C1B">
        <w:t xml:space="preserve">The Thames RFCC is </w:t>
      </w:r>
      <w:r w:rsidR="00CB0AE7" w:rsidRPr="00686C1B">
        <w:t xml:space="preserve">keen to take an even longer </w:t>
      </w:r>
      <w:r w:rsidRPr="00686C1B">
        <w:t>term view of flood risk</w:t>
      </w:r>
      <w:r w:rsidR="001D1090" w:rsidRPr="00686C1B">
        <w:t xml:space="preserve"> and</w:t>
      </w:r>
      <w:r w:rsidRPr="00686C1B">
        <w:t xml:space="preserve"> </w:t>
      </w:r>
      <w:r w:rsidR="001D1090" w:rsidRPr="00686C1B">
        <w:t xml:space="preserve">identify opportunities for aligning flood risk management with other investment programmes, such as infrastructure delivery and redevelopment. As part of this process, each of the </w:t>
      </w:r>
      <w:r w:rsidR="003F11CD" w:rsidRPr="00686C1B">
        <w:t>sub-regional p</w:t>
      </w:r>
      <w:r w:rsidR="001D1090" w:rsidRPr="00686C1B">
        <w:t>artnerships is being invited to consider its future ambitions for flood risk m</w:t>
      </w:r>
      <w:r w:rsidR="00B74292" w:rsidRPr="00686C1B">
        <w:t xml:space="preserve">anagement in an integrated way. </w:t>
      </w:r>
      <w:r w:rsidR="001D1090" w:rsidRPr="00686C1B">
        <w:t xml:space="preserve">This is putting Thames RFCC in a strong position to bid for future government funding.  A </w:t>
      </w:r>
      <w:r w:rsidRPr="00686C1B">
        <w:t xml:space="preserve">pilot </w:t>
      </w:r>
      <w:r w:rsidR="001D1090" w:rsidRPr="00686C1B">
        <w:t xml:space="preserve">is being undertaken </w:t>
      </w:r>
      <w:r w:rsidRPr="00686C1B">
        <w:t xml:space="preserve">in the Lee Valley </w:t>
      </w:r>
      <w:r w:rsidR="001D1090" w:rsidRPr="00686C1B">
        <w:t>to improve</w:t>
      </w:r>
      <w:r w:rsidR="00CB0AE7" w:rsidRPr="00686C1B">
        <w:t xml:space="preserve"> </w:t>
      </w:r>
      <w:r w:rsidR="001D1090" w:rsidRPr="00686C1B">
        <w:t xml:space="preserve">the </w:t>
      </w:r>
      <w:r w:rsidRPr="00686C1B">
        <w:t xml:space="preserve">links with major regeneration and development projects. </w:t>
      </w:r>
      <w:r w:rsidR="00CB0AE7" w:rsidRPr="00686C1B">
        <w:t>If successful, t</w:t>
      </w:r>
      <w:r w:rsidRPr="00686C1B">
        <w:t xml:space="preserve">his approach will be rolled out across the Thames RFCC area. The aim is to reduce current flood risk whilst also mitigating future flood risks from development. </w:t>
      </w:r>
    </w:p>
    <w:p w:rsidR="00EE204A" w:rsidRPr="00686C1B" w:rsidRDefault="00EE204A" w:rsidP="00C24D08">
      <w:pPr>
        <w:pStyle w:val="ListParagraph"/>
        <w:numPr>
          <w:ilvl w:val="0"/>
          <w:numId w:val="2"/>
        </w:numPr>
        <w:spacing w:after="240"/>
      </w:pPr>
      <w:r w:rsidRPr="00686C1B">
        <w:t xml:space="preserve">The Thames RFCC is working more closely with Thames Water, as Thames Water has recently introduced dedicated Infrastructure Planning Leads for each sub-regional partnership. Thames Water is preparing its business plan for the period 2020-2025, and is encouraging local authorities to put forward integrated schemes for consideration as part of this process. </w:t>
      </w:r>
    </w:p>
    <w:p w:rsidR="001D1090" w:rsidRPr="00686C1B" w:rsidRDefault="001D1090" w:rsidP="001D1090">
      <w:pPr>
        <w:pStyle w:val="ListParagraph"/>
        <w:numPr>
          <w:ilvl w:val="0"/>
          <w:numId w:val="2"/>
        </w:numPr>
        <w:spacing w:after="240"/>
      </w:pPr>
      <w:r w:rsidRPr="00686C1B">
        <w:t>The link between flood risk management and planning, including building control and sustainable drainage, has been a significant theme this year</w:t>
      </w:r>
      <w:r w:rsidR="00DF30B7" w:rsidRPr="00686C1B">
        <w:t>. T</w:t>
      </w:r>
      <w:r w:rsidRPr="00686C1B">
        <w:t>he Thames RFCC has created a portfolio of issues it is pursuing with DCLG to secure improvements in the way these two areas of policy work together.</w:t>
      </w:r>
    </w:p>
    <w:p w:rsidR="001D1090" w:rsidRPr="00686C1B" w:rsidRDefault="001D1090" w:rsidP="001D1090">
      <w:pPr>
        <w:pStyle w:val="ListParagraph"/>
        <w:numPr>
          <w:ilvl w:val="0"/>
          <w:numId w:val="2"/>
        </w:numPr>
        <w:spacing w:after="240"/>
      </w:pPr>
      <w:r w:rsidRPr="00686C1B">
        <w:t xml:space="preserve">The </w:t>
      </w:r>
      <w:r w:rsidR="00F66C8C" w:rsidRPr="00686C1B">
        <w:t xml:space="preserve">Thames </w:t>
      </w:r>
      <w:r w:rsidRPr="00686C1B">
        <w:t>RFCC has supported better understanding and modelling of groundwater flood risk. This is a notable issue in parts of South London. A feature of this type of flood risk is that i</w:t>
      </w:r>
      <w:r w:rsidR="00F66C8C" w:rsidRPr="00686C1B">
        <w:t>t</w:t>
      </w:r>
      <w:r w:rsidRPr="00686C1B">
        <w:t xml:space="preserve"> can occur for long periods when groundwater levels are high.             </w:t>
      </w:r>
    </w:p>
    <w:p w:rsidR="001D1090" w:rsidRPr="00686C1B" w:rsidRDefault="003F11CD" w:rsidP="001D1090">
      <w:pPr>
        <w:spacing w:after="240"/>
        <w:rPr>
          <w:i/>
        </w:rPr>
      </w:pPr>
      <w:r w:rsidRPr="00686C1B">
        <w:rPr>
          <w:i/>
        </w:rPr>
        <w:t>LLFA Project Adviso</w:t>
      </w:r>
      <w:r w:rsidR="001D1090" w:rsidRPr="00686C1B">
        <w:rPr>
          <w:i/>
        </w:rPr>
        <w:t>rs Team</w:t>
      </w:r>
    </w:p>
    <w:p w:rsidR="00E460FB" w:rsidRPr="00686C1B" w:rsidRDefault="00E460FB" w:rsidP="00C24D08">
      <w:pPr>
        <w:pStyle w:val="ListParagraph"/>
        <w:numPr>
          <w:ilvl w:val="0"/>
          <w:numId w:val="2"/>
        </w:numPr>
        <w:spacing w:after="240"/>
      </w:pPr>
      <w:r w:rsidRPr="00686C1B">
        <w:t>The Thames RFCC identified last year through its risk register that capacity within local authorities to develop projects for capital funding was a significant risk. With funding secured from government to deliver a capital programme with require</w:t>
      </w:r>
      <w:r w:rsidR="00F66C8C" w:rsidRPr="00686C1B">
        <w:t>d</w:t>
      </w:r>
      <w:r w:rsidRPr="00686C1B">
        <w:t xml:space="preserve"> outcomes, the Thames RFCC decided to address this</w:t>
      </w:r>
      <w:r w:rsidR="00CF7B32" w:rsidRPr="00686C1B">
        <w:t xml:space="preserve"> to avoid any risk of losing the funding to other parts of the country</w:t>
      </w:r>
      <w:r w:rsidRPr="00686C1B">
        <w:t xml:space="preserve">. </w:t>
      </w:r>
    </w:p>
    <w:p w:rsidR="00CF7B32" w:rsidRPr="00686C1B" w:rsidRDefault="00CF7B32" w:rsidP="00C24D08">
      <w:pPr>
        <w:pStyle w:val="ListParagraph"/>
        <w:numPr>
          <w:ilvl w:val="0"/>
          <w:numId w:val="2"/>
        </w:numPr>
        <w:spacing w:after="240"/>
      </w:pPr>
      <w:r w:rsidRPr="00686C1B">
        <w:t xml:space="preserve">London Councils has been involved together with the Environment Agency, </w:t>
      </w:r>
      <w:r w:rsidR="003F11CD" w:rsidRPr="00686C1B">
        <w:t xml:space="preserve">GLA, </w:t>
      </w:r>
      <w:r w:rsidRPr="00686C1B">
        <w:t>Thames Water and local authorities from within and outside London to develop the proposal further. A Project Board with elected and independent members from the Thames RFCC has been established, and has met twice. An officer Steering Group continues to meet monthly to support the new team become established. Five Advis</w:t>
      </w:r>
      <w:r w:rsidR="003F11CD" w:rsidRPr="00686C1B">
        <w:t>o</w:t>
      </w:r>
      <w:r w:rsidRPr="00686C1B">
        <w:t>rs have been appointed and have started work. They are likely to focus on London. An interim Team Leader is in place</w:t>
      </w:r>
      <w:r w:rsidR="00091A1A" w:rsidRPr="00686C1B">
        <w:t>, seconded</w:t>
      </w:r>
      <w:r w:rsidRPr="00686C1B">
        <w:t xml:space="preserve"> from RB Kensington and Chelsea with two permanent Team Leaders having accepted offers of employment and starting before Christmas. Further recruitment of the outside London team will commence shortly. The teams are likely to be mobile, deployed for their skills and spend time working closely with local authorities. </w:t>
      </w:r>
    </w:p>
    <w:p w:rsidR="00CF7B32" w:rsidRPr="00686C1B" w:rsidRDefault="00CF7B32" w:rsidP="00C24D08">
      <w:pPr>
        <w:pStyle w:val="ListParagraph"/>
        <w:numPr>
          <w:ilvl w:val="0"/>
          <w:numId w:val="2"/>
        </w:numPr>
        <w:spacing w:after="240"/>
      </w:pPr>
      <w:r w:rsidRPr="00686C1B">
        <w:t xml:space="preserve">The team has produced an initial shortlist of </w:t>
      </w:r>
      <w:r w:rsidR="001A68BB" w:rsidRPr="00686C1B">
        <w:t xml:space="preserve">local authority led </w:t>
      </w:r>
      <w:r w:rsidRPr="00686C1B">
        <w:t xml:space="preserve">projects that are at risk of not delivering. This will be further refined in the coming months. The team are also establishing a baseline from which success and the value the team is adding can be measured. </w:t>
      </w:r>
    </w:p>
    <w:p w:rsidR="00E03D81" w:rsidRPr="00686C1B" w:rsidRDefault="007E7937" w:rsidP="00E03D81">
      <w:pPr>
        <w:spacing w:after="240"/>
      </w:pPr>
      <w:r w:rsidRPr="00686C1B">
        <w:rPr>
          <w:b/>
        </w:rPr>
        <w:t>Business case</w:t>
      </w:r>
    </w:p>
    <w:p w:rsidR="008525BA" w:rsidRPr="00686C1B" w:rsidRDefault="00FF07FC" w:rsidP="008525BA">
      <w:pPr>
        <w:pStyle w:val="ListParagraph"/>
        <w:numPr>
          <w:ilvl w:val="0"/>
          <w:numId w:val="2"/>
        </w:numPr>
        <w:spacing w:after="240"/>
      </w:pPr>
      <w:r w:rsidRPr="00686C1B">
        <w:t>The Environment Agency, on behalf of the Thames RFC</w:t>
      </w:r>
      <w:r w:rsidR="008E6FED" w:rsidRPr="00686C1B">
        <w:t>C, has provided a Business Case</w:t>
      </w:r>
      <w:r w:rsidRPr="00686C1B">
        <w:t xml:space="preserve"> at Appendix A</w:t>
      </w:r>
      <w:r w:rsidR="00C00C60" w:rsidRPr="00686C1B">
        <w:t xml:space="preserve"> which sets out the reasons </w:t>
      </w:r>
      <w:r w:rsidRPr="00686C1B">
        <w:t xml:space="preserve">for </w:t>
      </w:r>
      <w:r w:rsidR="00C00C60" w:rsidRPr="00686C1B">
        <w:t xml:space="preserve">supporting </w:t>
      </w:r>
      <w:r w:rsidRPr="00686C1B">
        <w:t xml:space="preserve">another year’s levy increase </w:t>
      </w:r>
      <w:r w:rsidR="00C00C60" w:rsidRPr="00686C1B">
        <w:t xml:space="preserve">in line with </w:t>
      </w:r>
      <w:r w:rsidR="00091A1A" w:rsidRPr="00686C1B">
        <w:t>the 2014 ‘</w:t>
      </w:r>
      <w:r w:rsidR="00C00C60" w:rsidRPr="00686C1B">
        <w:t>in principl</w:t>
      </w:r>
      <w:r w:rsidR="00091A1A" w:rsidRPr="00686C1B">
        <w:t xml:space="preserve">e’ </w:t>
      </w:r>
      <w:r w:rsidR="00C00C60" w:rsidRPr="00686C1B">
        <w:t>decision.</w:t>
      </w:r>
      <w:r w:rsidR="008525BA" w:rsidRPr="00686C1B">
        <w:t xml:space="preserve"> </w:t>
      </w:r>
    </w:p>
    <w:p w:rsidR="00C439AF" w:rsidRPr="00686C1B" w:rsidRDefault="00C00C60" w:rsidP="00C24D08">
      <w:pPr>
        <w:pStyle w:val="ListParagraph"/>
        <w:numPr>
          <w:ilvl w:val="0"/>
          <w:numId w:val="2"/>
        </w:numPr>
        <w:spacing w:after="240"/>
      </w:pPr>
      <w:r w:rsidRPr="00686C1B">
        <w:t>At the core of th</w:t>
      </w:r>
      <w:r w:rsidR="008E6FED" w:rsidRPr="00686C1B">
        <w:t xml:space="preserve">e recommendation in the Business Case </w:t>
      </w:r>
      <w:r w:rsidRPr="00686C1B">
        <w:t xml:space="preserve">is the value of maintaining a </w:t>
      </w:r>
      <w:r w:rsidR="008E6FED" w:rsidRPr="00686C1B">
        <w:t>M</w:t>
      </w:r>
      <w:r w:rsidRPr="00686C1B">
        <w:t xml:space="preserve">ajor </w:t>
      </w:r>
      <w:r w:rsidR="008E6FED" w:rsidRPr="00686C1B">
        <w:t>P</w:t>
      </w:r>
      <w:r w:rsidRPr="00686C1B">
        <w:t xml:space="preserve">rojects </w:t>
      </w:r>
      <w:r w:rsidR="008E6FED" w:rsidRPr="00686C1B">
        <w:t>F</w:t>
      </w:r>
      <w:r w:rsidRPr="00686C1B">
        <w:t>und</w:t>
      </w:r>
      <w:r w:rsidR="00686C1B" w:rsidRPr="00686C1B">
        <w:t xml:space="preserve">. This </w:t>
      </w:r>
      <w:r w:rsidRPr="00686C1B">
        <w:t xml:space="preserve">enables the Thames RFCC to invest </w:t>
      </w:r>
      <w:r w:rsidR="00686C1B" w:rsidRPr="00686C1B">
        <w:t>in major, long-term and often complex projects. Without</w:t>
      </w:r>
      <w:r w:rsidRPr="00686C1B">
        <w:t xml:space="preserve"> another year</w:t>
      </w:r>
      <w:r w:rsidR="008525BA" w:rsidRPr="00686C1B">
        <w:t>’</w:t>
      </w:r>
      <w:r w:rsidRPr="00686C1B">
        <w:t>s levy increase</w:t>
      </w:r>
      <w:r w:rsidR="008525BA" w:rsidRPr="00686C1B">
        <w:t>,</w:t>
      </w:r>
      <w:r w:rsidRPr="00686C1B">
        <w:t xml:space="preserve"> this </w:t>
      </w:r>
      <w:r w:rsidR="008E6FED" w:rsidRPr="00686C1B">
        <w:t>M</w:t>
      </w:r>
      <w:r w:rsidRPr="00686C1B">
        <w:t xml:space="preserve">ajor </w:t>
      </w:r>
      <w:r w:rsidR="008E6FED" w:rsidRPr="00686C1B">
        <w:t>P</w:t>
      </w:r>
      <w:r w:rsidRPr="00686C1B">
        <w:t xml:space="preserve">roject </w:t>
      </w:r>
      <w:r w:rsidR="008E6FED" w:rsidRPr="00686C1B">
        <w:t>F</w:t>
      </w:r>
      <w:r w:rsidRPr="00686C1B">
        <w:t>und is likely to be drawn down over the course of the six year programme</w:t>
      </w:r>
      <w:r w:rsidR="00686C1B" w:rsidRPr="00686C1B">
        <w:t>,</w:t>
      </w:r>
      <w:r w:rsidRPr="00686C1B">
        <w:t xml:space="preserve"> as set out last year.</w:t>
      </w:r>
      <w:r w:rsidR="008525BA" w:rsidRPr="00686C1B">
        <w:t xml:space="preserve"> As anticipated</w:t>
      </w:r>
      <w:r w:rsidR="00686C1B" w:rsidRPr="00686C1B">
        <w:t xml:space="preserve"> by the Thames RFCC</w:t>
      </w:r>
      <w:r w:rsidR="008525BA" w:rsidRPr="00686C1B">
        <w:t xml:space="preserve">, this fund was relied upon in 2015/16 to underwrite projects which were initiated with Levy and subsequently attracted national Grant in Aid.      </w:t>
      </w:r>
    </w:p>
    <w:p w:rsidR="00DE5BB7" w:rsidRPr="00686C1B" w:rsidRDefault="00DE5BB7" w:rsidP="00C24D08">
      <w:pPr>
        <w:pStyle w:val="ListParagraph"/>
        <w:numPr>
          <w:ilvl w:val="0"/>
          <w:numId w:val="2"/>
        </w:numPr>
        <w:spacing w:after="240"/>
      </w:pPr>
      <w:r w:rsidRPr="00686C1B">
        <w:t xml:space="preserve">The table below sets out indicative levels of levy which would be paid by each </w:t>
      </w:r>
      <w:r w:rsidR="008C65D1" w:rsidRPr="00686C1B">
        <w:t>London borough</w:t>
      </w:r>
      <w:r w:rsidR="00BE6E0D" w:rsidRPr="00686C1B">
        <w:t xml:space="preserve"> in 2017/18. </w:t>
      </w:r>
    </w:p>
    <w:p w:rsidR="00BE6E0D" w:rsidRPr="00686C1B" w:rsidRDefault="00BE6E0D" w:rsidP="00BE6E0D">
      <w:pPr>
        <w:spacing w:after="240"/>
      </w:pPr>
    </w:p>
    <w:p w:rsidR="00BE6E0D" w:rsidRPr="00686C1B" w:rsidRDefault="00BE6E0D" w:rsidP="00BE6E0D">
      <w:pPr>
        <w:spacing w:after="240"/>
      </w:pPr>
    </w:p>
    <w:p w:rsidR="00BE6E0D" w:rsidRPr="00686C1B" w:rsidRDefault="00BE6E0D" w:rsidP="00BE6E0D">
      <w:pPr>
        <w:spacing w:after="240"/>
      </w:pPr>
    </w:p>
    <w:p w:rsidR="00BE6E0D" w:rsidRPr="00686C1B" w:rsidRDefault="00BE6E0D" w:rsidP="00BE6E0D">
      <w:pPr>
        <w:spacing w:after="240"/>
      </w:pPr>
    </w:p>
    <w:tbl>
      <w:tblPr>
        <w:tblpPr w:leftFromText="180" w:rightFromText="180" w:vertAnchor="text" w:tblpXSpec="center" w:tblpY="1"/>
        <w:tblOverlap w:val="never"/>
        <w:tblW w:w="6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232"/>
        <w:gridCol w:w="1351"/>
        <w:gridCol w:w="1811"/>
      </w:tblGrid>
      <w:tr w:rsidR="00BE6E0D" w:rsidRPr="00686C1B" w:rsidTr="00BE6E0D">
        <w:trPr>
          <w:trHeight w:val="920"/>
          <w:tblHeader/>
        </w:trPr>
        <w:tc>
          <w:tcPr>
            <w:tcW w:w="2444" w:type="dxa"/>
            <w:shd w:val="clear" w:color="auto" w:fill="auto"/>
            <w:noWrap/>
            <w:vAlign w:val="bottom"/>
          </w:tcPr>
          <w:p w:rsidR="00BE6E0D" w:rsidRPr="00686C1B" w:rsidRDefault="00BE6E0D" w:rsidP="00BE6E0D">
            <w:pPr>
              <w:rPr>
                <w:rFonts w:cs="Arial"/>
                <w:sz w:val="20"/>
                <w:szCs w:val="20"/>
                <w:lang w:eastAsia="en-GB"/>
              </w:rPr>
            </w:pPr>
          </w:p>
        </w:tc>
        <w:tc>
          <w:tcPr>
            <w:tcW w:w="1232" w:type="dxa"/>
            <w:vAlign w:val="bottom"/>
          </w:tcPr>
          <w:p w:rsidR="00BE6E0D" w:rsidRPr="00686C1B" w:rsidRDefault="00BE6E0D" w:rsidP="00BE6E0D">
            <w:pPr>
              <w:jc w:val="center"/>
              <w:rPr>
                <w:b/>
                <w:sz w:val="20"/>
                <w:szCs w:val="20"/>
              </w:rPr>
            </w:pPr>
            <w:r w:rsidRPr="00686C1B">
              <w:rPr>
                <w:b/>
                <w:sz w:val="20"/>
                <w:szCs w:val="20"/>
              </w:rPr>
              <w:t>Levy paid in</w:t>
            </w:r>
          </w:p>
          <w:p w:rsidR="00BE6E0D" w:rsidRPr="00686C1B" w:rsidRDefault="00BE6E0D" w:rsidP="00BE6E0D">
            <w:pPr>
              <w:jc w:val="center"/>
              <w:rPr>
                <w:b/>
                <w:sz w:val="20"/>
                <w:szCs w:val="20"/>
              </w:rPr>
            </w:pPr>
            <w:r w:rsidRPr="00686C1B">
              <w:rPr>
                <w:b/>
                <w:sz w:val="20"/>
                <w:szCs w:val="20"/>
              </w:rPr>
              <w:t>2016/17</w:t>
            </w:r>
          </w:p>
        </w:tc>
        <w:tc>
          <w:tcPr>
            <w:tcW w:w="1351" w:type="dxa"/>
            <w:vAlign w:val="bottom"/>
          </w:tcPr>
          <w:p w:rsidR="00BE6E0D" w:rsidRPr="00686C1B" w:rsidRDefault="00BE6E0D" w:rsidP="00BE6E0D">
            <w:pPr>
              <w:jc w:val="center"/>
              <w:rPr>
                <w:b/>
                <w:sz w:val="20"/>
                <w:szCs w:val="20"/>
              </w:rPr>
            </w:pPr>
            <w:r w:rsidRPr="00686C1B">
              <w:rPr>
                <w:b/>
                <w:sz w:val="20"/>
                <w:szCs w:val="20"/>
              </w:rPr>
              <w:t>1.99% increase on levy paid in 2016/17</w:t>
            </w:r>
          </w:p>
        </w:tc>
        <w:tc>
          <w:tcPr>
            <w:tcW w:w="1811" w:type="dxa"/>
            <w:vAlign w:val="bottom"/>
          </w:tcPr>
          <w:p w:rsidR="00BE6E0D" w:rsidRPr="00686C1B" w:rsidRDefault="00BE6E0D" w:rsidP="00BE6E0D">
            <w:pPr>
              <w:jc w:val="center"/>
              <w:rPr>
                <w:b/>
                <w:sz w:val="20"/>
                <w:szCs w:val="20"/>
              </w:rPr>
            </w:pPr>
            <w:r w:rsidRPr="00686C1B">
              <w:rPr>
                <w:b/>
                <w:sz w:val="20"/>
                <w:szCs w:val="20"/>
              </w:rPr>
              <w:t>Estimate for levy in 2017/18 if 1.99% increase applied</w:t>
            </w:r>
          </w:p>
        </w:tc>
      </w:tr>
      <w:tr w:rsidR="00BE6E0D" w:rsidRPr="00686C1B" w:rsidTr="00BE6E0D">
        <w:trPr>
          <w:trHeight w:val="255"/>
          <w:tblHeader/>
        </w:trPr>
        <w:tc>
          <w:tcPr>
            <w:tcW w:w="2444" w:type="dxa"/>
            <w:shd w:val="clear" w:color="auto" w:fill="auto"/>
            <w:noWrap/>
            <w:vAlign w:val="bottom"/>
            <w:hideMark/>
          </w:tcPr>
          <w:p w:rsidR="00BE6E0D" w:rsidRPr="00686C1B" w:rsidRDefault="00BE6E0D" w:rsidP="00BE6E0D">
            <w:pPr>
              <w:rPr>
                <w:rFonts w:cs="Arial"/>
                <w:sz w:val="20"/>
                <w:szCs w:val="20"/>
                <w:lang w:eastAsia="en-GB"/>
              </w:rPr>
            </w:pPr>
            <w:r w:rsidRPr="00686C1B">
              <w:rPr>
                <w:rFonts w:cs="Arial"/>
                <w:sz w:val="20"/>
                <w:szCs w:val="20"/>
                <w:lang w:eastAsia="en-GB"/>
              </w:rPr>
              <w:t>Barking &amp; Dagenham</w:t>
            </w:r>
          </w:p>
        </w:tc>
        <w:tc>
          <w:tcPr>
            <w:tcW w:w="1232" w:type="dxa"/>
            <w:vAlign w:val="bottom"/>
          </w:tcPr>
          <w:p w:rsidR="00BE6E0D" w:rsidRPr="00686C1B" w:rsidRDefault="00BE6E0D" w:rsidP="00BE6E0D">
            <w:pPr>
              <w:jc w:val="right"/>
              <w:rPr>
                <w:sz w:val="20"/>
                <w:szCs w:val="20"/>
              </w:rPr>
            </w:pPr>
            <w:r w:rsidRPr="00686C1B">
              <w:rPr>
                <w:sz w:val="20"/>
                <w:szCs w:val="20"/>
              </w:rPr>
              <w:t>£103,980</w:t>
            </w:r>
          </w:p>
        </w:tc>
        <w:tc>
          <w:tcPr>
            <w:tcW w:w="1351" w:type="dxa"/>
            <w:vAlign w:val="bottom"/>
          </w:tcPr>
          <w:p w:rsidR="00BE6E0D" w:rsidRPr="00686C1B" w:rsidRDefault="00BE6E0D">
            <w:pPr>
              <w:jc w:val="right"/>
              <w:rPr>
                <w:sz w:val="20"/>
                <w:szCs w:val="20"/>
              </w:rPr>
            </w:pPr>
            <w:r w:rsidRPr="00686C1B">
              <w:rPr>
                <w:sz w:val="20"/>
                <w:szCs w:val="20"/>
              </w:rPr>
              <w:t>£2,069</w:t>
            </w:r>
          </w:p>
        </w:tc>
        <w:tc>
          <w:tcPr>
            <w:tcW w:w="1811" w:type="dxa"/>
            <w:vAlign w:val="bottom"/>
          </w:tcPr>
          <w:p w:rsidR="00BE6E0D" w:rsidRPr="00686C1B" w:rsidRDefault="00BE6E0D">
            <w:pPr>
              <w:jc w:val="right"/>
              <w:rPr>
                <w:sz w:val="20"/>
                <w:szCs w:val="20"/>
              </w:rPr>
            </w:pPr>
            <w:r w:rsidRPr="00686C1B">
              <w:rPr>
                <w:sz w:val="20"/>
                <w:szCs w:val="20"/>
              </w:rPr>
              <w:t>£106,049</w:t>
            </w:r>
          </w:p>
        </w:tc>
      </w:tr>
      <w:tr w:rsidR="00BE6E0D" w:rsidRPr="00686C1B" w:rsidTr="00BE6E0D">
        <w:trPr>
          <w:trHeight w:val="255"/>
          <w:tblHeader/>
        </w:trPr>
        <w:tc>
          <w:tcPr>
            <w:tcW w:w="2444" w:type="dxa"/>
            <w:shd w:val="clear" w:color="auto" w:fill="auto"/>
            <w:noWrap/>
            <w:vAlign w:val="bottom"/>
            <w:hideMark/>
          </w:tcPr>
          <w:p w:rsidR="00BE6E0D" w:rsidRPr="00686C1B" w:rsidRDefault="00BE6E0D" w:rsidP="00BE6E0D">
            <w:pPr>
              <w:rPr>
                <w:rFonts w:cs="Arial"/>
                <w:sz w:val="20"/>
                <w:szCs w:val="20"/>
                <w:lang w:eastAsia="en-GB"/>
              </w:rPr>
            </w:pPr>
            <w:r w:rsidRPr="00686C1B">
              <w:rPr>
                <w:rFonts w:cs="Arial"/>
                <w:sz w:val="20"/>
                <w:szCs w:val="20"/>
                <w:lang w:eastAsia="en-GB"/>
              </w:rPr>
              <w:t>Barnet</w:t>
            </w:r>
          </w:p>
        </w:tc>
        <w:tc>
          <w:tcPr>
            <w:tcW w:w="0" w:type="auto"/>
            <w:vAlign w:val="bottom"/>
          </w:tcPr>
          <w:p w:rsidR="00BE6E0D" w:rsidRPr="00686C1B" w:rsidRDefault="00BE6E0D" w:rsidP="00BE6E0D">
            <w:pPr>
              <w:jc w:val="right"/>
              <w:rPr>
                <w:sz w:val="20"/>
                <w:szCs w:val="20"/>
              </w:rPr>
            </w:pPr>
            <w:r w:rsidRPr="00686C1B">
              <w:rPr>
                <w:sz w:val="20"/>
                <w:szCs w:val="20"/>
              </w:rPr>
              <w:t>£307,599</w:t>
            </w:r>
          </w:p>
        </w:tc>
        <w:tc>
          <w:tcPr>
            <w:tcW w:w="0" w:type="auto"/>
            <w:vAlign w:val="bottom"/>
          </w:tcPr>
          <w:p w:rsidR="00BE6E0D" w:rsidRPr="00686C1B" w:rsidRDefault="00BE6E0D">
            <w:pPr>
              <w:jc w:val="right"/>
              <w:rPr>
                <w:sz w:val="20"/>
                <w:szCs w:val="20"/>
              </w:rPr>
            </w:pPr>
            <w:r w:rsidRPr="00686C1B">
              <w:rPr>
                <w:sz w:val="20"/>
                <w:szCs w:val="20"/>
              </w:rPr>
              <w:t>£6,121</w:t>
            </w:r>
          </w:p>
        </w:tc>
        <w:tc>
          <w:tcPr>
            <w:tcW w:w="1811" w:type="dxa"/>
            <w:vAlign w:val="bottom"/>
          </w:tcPr>
          <w:p w:rsidR="00BE6E0D" w:rsidRPr="00686C1B" w:rsidRDefault="00BE6E0D">
            <w:pPr>
              <w:jc w:val="right"/>
              <w:rPr>
                <w:sz w:val="20"/>
                <w:szCs w:val="20"/>
              </w:rPr>
            </w:pPr>
            <w:r w:rsidRPr="00686C1B">
              <w:rPr>
                <w:sz w:val="20"/>
                <w:szCs w:val="20"/>
              </w:rPr>
              <w:t>£313,720</w:t>
            </w:r>
          </w:p>
        </w:tc>
      </w:tr>
      <w:tr w:rsidR="00BE6E0D" w:rsidRPr="00686C1B" w:rsidTr="00BE6E0D">
        <w:trPr>
          <w:trHeight w:val="255"/>
          <w:tblHeader/>
        </w:trPr>
        <w:tc>
          <w:tcPr>
            <w:tcW w:w="2444" w:type="dxa"/>
            <w:shd w:val="clear" w:color="auto" w:fill="auto"/>
            <w:noWrap/>
            <w:vAlign w:val="bottom"/>
            <w:hideMark/>
          </w:tcPr>
          <w:p w:rsidR="00BE6E0D" w:rsidRPr="00686C1B" w:rsidRDefault="00BE6E0D" w:rsidP="00BE6E0D">
            <w:pPr>
              <w:rPr>
                <w:rFonts w:cs="Arial"/>
                <w:sz w:val="20"/>
                <w:szCs w:val="20"/>
                <w:lang w:eastAsia="en-GB"/>
              </w:rPr>
            </w:pPr>
            <w:r w:rsidRPr="00686C1B">
              <w:rPr>
                <w:rFonts w:cs="Arial"/>
                <w:sz w:val="20"/>
                <w:szCs w:val="20"/>
                <w:lang w:eastAsia="en-GB"/>
              </w:rPr>
              <w:t>Bexley</w:t>
            </w:r>
          </w:p>
        </w:tc>
        <w:tc>
          <w:tcPr>
            <w:tcW w:w="0" w:type="auto"/>
            <w:vAlign w:val="bottom"/>
          </w:tcPr>
          <w:p w:rsidR="00BE6E0D" w:rsidRPr="00686C1B" w:rsidRDefault="00BE6E0D" w:rsidP="00BE6E0D">
            <w:pPr>
              <w:jc w:val="right"/>
              <w:rPr>
                <w:sz w:val="20"/>
                <w:szCs w:val="20"/>
              </w:rPr>
            </w:pPr>
            <w:r w:rsidRPr="00686C1B">
              <w:rPr>
                <w:sz w:val="20"/>
                <w:szCs w:val="20"/>
              </w:rPr>
              <w:t>£75,070</w:t>
            </w:r>
          </w:p>
        </w:tc>
        <w:tc>
          <w:tcPr>
            <w:tcW w:w="0" w:type="auto"/>
            <w:vAlign w:val="bottom"/>
          </w:tcPr>
          <w:p w:rsidR="00BE6E0D" w:rsidRPr="00686C1B" w:rsidRDefault="00BE6E0D">
            <w:pPr>
              <w:jc w:val="right"/>
              <w:rPr>
                <w:sz w:val="20"/>
                <w:szCs w:val="20"/>
              </w:rPr>
            </w:pPr>
            <w:r w:rsidRPr="00686C1B">
              <w:rPr>
                <w:sz w:val="20"/>
                <w:szCs w:val="20"/>
              </w:rPr>
              <w:t>£1,494</w:t>
            </w:r>
          </w:p>
        </w:tc>
        <w:tc>
          <w:tcPr>
            <w:tcW w:w="1811" w:type="dxa"/>
            <w:vAlign w:val="bottom"/>
          </w:tcPr>
          <w:p w:rsidR="00BE6E0D" w:rsidRPr="00686C1B" w:rsidRDefault="00BE6E0D">
            <w:pPr>
              <w:jc w:val="right"/>
              <w:rPr>
                <w:sz w:val="20"/>
                <w:szCs w:val="20"/>
              </w:rPr>
            </w:pPr>
            <w:r w:rsidRPr="00686C1B">
              <w:rPr>
                <w:sz w:val="20"/>
                <w:szCs w:val="20"/>
              </w:rPr>
              <w:t>£76,564</w:t>
            </w:r>
          </w:p>
        </w:tc>
      </w:tr>
      <w:tr w:rsidR="00BE6E0D" w:rsidRPr="00686C1B" w:rsidTr="00BE6E0D">
        <w:trPr>
          <w:trHeight w:val="255"/>
          <w:tblHeader/>
        </w:trPr>
        <w:tc>
          <w:tcPr>
            <w:tcW w:w="2444" w:type="dxa"/>
            <w:shd w:val="clear" w:color="auto" w:fill="auto"/>
            <w:noWrap/>
            <w:vAlign w:val="bottom"/>
            <w:hideMark/>
          </w:tcPr>
          <w:p w:rsidR="00BE6E0D" w:rsidRPr="00686C1B" w:rsidRDefault="00BE6E0D" w:rsidP="00BE6E0D">
            <w:pPr>
              <w:rPr>
                <w:rFonts w:cs="Arial"/>
                <w:sz w:val="20"/>
                <w:szCs w:val="20"/>
                <w:lang w:eastAsia="en-GB"/>
              </w:rPr>
            </w:pPr>
            <w:r w:rsidRPr="00686C1B">
              <w:rPr>
                <w:rFonts w:cs="Arial"/>
                <w:sz w:val="20"/>
                <w:szCs w:val="20"/>
                <w:lang w:eastAsia="en-GB"/>
              </w:rPr>
              <w:t>Brent</w:t>
            </w:r>
          </w:p>
        </w:tc>
        <w:tc>
          <w:tcPr>
            <w:tcW w:w="0" w:type="auto"/>
            <w:vAlign w:val="bottom"/>
          </w:tcPr>
          <w:p w:rsidR="00BE6E0D" w:rsidRPr="00686C1B" w:rsidRDefault="00BE6E0D" w:rsidP="00BE6E0D">
            <w:pPr>
              <w:jc w:val="right"/>
              <w:rPr>
                <w:sz w:val="20"/>
                <w:szCs w:val="20"/>
              </w:rPr>
            </w:pPr>
            <w:r w:rsidRPr="00686C1B">
              <w:rPr>
                <w:sz w:val="20"/>
                <w:szCs w:val="20"/>
              </w:rPr>
              <w:t>£202,879</w:t>
            </w:r>
          </w:p>
        </w:tc>
        <w:tc>
          <w:tcPr>
            <w:tcW w:w="0" w:type="auto"/>
            <w:vAlign w:val="bottom"/>
          </w:tcPr>
          <w:p w:rsidR="00BE6E0D" w:rsidRPr="00686C1B" w:rsidRDefault="00BE6E0D">
            <w:pPr>
              <w:jc w:val="right"/>
              <w:rPr>
                <w:sz w:val="20"/>
                <w:szCs w:val="20"/>
              </w:rPr>
            </w:pPr>
            <w:r w:rsidRPr="00686C1B">
              <w:rPr>
                <w:sz w:val="20"/>
                <w:szCs w:val="20"/>
              </w:rPr>
              <w:t>£4,037</w:t>
            </w:r>
          </w:p>
        </w:tc>
        <w:tc>
          <w:tcPr>
            <w:tcW w:w="1811" w:type="dxa"/>
            <w:vAlign w:val="bottom"/>
          </w:tcPr>
          <w:p w:rsidR="00BE6E0D" w:rsidRPr="00686C1B" w:rsidRDefault="00BE6E0D">
            <w:pPr>
              <w:jc w:val="right"/>
              <w:rPr>
                <w:sz w:val="20"/>
                <w:szCs w:val="20"/>
              </w:rPr>
            </w:pPr>
            <w:r w:rsidRPr="00686C1B">
              <w:rPr>
                <w:sz w:val="20"/>
                <w:szCs w:val="20"/>
              </w:rPr>
              <w:t>£206,916</w:t>
            </w:r>
          </w:p>
        </w:tc>
      </w:tr>
      <w:tr w:rsidR="00BE6E0D" w:rsidRPr="00686C1B" w:rsidTr="00BE6E0D">
        <w:trPr>
          <w:trHeight w:val="255"/>
          <w:tblHeader/>
        </w:trPr>
        <w:tc>
          <w:tcPr>
            <w:tcW w:w="2444" w:type="dxa"/>
            <w:shd w:val="clear" w:color="auto" w:fill="auto"/>
            <w:noWrap/>
            <w:vAlign w:val="bottom"/>
            <w:hideMark/>
          </w:tcPr>
          <w:p w:rsidR="00BE6E0D" w:rsidRPr="00686C1B" w:rsidRDefault="00BE6E0D" w:rsidP="00BE6E0D">
            <w:pPr>
              <w:rPr>
                <w:rFonts w:cs="Arial"/>
                <w:sz w:val="20"/>
                <w:szCs w:val="20"/>
                <w:lang w:eastAsia="en-GB"/>
              </w:rPr>
            </w:pPr>
            <w:r w:rsidRPr="00686C1B">
              <w:rPr>
                <w:rFonts w:cs="Arial"/>
                <w:sz w:val="20"/>
                <w:szCs w:val="20"/>
                <w:lang w:eastAsia="en-GB"/>
              </w:rPr>
              <w:t>Bromley</w:t>
            </w:r>
          </w:p>
        </w:tc>
        <w:tc>
          <w:tcPr>
            <w:tcW w:w="0" w:type="auto"/>
            <w:vAlign w:val="bottom"/>
          </w:tcPr>
          <w:p w:rsidR="00BE6E0D" w:rsidRPr="00686C1B" w:rsidRDefault="00BE6E0D" w:rsidP="00BE6E0D">
            <w:pPr>
              <w:jc w:val="right"/>
              <w:rPr>
                <w:sz w:val="20"/>
                <w:szCs w:val="20"/>
              </w:rPr>
            </w:pPr>
            <w:r w:rsidRPr="00686C1B">
              <w:rPr>
                <w:sz w:val="20"/>
                <w:szCs w:val="20"/>
              </w:rPr>
              <w:t>£215,638</w:t>
            </w:r>
          </w:p>
        </w:tc>
        <w:tc>
          <w:tcPr>
            <w:tcW w:w="0" w:type="auto"/>
            <w:vAlign w:val="bottom"/>
          </w:tcPr>
          <w:p w:rsidR="00BE6E0D" w:rsidRPr="00686C1B" w:rsidRDefault="00BE6E0D">
            <w:pPr>
              <w:jc w:val="right"/>
              <w:rPr>
                <w:sz w:val="20"/>
                <w:szCs w:val="20"/>
              </w:rPr>
            </w:pPr>
            <w:r w:rsidRPr="00686C1B">
              <w:rPr>
                <w:sz w:val="20"/>
                <w:szCs w:val="20"/>
              </w:rPr>
              <w:t>£4,291</w:t>
            </w:r>
          </w:p>
        </w:tc>
        <w:tc>
          <w:tcPr>
            <w:tcW w:w="1811" w:type="dxa"/>
            <w:vAlign w:val="bottom"/>
          </w:tcPr>
          <w:p w:rsidR="00BE6E0D" w:rsidRPr="00686C1B" w:rsidRDefault="00BE6E0D">
            <w:pPr>
              <w:jc w:val="right"/>
              <w:rPr>
                <w:sz w:val="20"/>
                <w:szCs w:val="20"/>
              </w:rPr>
            </w:pPr>
            <w:r w:rsidRPr="00686C1B">
              <w:rPr>
                <w:sz w:val="20"/>
                <w:szCs w:val="20"/>
              </w:rPr>
              <w:t>£219,929</w:t>
            </w:r>
          </w:p>
        </w:tc>
      </w:tr>
      <w:tr w:rsidR="00BE6E0D" w:rsidRPr="00686C1B" w:rsidTr="00BE6E0D">
        <w:trPr>
          <w:trHeight w:val="255"/>
          <w:tblHeader/>
        </w:trPr>
        <w:tc>
          <w:tcPr>
            <w:tcW w:w="2444" w:type="dxa"/>
            <w:shd w:val="clear" w:color="auto" w:fill="auto"/>
            <w:noWrap/>
            <w:vAlign w:val="bottom"/>
            <w:hideMark/>
          </w:tcPr>
          <w:p w:rsidR="00BE6E0D" w:rsidRPr="00686C1B" w:rsidRDefault="00BE6E0D" w:rsidP="00BE6E0D">
            <w:pPr>
              <w:rPr>
                <w:rFonts w:cs="Arial"/>
                <w:sz w:val="20"/>
                <w:szCs w:val="20"/>
                <w:lang w:eastAsia="en-GB"/>
              </w:rPr>
            </w:pPr>
            <w:r w:rsidRPr="00686C1B">
              <w:rPr>
                <w:rFonts w:cs="Arial"/>
                <w:sz w:val="20"/>
                <w:szCs w:val="20"/>
                <w:lang w:eastAsia="en-GB"/>
              </w:rPr>
              <w:t>Camden</w:t>
            </w:r>
          </w:p>
        </w:tc>
        <w:tc>
          <w:tcPr>
            <w:tcW w:w="0" w:type="auto"/>
            <w:vAlign w:val="bottom"/>
          </w:tcPr>
          <w:p w:rsidR="00BE6E0D" w:rsidRPr="00686C1B" w:rsidRDefault="00BE6E0D" w:rsidP="00BE6E0D">
            <w:pPr>
              <w:jc w:val="right"/>
              <w:rPr>
                <w:sz w:val="20"/>
                <w:szCs w:val="20"/>
              </w:rPr>
            </w:pPr>
            <w:r w:rsidRPr="00686C1B">
              <w:rPr>
                <w:sz w:val="20"/>
                <w:szCs w:val="20"/>
              </w:rPr>
              <w:t>£200,029</w:t>
            </w:r>
          </w:p>
        </w:tc>
        <w:tc>
          <w:tcPr>
            <w:tcW w:w="0" w:type="auto"/>
            <w:vAlign w:val="bottom"/>
          </w:tcPr>
          <w:p w:rsidR="00BE6E0D" w:rsidRPr="00686C1B" w:rsidRDefault="00BE6E0D">
            <w:pPr>
              <w:jc w:val="right"/>
              <w:rPr>
                <w:sz w:val="20"/>
                <w:szCs w:val="20"/>
              </w:rPr>
            </w:pPr>
            <w:r w:rsidRPr="00686C1B">
              <w:rPr>
                <w:sz w:val="20"/>
                <w:szCs w:val="20"/>
              </w:rPr>
              <w:t>£3,981</w:t>
            </w:r>
          </w:p>
        </w:tc>
        <w:tc>
          <w:tcPr>
            <w:tcW w:w="1811" w:type="dxa"/>
            <w:vAlign w:val="bottom"/>
          </w:tcPr>
          <w:p w:rsidR="00BE6E0D" w:rsidRPr="00686C1B" w:rsidRDefault="00BE6E0D">
            <w:pPr>
              <w:jc w:val="right"/>
              <w:rPr>
                <w:sz w:val="20"/>
                <w:szCs w:val="20"/>
              </w:rPr>
            </w:pPr>
            <w:r w:rsidRPr="00686C1B">
              <w:rPr>
                <w:sz w:val="20"/>
                <w:szCs w:val="20"/>
              </w:rPr>
              <w:t>£204,009</w:t>
            </w:r>
          </w:p>
        </w:tc>
      </w:tr>
      <w:tr w:rsidR="00686C1B" w:rsidRPr="00686C1B" w:rsidTr="00BE6E0D">
        <w:trPr>
          <w:trHeight w:val="255"/>
          <w:tblHeader/>
        </w:trPr>
        <w:tc>
          <w:tcPr>
            <w:tcW w:w="2444" w:type="dxa"/>
            <w:shd w:val="clear" w:color="auto" w:fill="auto"/>
            <w:noWrap/>
            <w:vAlign w:val="bottom"/>
          </w:tcPr>
          <w:p w:rsidR="00686C1B" w:rsidRPr="00686C1B" w:rsidRDefault="00686C1B" w:rsidP="00686C1B">
            <w:pPr>
              <w:rPr>
                <w:rFonts w:cs="Arial"/>
                <w:sz w:val="20"/>
                <w:szCs w:val="20"/>
                <w:lang w:eastAsia="en-GB"/>
              </w:rPr>
            </w:pPr>
            <w:r w:rsidRPr="00686C1B">
              <w:rPr>
                <w:rFonts w:cs="Arial"/>
                <w:sz w:val="20"/>
                <w:szCs w:val="20"/>
                <w:lang w:eastAsia="en-GB"/>
              </w:rPr>
              <w:t>City of Westminster</w:t>
            </w:r>
          </w:p>
        </w:tc>
        <w:tc>
          <w:tcPr>
            <w:tcW w:w="0" w:type="auto"/>
            <w:vAlign w:val="bottom"/>
          </w:tcPr>
          <w:p w:rsidR="00686C1B" w:rsidRPr="00686C1B" w:rsidRDefault="00686C1B" w:rsidP="00686C1B">
            <w:pPr>
              <w:jc w:val="right"/>
              <w:rPr>
                <w:sz w:val="20"/>
                <w:szCs w:val="20"/>
              </w:rPr>
            </w:pPr>
            <w:r w:rsidRPr="00686C1B">
              <w:rPr>
                <w:sz w:val="20"/>
                <w:szCs w:val="20"/>
              </w:rPr>
              <w:t>£284,543</w:t>
            </w:r>
          </w:p>
        </w:tc>
        <w:tc>
          <w:tcPr>
            <w:tcW w:w="0" w:type="auto"/>
            <w:vAlign w:val="bottom"/>
          </w:tcPr>
          <w:p w:rsidR="00686C1B" w:rsidRPr="00686C1B" w:rsidRDefault="00686C1B" w:rsidP="00686C1B">
            <w:pPr>
              <w:jc w:val="right"/>
              <w:rPr>
                <w:sz w:val="20"/>
                <w:szCs w:val="20"/>
              </w:rPr>
            </w:pPr>
            <w:r w:rsidRPr="00686C1B">
              <w:rPr>
                <w:sz w:val="20"/>
                <w:szCs w:val="20"/>
              </w:rPr>
              <w:t>£5,662</w:t>
            </w:r>
          </w:p>
        </w:tc>
        <w:tc>
          <w:tcPr>
            <w:tcW w:w="1811" w:type="dxa"/>
            <w:vAlign w:val="bottom"/>
          </w:tcPr>
          <w:p w:rsidR="00686C1B" w:rsidRPr="00686C1B" w:rsidRDefault="00686C1B" w:rsidP="00686C1B">
            <w:pPr>
              <w:jc w:val="right"/>
              <w:rPr>
                <w:sz w:val="20"/>
                <w:szCs w:val="20"/>
              </w:rPr>
            </w:pPr>
            <w:r w:rsidRPr="00686C1B">
              <w:rPr>
                <w:sz w:val="20"/>
                <w:szCs w:val="20"/>
              </w:rPr>
              <w:t>£290,206</w:t>
            </w:r>
          </w:p>
        </w:tc>
      </w:tr>
      <w:tr w:rsidR="00686C1B" w:rsidRPr="00686C1B" w:rsidTr="00BE6E0D">
        <w:trPr>
          <w:trHeight w:val="255"/>
          <w:tblHeader/>
        </w:trPr>
        <w:tc>
          <w:tcPr>
            <w:tcW w:w="2444" w:type="dxa"/>
            <w:shd w:val="clear" w:color="auto" w:fill="auto"/>
            <w:noWrap/>
            <w:vAlign w:val="bottom"/>
          </w:tcPr>
          <w:p w:rsidR="00686C1B" w:rsidRPr="00686C1B" w:rsidRDefault="00686C1B" w:rsidP="00686C1B">
            <w:pPr>
              <w:rPr>
                <w:rFonts w:cs="Arial"/>
                <w:sz w:val="20"/>
                <w:szCs w:val="20"/>
                <w:lang w:eastAsia="en-GB"/>
              </w:rPr>
            </w:pPr>
            <w:r w:rsidRPr="00686C1B">
              <w:rPr>
                <w:rFonts w:cs="Arial"/>
                <w:sz w:val="20"/>
                <w:szCs w:val="20"/>
                <w:lang w:eastAsia="en-GB"/>
              </w:rPr>
              <w:t>City of London</w:t>
            </w:r>
          </w:p>
        </w:tc>
        <w:tc>
          <w:tcPr>
            <w:tcW w:w="0" w:type="auto"/>
            <w:vAlign w:val="bottom"/>
          </w:tcPr>
          <w:p w:rsidR="00686C1B" w:rsidRPr="00686C1B" w:rsidRDefault="00686C1B" w:rsidP="00686C1B">
            <w:pPr>
              <w:jc w:val="right"/>
              <w:rPr>
                <w:sz w:val="20"/>
                <w:szCs w:val="20"/>
              </w:rPr>
            </w:pPr>
            <w:r w:rsidRPr="00686C1B">
              <w:rPr>
                <w:sz w:val="20"/>
                <w:szCs w:val="20"/>
              </w:rPr>
              <w:t>£16,007</w:t>
            </w:r>
          </w:p>
        </w:tc>
        <w:tc>
          <w:tcPr>
            <w:tcW w:w="0" w:type="auto"/>
            <w:vAlign w:val="bottom"/>
          </w:tcPr>
          <w:p w:rsidR="00686C1B" w:rsidRPr="00686C1B" w:rsidRDefault="00686C1B" w:rsidP="00686C1B">
            <w:pPr>
              <w:jc w:val="right"/>
              <w:rPr>
                <w:sz w:val="20"/>
                <w:szCs w:val="20"/>
              </w:rPr>
            </w:pPr>
            <w:r w:rsidRPr="00686C1B">
              <w:rPr>
                <w:sz w:val="20"/>
                <w:szCs w:val="20"/>
              </w:rPr>
              <w:t>£319</w:t>
            </w:r>
          </w:p>
        </w:tc>
        <w:tc>
          <w:tcPr>
            <w:tcW w:w="1811" w:type="dxa"/>
            <w:vAlign w:val="bottom"/>
          </w:tcPr>
          <w:p w:rsidR="00686C1B" w:rsidRPr="00686C1B" w:rsidRDefault="00686C1B" w:rsidP="00686C1B">
            <w:pPr>
              <w:jc w:val="right"/>
              <w:rPr>
                <w:sz w:val="20"/>
                <w:szCs w:val="20"/>
              </w:rPr>
            </w:pPr>
            <w:r w:rsidRPr="00686C1B">
              <w:rPr>
                <w:sz w:val="20"/>
                <w:szCs w:val="20"/>
              </w:rPr>
              <w:t>£16,325</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Croydon</w:t>
            </w:r>
          </w:p>
        </w:tc>
        <w:tc>
          <w:tcPr>
            <w:tcW w:w="0" w:type="auto"/>
            <w:vAlign w:val="bottom"/>
          </w:tcPr>
          <w:p w:rsidR="00686C1B" w:rsidRPr="00686C1B" w:rsidRDefault="00686C1B" w:rsidP="00686C1B">
            <w:pPr>
              <w:jc w:val="right"/>
              <w:rPr>
                <w:sz w:val="20"/>
                <w:szCs w:val="20"/>
              </w:rPr>
            </w:pPr>
            <w:r w:rsidRPr="00686C1B">
              <w:rPr>
                <w:sz w:val="20"/>
                <w:szCs w:val="20"/>
              </w:rPr>
              <w:t>£267,754</w:t>
            </w:r>
          </w:p>
        </w:tc>
        <w:tc>
          <w:tcPr>
            <w:tcW w:w="0" w:type="auto"/>
            <w:vAlign w:val="bottom"/>
          </w:tcPr>
          <w:p w:rsidR="00686C1B" w:rsidRPr="00686C1B" w:rsidRDefault="00686C1B" w:rsidP="00686C1B">
            <w:pPr>
              <w:jc w:val="right"/>
              <w:rPr>
                <w:sz w:val="20"/>
                <w:szCs w:val="20"/>
              </w:rPr>
            </w:pPr>
            <w:r w:rsidRPr="00686C1B">
              <w:rPr>
                <w:sz w:val="20"/>
                <w:szCs w:val="20"/>
              </w:rPr>
              <w:t>£5,328</w:t>
            </w:r>
          </w:p>
        </w:tc>
        <w:tc>
          <w:tcPr>
            <w:tcW w:w="1811" w:type="dxa"/>
            <w:vAlign w:val="bottom"/>
          </w:tcPr>
          <w:p w:rsidR="00686C1B" w:rsidRPr="00686C1B" w:rsidRDefault="00686C1B" w:rsidP="00686C1B">
            <w:pPr>
              <w:jc w:val="right"/>
              <w:rPr>
                <w:sz w:val="20"/>
                <w:szCs w:val="20"/>
              </w:rPr>
            </w:pPr>
            <w:r w:rsidRPr="00686C1B">
              <w:rPr>
                <w:sz w:val="20"/>
                <w:szCs w:val="20"/>
              </w:rPr>
              <w:t>£273,083</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Ealing</w:t>
            </w:r>
          </w:p>
        </w:tc>
        <w:tc>
          <w:tcPr>
            <w:tcW w:w="0" w:type="auto"/>
            <w:vAlign w:val="bottom"/>
          </w:tcPr>
          <w:p w:rsidR="00686C1B" w:rsidRPr="00686C1B" w:rsidRDefault="00686C1B" w:rsidP="00686C1B">
            <w:pPr>
              <w:jc w:val="right"/>
              <w:rPr>
                <w:sz w:val="20"/>
                <w:szCs w:val="20"/>
              </w:rPr>
            </w:pPr>
            <w:r w:rsidRPr="00686C1B">
              <w:rPr>
                <w:sz w:val="20"/>
                <w:szCs w:val="20"/>
              </w:rPr>
              <w:t>£248,472</w:t>
            </w:r>
          </w:p>
        </w:tc>
        <w:tc>
          <w:tcPr>
            <w:tcW w:w="0" w:type="auto"/>
            <w:vAlign w:val="bottom"/>
          </w:tcPr>
          <w:p w:rsidR="00686C1B" w:rsidRPr="00686C1B" w:rsidRDefault="00686C1B" w:rsidP="00686C1B">
            <w:pPr>
              <w:jc w:val="right"/>
              <w:rPr>
                <w:sz w:val="20"/>
                <w:szCs w:val="20"/>
              </w:rPr>
            </w:pPr>
            <w:r w:rsidRPr="00686C1B">
              <w:rPr>
                <w:sz w:val="20"/>
                <w:szCs w:val="20"/>
              </w:rPr>
              <w:t>£4,945</w:t>
            </w:r>
          </w:p>
        </w:tc>
        <w:tc>
          <w:tcPr>
            <w:tcW w:w="1811" w:type="dxa"/>
            <w:vAlign w:val="bottom"/>
          </w:tcPr>
          <w:p w:rsidR="00686C1B" w:rsidRPr="00686C1B" w:rsidRDefault="00686C1B" w:rsidP="00686C1B">
            <w:pPr>
              <w:jc w:val="right"/>
              <w:rPr>
                <w:sz w:val="20"/>
                <w:szCs w:val="20"/>
              </w:rPr>
            </w:pPr>
            <w:r w:rsidRPr="00686C1B">
              <w:rPr>
                <w:sz w:val="20"/>
                <w:szCs w:val="20"/>
              </w:rPr>
              <w:t>£253,417</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Enfield</w:t>
            </w:r>
          </w:p>
        </w:tc>
        <w:tc>
          <w:tcPr>
            <w:tcW w:w="0" w:type="auto"/>
            <w:vAlign w:val="bottom"/>
          </w:tcPr>
          <w:p w:rsidR="00686C1B" w:rsidRPr="00686C1B" w:rsidRDefault="00686C1B" w:rsidP="00686C1B">
            <w:pPr>
              <w:jc w:val="right"/>
              <w:rPr>
                <w:sz w:val="20"/>
                <w:szCs w:val="20"/>
              </w:rPr>
            </w:pPr>
            <w:r w:rsidRPr="00686C1B">
              <w:rPr>
                <w:sz w:val="20"/>
                <w:szCs w:val="20"/>
              </w:rPr>
              <w:t>£214,388</w:t>
            </w:r>
          </w:p>
        </w:tc>
        <w:tc>
          <w:tcPr>
            <w:tcW w:w="0" w:type="auto"/>
            <w:vAlign w:val="bottom"/>
          </w:tcPr>
          <w:p w:rsidR="00686C1B" w:rsidRPr="00686C1B" w:rsidRDefault="00686C1B" w:rsidP="00686C1B">
            <w:pPr>
              <w:jc w:val="right"/>
              <w:rPr>
                <w:sz w:val="20"/>
                <w:szCs w:val="20"/>
              </w:rPr>
            </w:pPr>
            <w:r w:rsidRPr="00686C1B">
              <w:rPr>
                <w:sz w:val="20"/>
                <w:szCs w:val="20"/>
              </w:rPr>
              <w:t>£4,266</w:t>
            </w:r>
          </w:p>
        </w:tc>
        <w:tc>
          <w:tcPr>
            <w:tcW w:w="1811" w:type="dxa"/>
            <w:vAlign w:val="bottom"/>
          </w:tcPr>
          <w:p w:rsidR="00686C1B" w:rsidRPr="00686C1B" w:rsidRDefault="00686C1B" w:rsidP="00686C1B">
            <w:pPr>
              <w:jc w:val="right"/>
              <w:rPr>
                <w:sz w:val="20"/>
                <w:szCs w:val="20"/>
              </w:rPr>
            </w:pPr>
            <w:r w:rsidRPr="00686C1B">
              <w:rPr>
                <w:sz w:val="20"/>
                <w:szCs w:val="20"/>
              </w:rPr>
              <w:t>£218,654</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Greenwich</w:t>
            </w:r>
          </w:p>
        </w:tc>
        <w:tc>
          <w:tcPr>
            <w:tcW w:w="0" w:type="auto"/>
            <w:vAlign w:val="bottom"/>
          </w:tcPr>
          <w:p w:rsidR="00686C1B" w:rsidRPr="00686C1B" w:rsidRDefault="00686C1B" w:rsidP="00686C1B">
            <w:pPr>
              <w:jc w:val="right"/>
              <w:rPr>
                <w:sz w:val="20"/>
                <w:szCs w:val="20"/>
              </w:rPr>
            </w:pPr>
            <w:r w:rsidRPr="00686C1B">
              <w:rPr>
                <w:sz w:val="20"/>
                <w:szCs w:val="20"/>
              </w:rPr>
              <w:t>£157,402</w:t>
            </w:r>
          </w:p>
        </w:tc>
        <w:tc>
          <w:tcPr>
            <w:tcW w:w="0" w:type="auto"/>
            <w:vAlign w:val="bottom"/>
          </w:tcPr>
          <w:p w:rsidR="00686C1B" w:rsidRPr="00686C1B" w:rsidRDefault="00686C1B" w:rsidP="00686C1B">
            <w:pPr>
              <w:jc w:val="right"/>
              <w:rPr>
                <w:sz w:val="20"/>
                <w:szCs w:val="20"/>
              </w:rPr>
            </w:pPr>
            <w:r w:rsidRPr="00686C1B">
              <w:rPr>
                <w:sz w:val="20"/>
                <w:szCs w:val="20"/>
              </w:rPr>
              <w:t>£3,132</w:t>
            </w:r>
          </w:p>
        </w:tc>
        <w:tc>
          <w:tcPr>
            <w:tcW w:w="1811" w:type="dxa"/>
            <w:vAlign w:val="bottom"/>
          </w:tcPr>
          <w:p w:rsidR="00686C1B" w:rsidRPr="00686C1B" w:rsidRDefault="00686C1B" w:rsidP="00686C1B">
            <w:pPr>
              <w:jc w:val="right"/>
              <w:rPr>
                <w:sz w:val="20"/>
                <w:szCs w:val="20"/>
              </w:rPr>
            </w:pPr>
            <w:r w:rsidRPr="00686C1B">
              <w:rPr>
                <w:sz w:val="20"/>
                <w:szCs w:val="20"/>
              </w:rPr>
              <w:t>£160,534</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Hackney</w:t>
            </w:r>
          </w:p>
        </w:tc>
        <w:tc>
          <w:tcPr>
            <w:tcW w:w="0" w:type="auto"/>
            <w:vAlign w:val="bottom"/>
          </w:tcPr>
          <w:p w:rsidR="00686C1B" w:rsidRPr="00686C1B" w:rsidRDefault="00686C1B" w:rsidP="00686C1B">
            <w:pPr>
              <w:jc w:val="right"/>
              <w:rPr>
                <w:sz w:val="20"/>
                <w:szCs w:val="20"/>
              </w:rPr>
            </w:pPr>
            <w:r w:rsidRPr="00686C1B">
              <w:rPr>
                <w:sz w:val="20"/>
                <w:szCs w:val="20"/>
              </w:rPr>
              <w:t>£151,440</w:t>
            </w:r>
          </w:p>
        </w:tc>
        <w:tc>
          <w:tcPr>
            <w:tcW w:w="0" w:type="auto"/>
            <w:vAlign w:val="bottom"/>
          </w:tcPr>
          <w:p w:rsidR="00686C1B" w:rsidRPr="00686C1B" w:rsidRDefault="00686C1B" w:rsidP="00686C1B">
            <w:pPr>
              <w:jc w:val="right"/>
              <w:rPr>
                <w:sz w:val="20"/>
                <w:szCs w:val="20"/>
              </w:rPr>
            </w:pPr>
            <w:r w:rsidRPr="00686C1B">
              <w:rPr>
                <w:sz w:val="20"/>
                <w:szCs w:val="20"/>
              </w:rPr>
              <w:t>£3,014</w:t>
            </w:r>
          </w:p>
        </w:tc>
        <w:tc>
          <w:tcPr>
            <w:tcW w:w="1811" w:type="dxa"/>
            <w:vAlign w:val="bottom"/>
          </w:tcPr>
          <w:p w:rsidR="00686C1B" w:rsidRPr="00686C1B" w:rsidRDefault="00686C1B" w:rsidP="00686C1B">
            <w:pPr>
              <w:jc w:val="right"/>
              <w:rPr>
                <w:sz w:val="20"/>
                <w:szCs w:val="20"/>
              </w:rPr>
            </w:pPr>
            <w:r w:rsidRPr="00686C1B">
              <w:rPr>
                <w:sz w:val="20"/>
                <w:szCs w:val="20"/>
              </w:rPr>
              <w:t>£154,454</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Hammersmith &amp; Fulham</w:t>
            </w:r>
          </w:p>
        </w:tc>
        <w:tc>
          <w:tcPr>
            <w:tcW w:w="0" w:type="auto"/>
            <w:vAlign w:val="bottom"/>
          </w:tcPr>
          <w:p w:rsidR="00686C1B" w:rsidRPr="00686C1B" w:rsidRDefault="00686C1B" w:rsidP="00686C1B">
            <w:pPr>
              <w:jc w:val="right"/>
              <w:rPr>
                <w:sz w:val="20"/>
                <w:szCs w:val="20"/>
              </w:rPr>
            </w:pPr>
            <w:r w:rsidRPr="00686C1B">
              <w:rPr>
                <w:sz w:val="20"/>
                <w:szCs w:val="20"/>
              </w:rPr>
              <w:t>£168,299</w:t>
            </w:r>
          </w:p>
        </w:tc>
        <w:tc>
          <w:tcPr>
            <w:tcW w:w="0" w:type="auto"/>
            <w:vAlign w:val="bottom"/>
          </w:tcPr>
          <w:p w:rsidR="00686C1B" w:rsidRPr="00686C1B" w:rsidRDefault="00686C1B" w:rsidP="00686C1B">
            <w:pPr>
              <w:jc w:val="right"/>
              <w:rPr>
                <w:sz w:val="20"/>
                <w:szCs w:val="20"/>
              </w:rPr>
            </w:pPr>
            <w:r w:rsidRPr="00686C1B">
              <w:rPr>
                <w:sz w:val="20"/>
                <w:szCs w:val="20"/>
              </w:rPr>
              <w:t>£3,349</w:t>
            </w:r>
          </w:p>
        </w:tc>
        <w:tc>
          <w:tcPr>
            <w:tcW w:w="1811" w:type="dxa"/>
            <w:vAlign w:val="bottom"/>
          </w:tcPr>
          <w:p w:rsidR="00686C1B" w:rsidRPr="00686C1B" w:rsidRDefault="00686C1B" w:rsidP="00686C1B">
            <w:pPr>
              <w:jc w:val="right"/>
              <w:rPr>
                <w:sz w:val="20"/>
                <w:szCs w:val="20"/>
              </w:rPr>
            </w:pPr>
            <w:r w:rsidRPr="00686C1B">
              <w:rPr>
                <w:sz w:val="20"/>
                <w:szCs w:val="20"/>
              </w:rPr>
              <w:t>£171,648</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Haringey</w:t>
            </w:r>
          </w:p>
        </w:tc>
        <w:tc>
          <w:tcPr>
            <w:tcW w:w="0" w:type="auto"/>
            <w:vAlign w:val="bottom"/>
          </w:tcPr>
          <w:p w:rsidR="00686C1B" w:rsidRPr="00686C1B" w:rsidRDefault="00686C1B" w:rsidP="00686C1B">
            <w:pPr>
              <w:jc w:val="right"/>
              <w:rPr>
                <w:sz w:val="20"/>
                <w:szCs w:val="20"/>
              </w:rPr>
            </w:pPr>
            <w:r w:rsidRPr="00686C1B">
              <w:rPr>
                <w:sz w:val="20"/>
                <w:szCs w:val="20"/>
              </w:rPr>
              <w:t>£164,058</w:t>
            </w:r>
          </w:p>
        </w:tc>
        <w:tc>
          <w:tcPr>
            <w:tcW w:w="0" w:type="auto"/>
            <w:vAlign w:val="bottom"/>
          </w:tcPr>
          <w:p w:rsidR="00686C1B" w:rsidRPr="00686C1B" w:rsidRDefault="00686C1B" w:rsidP="00686C1B">
            <w:pPr>
              <w:jc w:val="right"/>
              <w:rPr>
                <w:sz w:val="20"/>
                <w:szCs w:val="20"/>
              </w:rPr>
            </w:pPr>
            <w:r w:rsidRPr="00686C1B">
              <w:rPr>
                <w:sz w:val="20"/>
                <w:szCs w:val="20"/>
              </w:rPr>
              <w:t>£3,265</w:t>
            </w:r>
          </w:p>
        </w:tc>
        <w:tc>
          <w:tcPr>
            <w:tcW w:w="1811" w:type="dxa"/>
            <w:vAlign w:val="bottom"/>
          </w:tcPr>
          <w:p w:rsidR="00686C1B" w:rsidRPr="00686C1B" w:rsidRDefault="00686C1B" w:rsidP="00686C1B">
            <w:pPr>
              <w:jc w:val="right"/>
              <w:rPr>
                <w:sz w:val="20"/>
                <w:szCs w:val="20"/>
              </w:rPr>
            </w:pPr>
            <w:r w:rsidRPr="00686C1B">
              <w:rPr>
                <w:sz w:val="20"/>
                <w:szCs w:val="20"/>
              </w:rPr>
              <w:t>£167,322</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Harrow</w:t>
            </w:r>
          </w:p>
        </w:tc>
        <w:tc>
          <w:tcPr>
            <w:tcW w:w="0" w:type="auto"/>
            <w:vAlign w:val="bottom"/>
          </w:tcPr>
          <w:p w:rsidR="00686C1B" w:rsidRPr="00686C1B" w:rsidRDefault="00686C1B" w:rsidP="00686C1B">
            <w:pPr>
              <w:jc w:val="right"/>
              <w:rPr>
                <w:sz w:val="20"/>
                <w:szCs w:val="20"/>
              </w:rPr>
            </w:pPr>
            <w:r w:rsidRPr="00686C1B">
              <w:rPr>
                <w:sz w:val="20"/>
                <w:szCs w:val="20"/>
              </w:rPr>
              <w:t>£186,390</w:t>
            </w:r>
          </w:p>
        </w:tc>
        <w:tc>
          <w:tcPr>
            <w:tcW w:w="0" w:type="auto"/>
            <w:vAlign w:val="bottom"/>
          </w:tcPr>
          <w:p w:rsidR="00686C1B" w:rsidRPr="00686C1B" w:rsidRDefault="00686C1B" w:rsidP="00686C1B">
            <w:pPr>
              <w:jc w:val="right"/>
              <w:rPr>
                <w:sz w:val="20"/>
                <w:szCs w:val="20"/>
              </w:rPr>
            </w:pPr>
            <w:r w:rsidRPr="00686C1B">
              <w:rPr>
                <w:sz w:val="20"/>
                <w:szCs w:val="20"/>
              </w:rPr>
              <w:t>£3,709</w:t>
            </w:r>
          </w:p>
        </w:tc>
        <w:tc>
          <w:tcPr>
            <w:tcW w:w="1811" w:type="dxa"/>
            <w:vAlign w:val="bottom"/>
          </w:tcPr>
          <w:p w:rsidR="00686C1B" w:rsidRPr="00686C1B" w:rsidRDefault="00686C1B" w:rsidP="00686C1B">
            <w:pPr>
              <w:jc w:val="right"/>
              <w:rPr>
                <w:sz w:val="20"/>
                <w:szCs w:val="20"/>
              </w:rPr>
            </w:pPr>
            <w:r w:rsidRPr="00686C1B">
              <w:rPr>
                <w:sz w:val="20"/>
                <w:szCs w:val="20"/>
              </w:rPr>
              <w:t>£190,100</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Havering</w:t>
            </w:r>
          </w:p>
        </w:tc>
        <w:tc>
          <w:tcPr>
            <w:tcW w:w="0" w:type="auto"/>
            <w:vAlign w:val="bottom"/>
          </w:tcPr>
          <w:p w:rsidR="00686C1B" w:rsidRPr="00686C1B" w:rsidRDefault="00686C1B" w:rsidP="00686C1B">
            <w:pPr>
              <w:jc w:val="right"/>
              <w:rPr>
                <w:sz w:val="20"/>
                <w:szCs w:val="20"/>
              </w:rPr>
            </w:pPr>
            <w:r w:rsidRPr="00686C1B">
              <w:rPr>
                <w:sz w:val="20"/>
                <w:szCs w:val="20"/>
              </w:rPr>
              <w:t>£180,403</w:t>
            </w:r>
          </w:p>
        </w:tc>
        <w:tc>
          <w:tcPr>
            <w:tcW w:w="0" w:type="auto"/>
            <w:vAlign w:val="bottom"/>
          </w:tcPr>
          <w:p w:rsidR="00686C1B" w:rsidRPr="00686C1B" w:rsidRDefault="00686C1B" w:rsidP="00686C1B">
            <w:pPr>
              <w:jc w:val="right"/>
              <w:rPr>
                <w:sz w:val="20"/>
                <w:szCs w:val="20"/>
              </w:rPr>
            </w:pPr>
            <w:r w:rsidRPr="00686C1B">
              <w:rPr>
                <w:sz w:val="20"/>
                <w:szCs w:val="20"/>
              </w:rPr>
              <w:t>£3,590</w:t>
            </w:r>
          </w:p>
        </w:tc>
        <w:tc>
          <w:tcPr>
            <w:tcW w:w="1811" w:type="dxa"/>
            <w:vAlign w:val="bottom"/>
          </w:tcPr>
          <w:p w:rsidR="00686C1B" w:rsidRPr="00686C1B" w:rsidRDefault="00686C1B" w:rsidP="00686C1B">
            <w:pPr>
              <w:jc w:val="right"/>
              <w:rPr>
                <w:sz w:val="20"/>
                <w:szCs w:val="20"/>
              </w:rPr>
            </w:pPr>
            <w:r w:rsidRPr="00686C1B">
              <w:rPr>
                <w:sz w:val="20"/>
                <w:szCs w:val="20"/>
              </w:rPr>
              <w:t>£183,993</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Hillingdon</w:t>
            </w:r>
          </w:p>
        </w:tc>
        <w:tc>
          <w:tcPr>
            <w:tcW w:w="0" w:type="auto"/>
            <w:vAlign w:val="bottom"/>
          </w:tcPr>
          <w:p w:rsidR="00686C1B" w:rsidRPr="00686C1B" w:rsidRDefault="00686C1B" w:rsidP="00686C1B">
            <w:pPr>
              <w:jc w:val="right"/>
              <w:rPr>
                <w:sz w:val="20"/>
                <w:szCs w:val="20"/>
              </w:rPr>
            </w:pPr>
            <w:r w:rsidRPr="00686C1B">
              <w:rPr>
                <w:sz w:val="20"/>
                <w:szCs w:val="20"/>
              </w:rPr>
              <w:t>£217,690</w:t>
            </w:r>
          </w:p>
        </w:tc>
        <w:tc>
          <w:tcPr>
            <w:tcW w:w="0" w:type="auto"/>
            <w:vAlign w:val="bottom"/>
          </w:tcPr>
          <w:p w:rsidR="00686C1B" w:rsidRPr="00686C1B" w:rsidRDefault="00686C1B" w:rsidP="00686C1B">
            <w:pPr>
              <w:jc w:val="right"/>
              <w:rPr>
                <w:sz w:val="20"/>
                <w:szCs w:val="20"/>
              </w:rPr>
            </w:pPr>
            <w:r w:rsidRPr="00686C1B">
              <w:rPr>
                <w:sz w:val="20"/>
                <w:szCs w:val="20"/>
              </w:rPr>
              <w:t>£4,332</w:t>
            </w:r>
          </w:p>
        </w:tc>
        <w:tc>
          <w:tcPr>
            <w:tcW w:w="1811" w:type="dxa"/>
            <w:vAlign w:val="bottom"/>
          </w:tcPr>
          <w:p w:rsidR="00686C1B" w:rsidRPr="00686C1B" w:rsidRDefault="00686C1B" w:rsidP="00686C1B">
            <w:pPr>
              <w:jc w:val="right"/>
              <w:rPr>
                <w:sz w:val="20"/>
                <w:szCs w:val="20"/>
              </w:rPr>
            </w:pPr>
            <w:r w:rsidRPr="00686C1B">
              <w:rPr>
                <w:sz w:val="20"/>
                <w:szCs w:val="20"/>
              </w:rPr>
              <w:t>£222,022</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Hounslow</w:t>
            </w:r>
          </w:p>
        </w:tc>
        <w:tc>
          <w:tcPr>
            <w:tcW w:w="0" w:type="auto"/>
            <w:vAlign w:val="bottom"/>
          </w:tcPr>
          <w:p w:rsidR="00686C1B" w:rsidRPr="00686C1B" w:rsidRDefault="00686C1B" w:rsidP="00686C1B">
            <w:pPr>
              <w:jc w:val="right"/>
              <w:rPr>
                <w:sz w:val="20"/>
                <w:szCs w:val="20"/>
              </w:rPr>
            </w:pPr>
            <w:r w:rsidRPr="00686C1B">
              <w:rPr>
                <w:sz w:val="20"/>
                <w:szCs w:val="20"/>
              </w:rPr>
              <w:t>£182,230</w:t>
            </w:r>
          </w:p>
        </w:tc>
        <w:tc>
          <w:tcPr>
            <w:tcW w:w="0" w:type="auto"/>
            <w:vAlign w:val="bottom"/>
          </w:tcPr>
          <w:p w:rsidR="00686C1B" w:rsidRPr="00686C1B" w:rsidRDefault="00686C1B" w:rsidP="00686C1B">
            <w:pPr>
              <w:jc w:val="right"/>
              <w:rPr>
                <w:sz w:val="20"/>
                <w:szCs w:val="20"/>
              </w:rPr>
            </w:pPr>
            <w:r w:rsidRPr="00686C1B">
              <w:rPr>
                <w:sz w:val="20"/>
                <w:szCs w:val="20"/>
              </w:rPr>
              <w:t>£3,626</w:t>
            </w:r>
          </w:p>
        </w:tc>
        <w:tc>
          <w:tcPr>
            <w:tcW w:w="1811" w:type="dxa"/>
            <w:vAlign w:val="bottom"/>
          </w:tcPr>
          <w:p w:rsidR="00686C1B" w:rsidRPr="00686C1B" w:rsidRDefault="00686C1B" w:rsidP="00686C1B">
            <w:pPr>
              <w:jc w:val="right"/>
              <w:rPr>
                <w:sz w:val="20"/>
                <w:szCs w:val="20"/>
              </w:rPr>
            </w:pPr>
            <w:r w:rsidRPr="00686C1B">
              <w:rPr>
                <w:sz w:val="20"/>
                <w:szCs w:val="20"/>
              </w:rPr>
              <w:t>£185,856</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Islington</w:t>
            </w:r>
          </w:p>
        </w:tc>
        <w:tc>
          <w:tcPr>
            <w:tcW w:w="0" w:type="auto"/>
            <w:vAlign w:val="bottom"/>
          </w:tcPr>
          <w:p w:rsidR="00686C1B" w:rsidRPr="00686C1B" w:rsidRDefault="00686C1B" w:rsidP="00686C1B">
            <w:pPr>
              <w:jc w:val="right"/>
              <w:rPr>
                <w:sz w:val="20"/>
                <w:szCs w:val="20"/>
              </w:rPr>
            </w:pPr>
            <w:r w:rsidRPr="00686C1B">
              <w:rPr>
                <w:sz w:val="20"/>
                <w:szCs w:val="20"/>
              </w:rPr>
              <w:t>£171,251</w:t>
            </w:r>
          </w:p>
        </w:tc>
        <w:tc>
          <w:tcPr>
            <w:tcW w:w="0" w:type="auto"/>
            <w:vAlign w:val="bottom"/>
          </w:tcPr>
          <w:p w:rsidR="00686C1B" w:rsidRPr="00686C1B" w:rsidRDefault="00686C1B" w:rsidP="00686C1B">
            <w:pPr>
              <w:jc w:val="right"/>
              <w:rPr>
                <w:sz w:val="20"/>
                <w:szCs w:val="20"/>
              </w:rPr>
            </w:pPr>
            <w:r w:rsidRPr="00686C1B">
              <w:rPr>
                <w:sz w:val="20"/>
                <w:szCs w:val="20"/>
              </w:rPr>
              <w:t>£3,408</w:t>
            </w:r>
          </w:p>
        </w:tc>
        <w:tc>
          <w:tcPr>
            <w:tcW w:w="1811" w:type="dxa"/>
            <w:vAlign w:val="bottom"/>
          </w:tcPr>
          <w:p w:rsidR="00686C1B" w:rsidRPr="00686C1B" w:rsidRDefault="00686C1B" w:rsidP="00686C1B">
            <w:pPr>
              <w:jc w:val="right"/>
              <w:rPr>
                <w:sz w:val="20"/>
                <w:szCs w:val="20"/>
              </w:rPr>
            </w:pPr>
            <w:r w:rsidRPr="00686C1B">
              <w:rPr>
                <w:sz w:val="20"/>
                <w:szCs w:val="20"/>
              </w:rPr>
              <w:t>£174,659</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Kensington and Chelsea</w:t>
            </w:r>
          </w:p>
        </w:tc>
        <w:tc>
          <w:tcPr>
            <w:tcW w:w="0" w:type="auto"/>
            <w:vAlign w:val="bottom"/>
          </w:tcPr>
          <w:p w:rsidR="00686C1B" w:rsidRPr="00686C1B" w:rsidRDefault="00686C1B" w:rsidP="00686C1B">
            <w:pPr>
              <w:jc w:val="right"/>
              <w:rPr>
                <w:sz w:val="20"/>
                <w:szCs w:val="20"/>
              </w:rPr>
            </w:pPr>
            <w:r w:rsidRPr="00686C1B">
              <w:rPr>
                <w:sz w:val="20"/>
                <w:szCs w:val="20"/>
              </w:rPr>
              <w:t>£215,720</w:t>
            </w:r>
          </w:p>
        </w:tc>
        <w:tc>
          <w:tcPr>
            <w:tcW w:w="0" w:type="auto"/>
            <w:vAlign w:val="bottom"/>
          </w:tcPr>
          <w:p w:rsidR="00686C1B" w:rsidRPr="00686C1B" w:rsidRDefault="00686C1B" w:rsidP="00686C1B">
            <w:pPr>
              <w:jc w:val="right"/>
              <w:rPr>
                <w:sz w:val="20"/>
                <w:szCs w:val="20"/>
              </w:rPr>
            </w:pPr>
            <w:r w:rsidRPr="00686C1B">
              <w:rPr>
                <w:sz w:val="20"/>
                <w:szCs w:val="20"/>
              </w:rPr>
              <w:t>£4,293</w:t>
            </w:r>
          </w:p>
        </w:tc>
        <w:tc>
          <w:tcPr>
            <w:tcW w:w="1811" w:type="dxa"/>
            <w:vAlign w:val="bottom"/>
          </w:tcPr>
          <w:p w:rsidR="00686C1B" w:rsidRPr="00686C1B" w:rsidRDefault="00686C1B" w:rsidP="00686C1B">
            <w:pPr>
              <w:jc w:val="right"/>
              <w:rPr>
                <w:sz w:val="20"/>
                <w:szCs w:val="20"/>
              </w:rPr>
            </w:pPr>
            <w:r w:rsidRPr="00686C1B">
              <w:rPr>
                <w:sz w:val="20"/>
                <w:szCs w:val="20"/>
              </w:rPr>
              <w:t>£220,012</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Kingston upon Thames</w:t>
            </w:r>
          </w:p>
        </w:tc>
        <w:tc>
          <w:tcPr>
            <w:tcW w:w="0" w:type="auto"/>
            <w:vAlign w:val="bottom"/>
          </w:tcPr>
          <w:p w:rsidR="00686C1B" w:rsidRPr="00686C1B" w:rsidRDefault="00686C1B" w:rsidP="00686C1B">
            <w:pPr>
              <w:jc w:val="right"/>
              <w:rPr>
                <w:sz w:val="20"/>
                <w:szCs w:val="20"/>
              </w:rPr>
            </w:pPr>
            <w:r w:rsidRPr="00686C1B">
              <w:rPr>
                <w:sz w:val="20"/>
                <w:szCs w:val="20"/>
              </w:rPr>
              <w:t>£137,170</w:t>
            </w:r>
          </w:p>
        </w:tc>
        <w:tc>
          <w:tcPr>
            <w:tcW w:w="0" w:type="auto"/>
            <w:vAlign w:val="bottom"/>
          </w:tcPr>
          <w:p w:rsidR="00686C1B" w:rsidRPr="00686C1B" w:rsidRDefault="00686C1B" w:rsidP="00686C1B">
            <w:pPr>
              <w:jc w:val="right"/>
              <w:rPr>
                <w:sz w:val="20"/>
                <w:szCs w:val="20"/>
              </w:rPr>
            </w:pPr>
            <w:r w:rsidRPr="00686C1B">
              <w:rPr>
                <w:sz w:val="20"/>
                <w:szCs w:val="20"/>
              </w:rPr>
              <w:t>£2,730</w:t>
            </w:r>
          </w:p>
        </w:tc>
        <w:tc>
          <w:tcPr>
            <w:tcW w:w="1811" w:type="dxa"/>
            <w:vAlign w:val="bottom"/>
          </w:tcPr>
          <w:p w:rsidR="00686C1B" w:rsidRPr="00686C1B" w:rsidRDefault="00686C1B" w:rsidP="00686C1B">
            <w:pPr>
              <w:jc w:val="right"/>
              <w:rPr>
                <w:sz w:val="20"/>
                <w:szCs w:val="20"/>
              </w:rPr>
            </w:pPr>
            <w:r w:rsidRPr="00686C1B">
              <w:rPr>
                <w:sz w:val="20"/>
                <w:szCs w:val="20"/>
              </w:rPr>
              <w:t>£139,899</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Lambeth</w:t>
            </w:r>
          </w:p>
        </w:tc>
        <w:tc>
          <w:tcPr>
            <w:tcW w:w="0" w:type="auto"/>
            <w:vAlign w:val="bottom"/>
          </w:tcPr>
          <w:p w:rsidR="00686C1B" w:rsidRPr="00686C1B" w:rsidRDefault="00686C1B" w:rsidP="00686C1B">
            <w:pPr>
              <w:jc w:val="right"/>
              <w:rPr>
                <w:sz w:val="20"/>
                <w:szCs w:val="20"/>
              </w:rPr>
            </w:pPr>
            <w:r w:rsidRPr="00686C1B">
              <w:rPr>
                <w:sz w:val="20"/>
                <w:szCs w:val="20"/>
              </w:rPr>
              <w:t>£229,099</w:t>
            </w:r>
          </w:p>
        </w:tc>
        <w:tc>
          <w:tcPr>
            <w:tcW w:w="0" w:type="auto"/>
            <w:vAlign w:val="bottom"/>
          </w:tcPr>
          <w:p w:rsidR="00686C1B" w:rsidRPr="00686C1B" w:rsidRDefault="00686C1B" w:rsidP="00686C1B">
            <w:pPr>
              <w:jc w:val="right"/>
              <w:rPr>
                <w:sz w:val="20"/>
                <w:szCs w:val="20"/>
              </w:rPr>
            </w:pPr>
            <w:r w:rsidRPr="00686C1B">
              <w:rPr>
                <w:sz w:val="20"/>
                <w:szCs w:val="20"/>
              </w:rPr>
              <w:t>£4,559</w:t>
            </w:r>
          </w:p>
        </w:tc>
        <w:tc>
          <w:tcPr>
            <w:tcW w:w="1811" w:type="dxa"/>
            <w:vAlign w:val="bottom"/>
          </w:tcPr>
          <w:p w:rsidR="00686C1B" w:rsidRPr="00686C1B" w:rsidRDefault="00686C1B" w:rsidP="00686C1B">
            <w:pPr>
              <w:jc w:val="right"/>
              <w:rPr>
                <w:sz w:val="20"/>
                <w:szCs w:val="20"/>
              </w:rPr>
            </w:pPr>
            <w:r w:rsidRPr="00686C1B">
              <w:rPr>
                <w:sz w:val="20"/>
                <w:szCs w:val="20"/>
              </w:rPr>
              <w:t>£233,658</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Lewisham</w:t>
            </w:r>
          </w:p>
        </w:tc>
        <w:tc>
          <w:tcPr>
            <w:tcW w:w="0" w:type="auto"/>
            <w:vAlign w:val="bottom"/>
          </w:tcPr>
          <w:p w:rsidR="00686C1B" w:rsidRPr="00686C1B" w:rsidRDefault="00686C1B" w:rsidP="00686C1B">
            <w:pPr>
              <w:jc w:val="right"/>
              <w:rPr>
                <w:sz w:val="20"/>
                <w:szCs w:val="20"/>
              </w:rPr>
            </w:pPr>
            <w:r w:rsidRPr="00686C1B">
              <w:rPr>
                <w:sz w:val="20"/>
                <w:szCs w:val="20"/>
              </w:rPr>
              <w:t>£178,500</w:t>
            </w:r>
          </w:p>
        </w:tc>
        <w:tc>
          <w:tcPr>
            <w:tcW w:w="0" w:type="auto"/>
            <w:vAlign w:val="bottom"/>
          </w:tcPr>
          <w:p w:rsidR="00686C1B" w:rsidRPr="00686C1B" w:rsidRDefault="00686C1B" w:rsidP="00686C1B">
            <w:pPr>
              <w:jc w:val="right"/>
              <w:rPr>
                <w:sz w:val="20"/>
                <w:szCs w:val="20"/>
              </w:rPr>
            </w:pPr>
            <w:r w:rsidRPr="00686C1B">
              <w:rPr>
                <w:sz w:val="20"/>
                <w:szCs w:val="20"/>
              </w:rPr>
              <w:t>£3,552</w:t>
            </w:r>
          </w:p>
        </w:tc>
        <w:tc>
          <w:tcPr>
            <w:tcW w:w="1811" w:type="dxa"/>
            <w:vAlign w:val="bottom"/>
          </w:tcPr>
          <w:p w:rsidR="00686C1B" w:rsidRPr="00686C1B" w:rsidRDefault="00686C1B" w:rsidP="00686C1B">
            <w:pPr>
              <w:jc w:val="right"/>
              <w:rPr>
                <w:sz w:val="20"/>
                <w:szCs w:val="20"/>
              </w:rPr>
            </w:pPr>
            <w:r w:rsidRPr="00686C1B">
              <w:rPr>
                <w:sz w:val="20"/>
                <w:szCs w:val="20"/>
              </w:rPr>
              <w:t>£182,052</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Merton</w:t>
            </w:r>
          </w:p>
        </w:tc>
        <w:tc>
          <w:tcPr>
            <w:tcW w:w="0" w:type="auto"/>
            <w:vAlign w:val="bottom"/>
          </w:tcPr>
          <w:p w:rsidR="00686C1B" w:rsidRPr="00686C1B" w:rsidRDefault="00686C1B" w:rsidP="00686C1B">
            <w:pPr>
              <w:jc w:val="right"/>
              <w:rPr>
                <w:sz w:val="20"/>
                <w:szCs w:val="20"/>
              </w:rPr>
            </w:pPr>
            <w:r w:rsidRPr="00686C1B">
              <w:rPr>
                <w:sz w:val="20"/>
                <w:szCs w:val="20"/>
              </w:rPr>
              <w:t>£162,130</w:t>
            </w:r>
          </w:p>
        </w:tc>
        <w:tc>
          <w:tcPr>
            <w:tcW w:w="0" w:type="auto"/>
            <w:vAlign w:val="bottom"/>
          </w:tcPr>
          <w:p w:rsidR="00686C1B" w:rsidRPr="00686C1B" w:rsidRDefault="00686C1B" w:rsidP="00686C1B">
            <w:pPr>
              <w:jc w:val="right"/>
              <w:rPr>
                <w:sz w:val="20"/>
                <w:szCs w:val="20"/>
              </w:rPr>
            </w:pPr>
            <w:r w:rsidRPr="00686C1B">
              <w:rPr>
                <w:sz w:val="20"/>
                <w:szCs w:val="20"/>
              </w:rPr>
              <w:t>£3,226</w:t>
            </w:r>
          </w:p>
        </w:tc>
        <w:tc>
          <w:tcPr>
            <w:tcW w:w="1811" w:type="dxa"/>
            <w:vAlign w:val="bottom"/>
          </w:tcPr>
          <w:p w:rsidR="00686C1B" w:rsidRPr="00686C1B" w:rsidRDefault="00686C1B" w:rsidP="00686C1B">
            <w:pPr>
              <w:jc w:val="right"/>
              <w:rPr>
                <w:sz w:val="20"/>
                <w:szCs w:val="20"/>
              </w:rPr>
            </w:pPr>
            <w:r w:rsidRPr="00686C1B">
              <w:rPr>
                <w:sz w:val="20"/>
                <w:szCs w:val="20"/>
              </w:rPr>
              <w:t>£165,356</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Newham</w:t>
            </w:r>
          </w:p>
        </w:tc>
        <w:tc>
          <w:tcPr>
            <w:tcW w:w="0" w:type="auto"/>
            <w:vAlign w:val="bottom"/>
          </w:tcPr>
          <w:p w:rsidR="00686C1B" w:rsidRPr="00686C1B" w:rsidRDefault="00686C1B" w:rsidP="00686C1B">
            <w:pPr>
              <w:jc w:val="right"/>
              <w:rPr>
                <w:sz w:val="20"/>
                <w:szCs w:val="20"/>
              </w:rPr>
            </w:pPr>
            <w:r w:rsidRPr="00686C1B">
              <w:rPr>
                <w:sz w:val="20"/>
                <w:szCs w:val="20"/>
              </w:rPr>
              <w:t>£155,765</w:t>
            </w:r>
          </w:p>
        </w:tc>
        <w:tc>
          <w:tcPr>
            <w:tcW w:w="0" w:type="auto"/>
            <w:vAlign w:val="bottom"/>
          </w:tcPr>
          <w:p w:rsidR="00686C1B" w:rsidRPr="00686C1B" w:rsidRDefault="00686C1B" w:rsidP="00686C1B">
            <w:pPr>
              <w:jc w:val="right"/>
              <w:rPr>
                <w:sz w:val="20"/>
                <w:szCs w:val="20"/>
              </w:rPr>
            </w:pPr>
            <w:r w:rsidRPr="00686C1B">
              <w:rPr>
                <w:sz w:val="20"/>
                <w:szCs w:val="20"/>
              </w:rPr>
              <w:t>£3,100</w:t>
            </w:r>
          </w:p>
        </w:tc>
        <w:tc>
          <w:tcPr>
            <w:tcW w:w="1811" w:type="dxa"/>
            <w:vAlign w:val="bottom"/>
          </w:tcPr>
          <w:p w:rsidR="00686C1B" w:rsidRPr="00686C1B" w:rsidRDefault="00686C1B" w:rsidP="00686C1B">
            <w:pPr>
              <w:jc w:val="right"/>
              <w:rPr>
                <w:sz w:val="20"/>
                <w:szCs w:val="20"/>
              </w:rPr>
            </w:pPr>
            <w:r w:rsidRPr="00686C1B">
              <w:rPr>
                <w:sz w:val="20"/>
                <w:szCs w:val="20"/>
              </w:rPr>
              <w:t>£158,865</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Redbridge</w:t>
            </w:r>
          </w:p>
        </w:tc>
        <w:tc>
          <w:tcPr>
            <w:tcW w:w="0" w:type="auto"/>
            <w:vAlign w:val="bottom"/>
          </w:tcPr>
          <w:p w:rsidR="00686C1B" w:rsidRPr="00686C1B" w:rsidRDefault="00686C1B" w:rsidP="00686C1B">
            <w:pPr>
              <w:jc w:val="right"/>
              <w:rPr>
                <w:sz w:val="20"/>
                <w:szCs w:val="20"/>
              </w:rPr>
            </w:pPr>
            <w:r w:rsidRPr="00686C1B">
              <w:rPr>
                <w:sz w:val="20"/>
                <w:szCs w:val="20"/>
              </w:rPr>
              <w:t>£189,429</w:t>
            </w:r>
          </w:p>
        </w:tc>
        <w:tc>
          <w:tcPr>
            <w:tcW w:w="0" w:type="auto"/>
            <w:vAlign w:val="bottom"/>
          </w:tcPr>
          <w:p w:rsidR="00686C1B" w:rsidRPr="00686C1B" w:rsidRDefault="00686C1B" w:rsidP="00686C1B">
            <w:pPr>
              <w:jc w:val="right"/>
              <w:rPr>
                <w:sz w:val="20"/>
                <w:szCs w:val="20"/>
              </w:rPr>
            </w:pPr>
            <w:r w:rsidRPr="00686C1B">
              <w:rPr>
                <w:sz w:val="20"/>
                <w:szCs w:val="20"/>
              </w:rPr>
              <w:t>£3,770</w:t>
            </w:r>
          </w:p>
        </w:tc>
        <w:tc>
          <w:tcPr>
            <w:tcW w:w="1811" w:type="dxa"/>
            <w:vAlign w:val="bottom"/>
          </w:tcPr>
          <w:p w:rsidR="00686C1B" w:rsidRPr="00686C1B" w:rsidRDefault="00686C1B" w:rsidP="00686C1B">
            <w:pPr>
              <w:jc w:val="right"/>
              <w:rPr>
                <w:sz w:val="20"/>
                <w:szCs w:val="20"/>
              </w:rPr>
            </w:pPr>
            <w:r w:rsidRPr="00686C1B">
              <w:rPr>
                <w:sz w:val="20"/>
                <w:szCs w:val="20"/>
              </w:rPr>
              <w:t>£193,199</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Richmond upon Thames</w:t>
            </w:r>
          </w:p>
        </w:tc>
        <w:tc>
          <w:tcPr>
            <w:tcW w:w="0" w:type="auto"/>
            <w:vAlign w:val="bottom"/>
          </w:tcPr>
          <w:p w:rsidR="00686C1B" w:rsidRPr="00686C1B" w:rsidRDefault="00686C1B" w:rsidP="00686C1B">
            <w:pPr>
              <w:jc w:val="right"/>
              <w:rPr>
                <w:sz w:val="20"/>
                <w:szCs w:val="20"/>
              </w:rPr>
            </w:pPr>
            <w:r w:rsidRPr="00686C1B">
              <w:rPr>
                <w:sz w:val="20"/>
                <w:szCs w:val="20"/>
              </w:rPr>
              <w:t>£194,794</w:t>
            </w:r>
          </w:p>
        </w:tc>
        <w:tc>
          <w:tcPr>
            <w:tcW w:w="0" w:type="auto"/>
            <w:vAlign w:val="bottom"/>
          </w:tcPr>
          <w:p w:rsidR="00686C1B" w:rsidRPr="00686C1B" w:rsidRDefault="00686C1B" w:rsidP="00686C1B">
            <w:pPr>
              <w:jc w:val="right"/>
              <w:rPr>
                <w:sz w:val="20"/>
                <w:szCs w:val="20"/>
              </w:rPr>
            </w:pPr>
            <w:r w:rsidRPr="00686C1B">
              <w:rPr>
                <w:sz w:val="20"/>
                <w:szCs w:val="20"/>
              </w:rPr>
              <w:t>£3,876</w:t>
            </w:r>
          </w:p>
        </w:tc>
        <w:tc>
          <w:tcPr>
            <w:tcW w:w="1811" w:type="dxa"/>
            <w:vAlign w:val="bottom"/>
          </w:tcPr>
          <w:p w:rsidR="00686C1B" w:rsidRPr="00686C1B" w:rsidRDefault="00686C1B" w:rsidP="00686C1B">
            <w:pPr>
              <w:jc w:val="right"/>
              <w:rPr>
                <w:sz w:val="20"/>
                <w:szCs w:val="20"/>
              </w:rPr>
            </w:pPr>
            <w:r w:rsidRPr="00686C1B">
              <w:rPr>
                <w:sz w:val="20"/>
                <w:szCs w:val="20"/>
              </w:rPr>
              <w:t>£198,671</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Southwark</w:t>
            </w:r>
          </w:p>
        </w:tc>
        <w:tc>
          <w:tcPr>
            <w:tcW w:w="0" w:type="auto"/>
            <w:vAlign w:val="bottom"/>
          </w:tcPr>
          <w:p w:rsidR="00686C1B" w:rsidRPr="00686C1B" w:rsidRDefault="00686C1B" w:rsidP="00686C1B">
            <w:pPr>
              <w:jc w:val="right"/>
              <w:rPr>
                <w:sz w:val="20"/>
                <w:szCs w:val="20"/>
              </w:rPr>
            </w:pPr>
            <w:r w:rsidRPr="00686C1B">
              <w:rPr>
                <w:sz w:val="20"/>
                <w:szCs w:val="20"/>
              </w:rPr>
              <w:t>£207,373</w:t>
            </w:r>
          </w:p>
        </w:tc>
        <w:tc>
          <w:tcPr>
            <w:tcW w:w="0" w:type="auto"/>
            <w:vAlign w:val="bottom"/>
          </w:tcPr>
          <w:p w:rsidR="00686C1B" w:rsidRPr="00686C1B" w:rsidRDefault="00686C1B" w:rsidP="00686C1B">
            <w:pPr>
              <w:jc w:val="right"/>
              <w:rPr>
                <w:sz w:val="20"/>
                <w:szCs w:val="20"/>
              </w:rPr>
            </w:pPr>
            <w:r w:rsidRPr="00686C1B">
              <w:rPr>
                <w:sz w:val="20"/>
                <w:szCs w:val="20"/>
              </w:rPr>
              <w:t>£4,127</w:t>
            </w:r>
          </w:p>
        </w:tc>
        <w:tc>
          <w:tcPr>
            <w:tcW w:w="1811" w:type="dxa"/>
            <w:vAlign w:val="bottom"/>
          </w:tcPr>
          <w:p w:rsidR="00686C1B" w:rsidRPr="00686C1B" w:rsidRDefault="00686C1B" w:rsidP="00686C1B">
            <w:pPr>
              <w:jc w:val="right"/>
              <w:rPr>
                <w:sz w:val="20"/>
                <w:szCs w:val="20"/>
              </w:rPr>
            </w:pPr>
            <w:r w:rsidRPr="00686C1B">
              <w:rPr>
                <w:sz w:val="20"/>
                <w:szCs w:val="20"/>
              </w:rPr>
              <w:t>£211,500</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Sutton</w:t>
            </w:r>
          </w:p>
        </w:tc>
        <w:tc>
          <w:tcPr>
            <w:tcW w:w="0" w:type="auto"/>
            <w:vAlign w:val="bottom"/>
          </w:tcPr>
          <w:p w:rsidR="00686C1B" w:rsidRPr="00686C1B" w:rsidRDefault="00686C1B" w:rsidP="00686C1B">
            <w:pPr>
              <w:jc w:val="right"/>
              <w:rPr>
                <w:sz w:val="20"/>
                <w:szCs w:val="20"/>
              </w:rPr>
            </w:pPr>
            <w:r w:rsidRPr="00686C1B">
              <w:rPr>
                <w:sz w:val="20"/>
                <w:szCs w:val="20"/>
              </w:rPr>
              <w:t>£160,408</w:t>
            </w:r>
          </w:p>
        </w:tc>
        <w:tc>
          <w:tcPr>
            <w:tcW w:w="0" w:type="auto"/>
            <w:vAlign w:val="bottom"/>
          </w:tcPr>
          <w:p w:rsidR="00686C1B" w:rsidRPr="00686C1B" w:rsidRDefault="00686C1B" w:rsidP="00686C1B">
            <w:pPr>
              <w:jc w:val="right"/>
              <w:rPr>
                <w:sz w:val="20"/>
                <w:szCs w:val="20"/>
              </w:rPr>
            </w:pPr>
            <w:r w:rsidRPr="00686C1B">
              <w:rPr>
                <w:sz w:val="20"/>
                <w:szCs w:val="20"/>
              </w:rPr>
              <w:t>£3,192</w:t>
            </w:r>
          </w:p>
        </w:tc>
        <w:tc>
          <w:tcPr>
            <w:tcW w:w="1811" w:type="dxa"/>
            <w:vAlign w:val="bottom"/>
          </w:tcPr>
          <w:p w:rsidR="00686C1B" w:rsidRPr="00686C1B" w:rsidRDefault="00686C1B" w:rsidP="00686C1B">
            <w:pPr>
              <w:jc w:val="right"/>
              <w:rPr>
                <w:sz w:val="20"/>
                <w:szCs w:val="20"/>
              </w:rPr>
            </w:pPr>
            <w:r w:rsidRPr="00686C1B">
              <w:rPr>
                <w:sz w:val="20"/>
                <w:szCs w:val="20"/>
              </w:rPr>
              <w:t>£163,600</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Tower Hamlets</w:t>
            </w:r>
          </w:p>
        </w:tc>
        <w:tc>
          <w:tcPr>
            <w:tcW w:w="0" w:type="auto"/>
            <w:vAlign w:val="bottom"/>
          </w:tcPr>
          <w:p w:rsidR="00686C1B" w:rsidRPr="00686C1B" w:rsidRDefault="00686C1B" w:rsidP="00686C1B">
            <w:pPr>
              <w:jc w:val="right"/>
              <w:rPr>
                <w:sz w:val="20"/>
                <w:szCs w:val="20"/>
              </w:rPr>
            </w:pPr>
            <w:r w:rsidRPr="00686C1B">
              <w:rPr>
                <w:sz w:val="20"/>
                <w:szCs w:val="20"/>
              </w:rPr>
              <w:t>£189,784</w:t>
            </w:r>
          </w:p>
        </w:tc>
        <w:tc>
          <w:tcPr>
            <w:tcW w:w="0" w:type="auto"/>
            <w:vAlign w:val="bottom"/>
          </w:tcPr>
          <w:p w:rsidR="00686C1B" w:rsidRPr="00686C1B" w:rsidRDefault="00686C1B" w:rsidP="00686C1B">
            <w:pPr>
              <w:jc w:val="right"/>
              <w:rPr>
                <w:sz w:val="20"/>
                <w:szCs w:val="20"/>
              </w:rPr>
            </w:pPr>
            <w:r w:rsidRPr="00686C1B">
              <w:rPr>
                <w:sz w:val="20"/>
                <w:szCs w:val="20"/>
              </w:rPr>
              <w:t>£3,777</w:t>
            </w:r>
          </w:p>
        </w:tc>
        <w:tc>
          <w:tcPr>
            <w:tcW w:w="1811" w:type="dxa"/>
            <w:vAlign w:val="bottom"/>
          </w:tcPr>
          <w:p w:rsidR="00686C1B" w:rsidRPr="00686C1B" w:rsidRDefault="00686C1B" w:rsidP="00686C1B">
            <w:pPr>
              <w:jc w:val="right"/>
              <w:rPr>
                <w:sz w:val="20"/>
                <w:szCs w:val="20"/>
              </w:rPr>
            </w:pPr>
            <w:r w:rsidRPr="00686C1B">
              <w:rPr>
                <w:sz w:val="20"/>
                <w:szCs w:val="20"/>
              </w:rPr>
              <w:t>£193,561</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Waltham Forest</w:t>
            </w:r>
          </w:p>
        </w:tc>
        <w:tc>
          <w:tcPr>
            <w:tcW w:w="0" w:type="auto"/>
            <w:vAlign w:val="bottom"/>
          </w:tcPr>
          <w:p w:rsidR="00686C1B" w:rsidRPr="00686C1B" w:rsidRDefault="00686C1B" w:rsidP="00686C1B">
            <w:pPr>
              <w:jc w:val="right"/>
              <w:rPr>
                <w:sz w:val="20"/>
                <w:szCs w:val="20"/>
              </w:rPr>
            </w:pPr>
            <w:r w:rsidRPr="00686C1B">
              <w:rPr>
                <w:sz w:val="20"/>
                <w:szCs w:val="20"/>
              </w:rPr>
              <w:t>£163,392</w:t>
            </w:r>
          </w:p>
        </w:tc>
        <w:tc>
          <w:tcPr>
            <w:tcW w:w="0" w:type="auto"/>
            <w:vAlign w:val="bottom"/>
          </w:tcPr>
          <w:p w:rsidR="00686C1B" w:rsidRPr="00686C1B" w:rsidRDefault="00686C1B" w:rsidP="00686C1B">
            <w:pPr>
              <w:jc w:val="right"/>
              <w:rPr>
                <w:sz w:val="20"/>
                <w:szCs w:val="20"/>
              </w:rPr>
            </w:pPr>
            <w:r w:rsidRPr="00686C1B">
              <w:rPr>
                <w:sz w:val="20"/>
                <w:szCs w:val="20"/>
              </w:rPr>
              <w:t>£3,251</w:t>
            </w:r>
          </w:p>
        </w:tc>
        <w:tc>
          <w:tcPr>
            <w:tcW w:w="1811" w:type="dxa"/>
            <w:vAlign w:val="bottom"/>
          </w:tcPr>
          <w:p w:rsidR="00686C1B" w:rsidRPr="00686C1B" w:rsidRDefault="00686C1B" w:rsidP="00686C1B">
            <w:pPr>
              <w:jc w:val="right"/>
              <w:rPr>
                <w:sz w:val="20"/>
                <w:szCs w:val="20"/>
              </w:rPr>
            </w:pPr>
            <w:r w:rsidRPr="00686C1B">
              <w:rPr>
                <w:sz w:val="20"/>
                <w:szCs w:val="20"/>
              </w:rPr>
              <w:t>£166,643</w:t>
            </w:r>
          </w:p>
        </w:tc>
      </w:tr>
      <w:tr w:rsidR="00686C1B" w:rsidRPr="00686C1B" w:rsidTr="00BE6E0D">
        <w:trPr>
          <w:trHeight w:val="255"/>
          <w:tblHeader/>
        </w:trPr>
        <w:tc>
          <w:tcPr>
            <w:tcW w:w="2444" w:type="dxa"/>
            <w:shd w:val="clear" w:color="auto" w:fill="auto"/>
            <w:noWrap/>
            <w:vAlign w:val="bottom"/>
            <w:hideMark/>
          </w:tcPr>
          <w:p w:rsidR="00686C1B" w:rsidRPr="00686C1B" w:rsidRDefault="00686C1B" w:rsidP="00686C1B">
            <w:pPr>
              <w:rPr>
                <w:rFonts w:cs="Arial"/>
                <w:sz w:val="20"/>
                <w:szCs w:val="20"/>
                <w:lang w:eastAsia="en-GB"/>
              </w:rPr>
            </w:pPr>
            <w:r w:rsidRPr="00686C1B">
              <w:rPr>
                <w:rFonts w:cs="Arial"/>
                <w:sz w:val="20"/>
                <w:szCs w:val="20"/>
                <w:lang w:eastAsia="en-GB"/>
              </w:rPr>
              <w:t>Wandsworth</w:t>
            </w:r>
          </w:p>
        </w:tc>
        <w:tc>
          <w:tcPr>
            <w:tcW w:w="0" w:type="auto"/>
            <w:vAlign w:val="bottom"/>
          </w:tcPr>
          <w:p w:rsidR="00686C1B" w:rsidRPr="00686C1B" w:rsidRDefault="00686C1B" w:rsidP="00686C1B">
            <w:pPr>
              <w:jc w:val="right"/>
              <w:rPr>
                <w:sz w:val="20"/>
                <w:szCs w:val="20"/>
              </w:rPr>
            </w:pPr>
            <w:r w:rsidRPr="00686C1B">
              <w:rPr>
                <w:sz w:val="20"/>
                <w:szCs w:val="20"/>
              </w:rPr>
              <w:t>£285,800</w:t>
            </w:r>
          </w:p>
        </w:tc>
        <w:tc>
          <w:tcPr>
            <w:tcW w:w="0" w:type="auto"/>
            <w:vAlign w:val="bottom"/>
          </w:tcPr>
          <w:p w:rsidR="00686C1B" w:rsidRPr="00686C1B" w:rsidRDefault="00686C1B" w:rsidP="00686C1B">
            <w:pPr>
              <w:jc w:val="right"/>
              <w:rPr>
                <w:sz w:val="20"/>
                <w:szCs w:val="20"/>
              </w:rPr>
            </w:pPr>
            <w:r w:rsidRPr="00686C1B">
              <w:rPr>
                <w:sz w:val="20"/>
                <w:szCs w:val="20"/>
              </w:rPr>
              <w:t>£5,687</w:t>
            </w:r>
          </w:p>
        </w:tc>
        <w:tc>
          <w:tcPr>
            <w:tcW w:w="1811" w:type="dxa"/>
            <w:vAlign w:val="bottom"/>
          </w:tcPr>
          <w:p w:rsidR="00686C1B" w:rsidRPr="00686C1B" w:rsidRDefault="00686C1B" w:rsidP="00686C1B">
            <w:pPr>
              <w:jc w:val="right"/>
              <w:rPr>
                <w:sz w:val="20"/>
                <w:szCs w:val="20"/>
              </w:rPr>
            </w:pPr>
            <w:r w:rsidRPr="00686C1B">
              <w:rPr>
                <w:sz w:val="20"/>
                <w:szCs w:val="20"/>
              </w:rPr>
              <w:t>£291,487</w:t>
            </w:r>
          </w:p>
        </w:tc>
      </w:tr>
    </w:tbl>
    <w:p w:rsidR="00686C1B" w:rsidRPr="00686C1B" w:rsidRDefault="00BE6E0D" w:rsidP="00686C1B">
      <w:pPr>
        <w:rPr>
          <w:i/>
        </w:rPr>
      </w:pPr>
      <w:r w:rsidRPr="00686C1B">
        <w:br w:type="textWrapping" w:clear="all"/>
      </w:r>
    </w:p>
    <w:p w:rsidR="001D018A" w:rsidRPr="00686C1B" w:rsidRDefault="00BE6E0D" w:rsidP="00DE5BB7">
      <w:pPr>
        <w:spacing w:after="240"/>
        <w:rPr>
          <w:i/>
        </w:rPr>
      </w:pPr>
      <w:r w:rsidRPr="00686C1B">
        <w:rPr>
          <w:i/>
        </w:rPr>
        <w:t xml:space="preserve">Note: data supplied by the Environment Agency. Levy is calculated based on the number of Band D properties a borough has in April each year. Until this is calculated, the above figures for 2017/18 remain subject to change.  </w:t>
      </w:r>
    </w:p>
    <w:p w:rsidR="00FF07FC" w:rsidRPr="00686C1B" w:rsidRDefault="00FF07FC" w:rsidP="00FF07FC">
      <w:pPr>
        <w:spacing w:after="240"/>
      </w:pPr>
      <w:r w:rsidRPr="00686C1B">
        <w:rPr>
          <w:b/>
        </w:rPr>
        <w:t>Projects overview</w:t>
      </w:r>
    </w:p>
    <w:p w:rsidR="00FF07FC" w:rsidRPr="00686C1B" w:rsidRDefault="00FF07FC" w:rsidP="00C24D08">
      <w:pPr>
        <w:pStyle w:val="ListParagraph"/>
        <w:numPr>
          <w:ilvl w:val="0"/>
          <w:numId w:val="2"/>
        </w:numPr>
        <w:spacing w:after="240"/>
      </w:pPr>
      <w:r w:rsidRPr="00686C1B">
        <w:t xml:space="preserve">There are currently </w:t>
      </w:r>
      <w:r w:rsidR="00D52276" w:rsidRPr="00686C1B">
        <w:t>72 schemes in London that will be funded in 201</w:t>
      </w:r>
      <w:r w:rsidR="00821D43" w:rsidRPr="00686C1B">
        <w:t>7</w:t>
      </w:r>
      <w:r w:rsidR="00D52276" w:rsidRPr="00686C1B">
        <w:t>/1</w:t>
      </w:r>
      <w:r w:rsidR="00821D43" w:rsidRPr="00686C1B">
        <w:t>8</w:t>
      </w:r>
      <w:r w:rsidR="00D52276" w:rsidRPr="00686C1B">
        <w:t xml:space="preserve"> as</w:t>
      </w:r>
      <w:r w:rsidRPr="00686C1B">
        <w:t xml:space="preserve"> part of the </w:t>
      </w:r>
      <w:r w:rsidR="008525BA" w:rsidRPr="00686C1B">
        <w:t xml:space="preserve">Thames </w:t>
      </w:r>
      <w:r w:rsidRPr="00686C1B">
        <w:t>RFCC capital programme</w:t>
      </w:r>
      <w:r w:rsidR="008525BA" w:rsidRPr="00686C1B">
        <w:t xml:space="preserve">, and the programme is balanced to ensure that overall every </w:t>
      </w:r>
      <w:r w:rsidR="00686C1B" w:rsidRPr="00686C1B">
        <w:t>sub-regional p</w:t>
      </w:r>
      <w:r w:rsidR="008525BA" w:rsidRPr="00686C1B">
        <w:t>artnership ben</w:t>
      </w:r>
      <w:r w:rsidR="00686C1B" w:rsidRPr="00686C1B">
        <w:t xml:space="preserve">efits from more investment than </w:t>
      </w:r>
      <w:r w:rsidR="008525BA" w:rsidRPr="00686C1B">
        <w:t>its levy contribution. Most</w:t>
      </w:r>
      <w:r w:rsidRPr="00686C1B">
        <w:t xml:space="preserve"> London boroughs have projects as part of the programme. The </w:t>
      </w:r>
      <w:r w:rsidR="008525BA" w:rsidRPr="00686C1B">
        <w:t xml:space="preserve">Thames </w:t>
      </w:r>
      <w:r w:rsidRPr="00686C1B">
        <w:t xml:space="preserve">RFCC wants to encourage the authorities that do not have projects on the programme to develop them, and this is what the new </w:t>
      </w:r>
      <w:r w:rsidR="00686C1B" w:rsidRPr="00686C1B">
        <w:t>LLFA Project Adviso</w:t>
      </w:r>
      <w:r w:rsidR="00D52276" w:rsidRPr="00686C1B">
        <w:t xml:space="preserve">r Team </w:t>
      </w:r>
      <w:r w:rsidRPr="00686C1B">
        <w:t xml:space="preserve">will help more boroughs do. </w:t>
      </w:r>
    </w:p>
    <w:p w:rsidR="008E6FED" w:rsidRPr="00686C1B" w:rsidRDefault="00FF07FC" w:rsidP="00C24D08">
      <w:pPr>
        <w:pStyle w:val="ListParagraph"/>
        <w:numPr>
          <w:ilvl w:val="0"/>
          <w:numId w:val="2"/>
        </w:numPr>
        <w:spacing w:after="240"/>
      </w:pPr>
      <w:r w:rsidRPr="00686C1B">
        <w:t>The full project list</w:t>
      </w:r>
      <w:r w:rsidR="00C00C60" w:rsidRPr="00686C1B">
        <w:t xml:space="preserve"> for the T</w:t>
      </w:r>
      <w:r w:rsidR="00821D43" w:rsidRPr="00686C1B">
        <w:t>hames RFCC for 2017</w:t>
      </w:r>
      <w:r w:rsidR="00D52276" w:rsidRPr="00686C1B">
        <w:t>/1</w:t>
      </w:r>
      <w:r w:rsidR="00821D43" w:rsidRPr="00686C1B">
        <w:t>8</w:t>
      </w:r>
      <w:r w:rsidR="00C00C60" w:rsidRPr="00686C1B">
        <w:t xml:space="preserve"> </w:t>
      </w:r>
      <w:r w:rsidRPr="00686C1B">
        <w:t xml:space="preserve">is </w:t>
      </w:r>
      <w:r w:rsidR="008E6FED" w:rsidRPr="00686C1B">
        <w:t xml:space="preserve">provided </w:t>
      </w:r>
      <w:r w:rsidRPr="00686C1B">
        <w:t xml:space="preserve">at Appendix B. </w:t>
      </w:r>
      <w:r w:rsidR="00A91309" w:rsidRPr="00686C1B">
        <w:t>This list shows which projects h</w:t>
      </w:r>
      <w:r w:rsidR="00D52276" w:rsidRPr="00686C1B">
        <w:t>ave been allocated money in 201</w:t>
      </w:r>
      <w:r w:rsidR="00821D43" w:rsidRPr="00686C1B">
        <w:t>7/18</w:t>
      </w:r>
      <w:r w:rsidR="00A91309" w:rsidRPr="00686C1B">
        <w:t xml:space="preserve">, the source of funding and the forecasted spend.  </w:t>
      </w:r>
    </w:p>
    <w:p w:rsidR="00185207" w:rsidRPr="00686C1B" w:rsidRDefault="00185207" w:rsidP="007252A2"/>
    <w:p w:rsidR="008C65D1" w:rsidRPr="00686C1B" w:rsidRDefault="001F7F51" w:rsidP="001F7F51">
      <w:pPr>
        <w:spacing w:after="240"/>
        <w:rPr>
          <w:b/>
        </w:rPr>
      </w:pPr>
      <w:r w:rsidRPr="00686C1B">
        <w:rPr>
          <w:b/>
        </w:rPr>
        <w:t xml:space="preserve">Recommendations: </w:t>
      </w:r>
      <w:r w:rsidRPr="00686C1B">
        <w:rPr>
          <w:b/>
        </w:rPr>
        <w:tab/>
      </w:r>
      <w:r w:rsidRPr="00686C1B">
        <w:rPr>
          <w:b/>
        </w:rPr>
        <w:tab/>
      </w:r>
      <w:r w:rsidRPr="00686C1B">
        <w:rPr>
          <w:b/>
        </w:rPr>
        <w:tab/>
      </w:r>
    </w:p>
    <w:p w:rsidR="001F7F51" w:rsidRPr="00686C1B" w:rsidRDefault="001F7F51" w:rsidP="001F7F51">
      <w:pPr>
        <w:spacing w:after="240"/>
      </w:pPr>
      <w:r w:rsidRPr="00686C1B">
        <w:t>Members are asked to note the report.</w:t>
      </w:r>
    </w:p>
    <w:p w:rsidR="008E6FED" w:rsidRPr="00686C1B" w:rsidRDefault="001F7F51" w:rsidP="008C65D1">
      <w:r w:rsidRPr="00686C1B">
        <w:t xml:space="preserve">Members are asked to provide a steer to </w:t>
      </w:r>
      <w:r w:rsidR="00E460FB" w:rsidRPr="00686C1B">
        <w:t xml:space="preserve">the </w:t>
      </w:r>
      <w:r w:rsidRPr="00686C1B">
        <w:t>TEC members who sit on the Thames RFCC regarding a levy increase</w:t>
      </w:r>
      <w:r w:rsidR="001A3111" w:rsidRPr="00686C1B">
        <w:t>.</w:t>
      </w:r>
    </w:p>
    <w:p w:rsidR="008E6FED" w:rsidRPr="00686C1B" w:rsidRDefault="008E6FED" w:rsidP="007252A2"/>
    <w:p w:rsidR="00185207" w:rsidRPr="00686C1B" w:rsidRDefault="00185207" w:rsidP="007252A2"/>
    <w:p w:rsidR="00FF07FC" w:rsidRPr="00686C1B" w:rsidRDefault="00FF07FC" w:rsidP="00FF07FC">
      <w:pPr>
        <w:widowControl w:val="0"/>
        <w:autoSpaceDE w:val="0"/>
        <w:autoSpaceDN w:val="0"/>
        <w:adjustRightInd w:val="0"/>
        <w:spacing w:before="120" w:after="120"/>
        <w:rPr>
          <w:rFonts w:cs="Arial"/>
          <w:b/>
        </w:rPr>
      </w:pPr>
      <w:r w:rsidRPr="00686C1B">
        <w:rPr>
          <w:rFonts w:cs="Arial"/>
          <w:b/>
        </w:rPr>
        <w:t>Financial Implications</w:t>
      </w:r>
    </w:p>
    <w:p w:rsidR="00FF07FC" w:rsidRPr="00686C1B" w:rsidRDefault="00FF07FC" w:rsidP="00C24D08">
      <w:pPr>
        <w:pStyle w:val="ListParagraph"/>
        <w:numPr>
          <w:ilvl w:val="0"/>
          <w:numId w:val="2"/>
        </w:numPr>
        <w:spacing w:before="120" w:after="120"/>
        <w:rPr>
          <w:rFonts w:cs="Arial"/>
        </w:rPr>
      </w:pPr>
      <w:r w:rsidRPr="00686C1B">
        <w:rPr>
          <w:rFonts w:cs="Arial"/>
        </w:rPr>
        <w:t xml:space="preserve">There are no financial implications for London Councils arising from this report. </w:t>
      </w:r>
      <w:r w:rsidR="005B79DE" w:rsidRPr="00686C1B">
        <w:rPr>
          <w:rFonts w:cs="Arial"/>
        </w:rPr>
        <w:t>If the Thames RFCC does vote for a levy increase then all London Boroughs will need to budget for this increase in April 201</w:t>
      </w:r>
      <w:r w:rsidR="00F806B0" w:rsidRPr="00686C1B">
        <w:rPr>
          <w:rFonts w:cs="Arial"/>
        </w:rPr>
        <w:t>7</w:t>
      </w:r>
      <w:r w:rsidR="005B79DE" w:rsidRPr="00686C1B">
        <w:rPr>
          <w:rFonts w:cs="Arial"/>
        </w:rPr>
        <w:t xml:space="preserve">. </w:t>
      </w:r>
    </w:p>
    <w:p w:rsidR="00FF07FC" w:rsidRPr="00686C1B" w:rsidRDefault="00FF07FC" w:rsidP="00FF07FC">
      <w:pPr>
        <w:widowControl w:val="0"/>
        <w:autoSpaceDE w:val="0"/>
        <w:autoSpaceDN w:val="0"/>
        <w:adjustRightInd w:val="0"/>
        <w:spacing w:before="120" w:after="120"/>
        <w:rPr>
          <w:rFonts w:cs="Arial"/>
          <w:b/>
        </w:rPr>
      </w:pPr>
    </w:p>
    <w:p w:rsidR="00FF07FC" w:rsidRPr="00686C1B" w:rsidRDefault="00FF07FC" w:rsidP="00FF07FC">
      <w:pPr>
        <w:widowControl w:val="0"/>
        <w:autoSpaceDE w:val="0"/>
        <w:autoSpaceDN w:val="0"/>
        <w:adjustRightInd w:val="0"/>
        <w:spacing w:before="120" w:after="120"/>
        <w:rPr>
          <w:rFonts w:cs="Arial"/>
          <w:b/>
        </w:rPr>
      </w:pPr>
      <w:r w:rsidRPr="00686C1B">
        <w:rPr>
          <w:rFonts w:cs="Arial"/>
          <w:b/>
        </w:rPr>
        <w:t>Legal Implications</w:t>
      </w:r>
    </w:p>
    <w:p w:rsidR="00FF07FC" w:rsidRPr="00686C1B" w:rsidRDefault="00FF07FC" w:rsidP="00C24D08">
      <w:pPr>
        <w:pStyle w:val="ListParagraph"/>
        <w:widowControl w:val="0"/>
        <w:numPr>
          <w:ilvl w:val="0"/>
          <w:numId w:val="2"/>
        </w:numPr>
        <w:autoSpaceDE w:val="0"/>
        <w:autoSpaceDN w:val="0"/>
        <w:adjustRightInd w:val="0"/>
        <w:spacing w:before="120" w:after="120"/>
        <w:rPr>
          <w:rFonts w:cs="Arial"/>
          <w:b/>
        </w:rPr>
      </w:pPr>
      <w:r w:rsidRPr="00686C1B">
        <w:rPr>
          <w:rFonts w:cs="Arial"/>
        </w:rPr>
        <w:t xml:space="preserve">There are no legal implications for London Councils arising from this report.  </w:t>
      </w:r>
    </w:p>
    <w:p w:rsidR="00FF07FC" w:rsidRPr="00686C1B" w:rsidRDefault="00FF07FC" w:rsidP="00FF07FC">
      <w:pPr>
        <w:widowControl w:val="0"/>
        <w:autoSpaceDE w:val="0"/>
        <w:autoSpaceDN w:val="0"/>
        <w:adjustRightInd w:val="0"/>
        <w:spacing w:before="120" w:after="120"/>
        <w:rPr>
          <w:rFonts w:cs="Arial"/>
          <w:b/>
        </w:rPr>
      </w:pPr>
    </w:p>
    <w:p w:rsidR="00FF07FC" w:rsidRPr="00686C1B" w:rsidRDefault="00FF07FC" w:rsidP="00FF07FC">
      <w:pPr>
        <w:widowControl w:val="0"/>
        <w:autoSpaceDE w:val="0"/>
        <w:autoSpaceDN w:val="0"/>
        <w:adjustRightInd w:val="0"/>
        <w:spacing w:before="120" w:after="120"/>
        <w:rPr>
          <w:rFonts w:cs="Arial"/>
          <w:b/>
        </w:rPr>
      </w:pPr>
      <w:r w:rsidRPr="00686C1B">
        <w:rPr>
          <w:rFonts w:cs="Arial"/>
          <w:b/>
        </w:rPr>
        <w:t>Equalities Implications</w:t>
      </w:r>
    </w:p>
    <w:p w:rsidR="001F7F51" w:rsidRPr="00686C1B" w:rsidRDefault="00FF07FC" w:rsidP="00C24D08">
      <w:pPr>
        <w:pStyle w:val="ListParagraph"/>
        <w:widowControl w:val="0"/>
        <w:numPr>
          <w:ilvl w:val="0"/>
          <w:numId w:val="2"/>
        </w:numPr>
        <w:autoSpaceDE w:val="0"/>
        <w:autoSpaceDN w:val="0"/>
        <w:adjustRightInd w:val="0"/>
        <w:spacing w:before="120" w:after="120"/>
        <w:rPr>
          <w:rFonts w:cs="Arial"/>
          <w:b/>
        </w:rPr>
      </w:pPr>
      <w:r w:rsidRPr="00686C1B">
        <w:rPr>
          <w:rFonts w:cs="Arial"/>
          <w:bCs/>
        </w:rPr>
        <w:t xml:space="preserve">There are no equalities implications for London Councils </w:t>
      </w:r>
      <w:r w:rsidRPr="00686C1B">
        <w:rPr>
          <w:rFonts w:cs="Arial"/>
        </w:rPr>
        <w:t xml:space="preserve">arising from this report. </w:t>
      </w:r>
    </w:p>
    <w:p w:rsidR="001F7F51" w:rsidRPr="00686C1B" w:rsidRDefault="001F7F51" w:rsidP="001F7F51">
      <w:pPr>
        <w:widowControl w:val="0"/>
        <w:autoSpaceDE w:val="0"/>
        <w:autoSpaceDN w:val="0"/>
        <w:adjustRightInd w:val="0"/>
        <w:spacing w:before="120" w:after="120"/>
        <w:rPr>
          <w:rFonts w:cs="Arial"/>
        </w:rPr>
      </w:pPr>
    </w:p>
    <w:p w:rsidR="001F7F51" w:rsidRPr="00686C1B" w:rsidRDefault="001F7F51" w:rsidP="001F7F51">
      <w:r w:rsidRPr="00686C1B">
        <w:rPr>
          <w:b/>
        </w:rPr>
        <w:t>Appendix A</w:t>
      </w:r>
      <w:r w:rsidRPr="00686C1B">
        <w:t xml:space="preserve"> – Levy Business Case for London within the Thames Catchment</w:t>
      </w:r>
    </w:p>
    <w:p w:rsidR="001F7F51" w:rsidRPr="00686C1B" w:rsidRDefault="001F7F51" w:rsidP="001F7F51">
      <w:r w:rsidRPr="00686C1B">
        <w:t xml:space="preserve"> </w:t>
      </w:r>
    </w:p>
    <w:p w:rsidR="00FF07FC" w:rsidRPr="001F7F51" w:rsidRDefault="001F7F51" w:rsidP="001F7F51">
      <w:pPr>
        <w:rPr>
          <w:rFonts w:cs="Arial"/>
          <w:b/>
        </w:rPr>
      </w:pPr>
      <w:r w:rsidRPr="00686C1B">
        <w:rPr>
          <w:b/>
        </w:rPr>
        <w:t>Appendix B</w:t>
      </w:r>
      <w:r w:rsidR="009D50F4" w:rsidRPr="00686C1B">
        <w:t xml:space="preserve"> – 201</w:t>
      </w:r>
      <w:r w:rsidR="00AE6B75" w:rsidRPr="00686C1B">
        <w:t>6/</w:t>
      </w:r>
      <w:r w:rsidR="00112EB7" w:rsidRPr="00686C1B">
        <w:t>1</w:t>
      </w:r>
      <w:r w:rsidR="00DC579E" w:rsidRPr="00686C1B">
        <w:t>7</w:t>
      </w:r>
      <w:r w:rsidRPr="00686C1B">
        <w:t xml:space="preserve"> Capital Programme Project List</w:t>
      </w:r>
    </w:p>
    <w:sectPr w:rsidR="00FF07FC" w:rsidRPr="001F7F51" w:rsidSect="008E6FED">
      <w:footerReference w:type="default" r:id="rId10"/>
      <w:pgSz w:w="11907" w:h="16840" w:code="9"/>
      <w:pgMar w:top="1560" w:right="1440" w:bottom="720" w:left="1440" w:header="709" w:footer="7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B7" w:rsidRDefault="00DF30B7">
      <w:r>
        <w:separator/>
      </w:r>
    </w:p>
  </w:endnote>
  <w:endnote w:type="continuationSeparator" w:id="0">
    <w:p w:rsidR="00DF30B7" w:rsidRDefault="00DF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altName w:val="Courier"/>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B7" w:rsidRDefault="00DF30B7" w:rsidP="001E4156">
    <w:pPr>
      <w:pStyle w:val="Footer"/>
      <w:ind w:left="-993" w:right="-710"/>
      <w:rPr>
        <w:b/>
        <w:sz w:val="16"/>
        <w:szCs w:val="16"/>
      </w:rPr>
    </w:pPr>
  </w:p>
  <w:p w:rsidR="00DF30B7" w:rsidRDefault="00DF30B7" w:rsidP="00962085">
    <w:pPr>
      <w:pStyle w:val="Footer"/>
      <w:ind w:left="-993" w:right="-710"/>
      <w:rPr>
        <w:b/>
        <w:sz w:val="16"/>
        <w:szCs w:val="16"/>
      </w:rPr>
    </w:pPr>
    <w:r>
      <w:rPr>
        <w:b/>
        <w:sz w:val="16"/>
        <w:szCs w:val="16"/>
      </w:rPr>
      <w:t xml:space="preserve">Flooding Investment in London </w:t>
    </w:r>
    <w:r>
      <w:rPr>
        <w:b/>
        <w:sz w:val="16"/>
        <w:szCs w:val="16"/>
      </w:rPr>
      <w:tab/>
    </w:r>
    <w:r>
      <w:rPr>
        <w:b/>
        <w:sz w:val="16"/>
        <w:szCs w:val="16"/>
      </w:rPr>
      <w:tab/>
    </w:r>
    <w:r w:rsidRPr="0015192F">
      <w:rPr>
        <w:b/>
        <w:sz w:val="16"/>
        <w:szCs w:val="16"/>
      </w:rPr>
      <w:t>London Councils</w:t>
    </w:r>
    <w:r>
      <w:rPr>
        <w:b/>
        <w:sz w:val="16"/>
        <w:szCs w:val="16"/>
      </w:rPr>
      <w:t xml:space="preserve">’ TEC – 13 October 2016 </w:t>
    </w:r>
  </w:p>
  <w:p w:rsidR="00DF30B7" w:rsidRPr="0015192F" w:rsidRDefault="00DF30B7" w:rsidP="00962085">
    <w:pPr>
      <w:pStyle w:val="Footer"/>
      <w:ind w:left="-993" w:right="-710"/>
      <w:jc w:val="center"/>
      <w:rPr>
        <w:b/>
        <w:sz w:val="16"/>
        <w:szCs w:val="16"/>
      </w:rPr>
    </w:pPr>
    <w:r w:rsidRPr="00BE122F">
      <w:rPr>
        <w:b/>
        <w:sz w:val="16"/>
        <w:szCs w:val="16"/>
      </w:rPr>
      <w:t xml:space="preserve">Item </w:t>
    </w:r>
    <w:r w:rsidR="00BE122F">
      <w:rPr>
        <w:b/>
        <w:sz w:val="16"/>
        <w:szCs w:val="16"/>
      </w:rPr>
      <w:t>6</w:t>
    </w:r>
    <w:r w:rsidRPr="00BE122F">
      <w:rPr>
        <w:b/>
        <w:sz w:val="16"/>
        <w:szCs w:val="16"/>
      </w:rPr>
      <w:t xml:space="preserve">, Page </w:t>
    </w:r>
    <w:r w:rsidRPr="00BE122F">
      <w:rPr>
        <w:rStyle w:val="PageNumber"/>
        <w:b/>
        <w:sz w:val="16"/>
        <w:szCs w:val="16"/>
      </w:rPr>
      <w:fldChar w:fldCharType="begin"/>
    </w:r>
    <w:r w:rsidRPr="00BE122F">
      <w:rPr>
        <w:rStyle w:val="PageNumber"/>
        <w:b/>
        <w:sz w:val="16"/>
        <w:szCs w:val="16"/>
      </w:rPr>
      <w:instrText xml:space="preserve"> PAGE </w:instrText>
    </w:r>
    <w:r w:rsidRPr="00BE122F">
      <w:rPr>
        <w:rStyle w:val="PageNumber"/>
        <w:b/>
        <w:sz w:val="16"/>
        <w:szCs w:val="16"/>
      </w:rPr>
      <w:fldChar w:fldCharType="separate"/>
    </w:r>
    <w:r w:rsidR="00F15A1D">
      <w:rPr>
        <w:rStyle w:val="PageNumber"/>
        <w:b/>
        <w:noProof/>
        <w:sz w:val="16"/>
        <w:szCs w:val="16"/>
      </w:rPr>
      <w:t>6</w:t>
    </w:r>
    <w:r w:rsidRPr="00BE122F">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B7" w:rsidRDefault="00DF30B7">
      <w:r>
        <w:separator/>
      </w:r>
    </w:p>
  </w:footnote>
  <w:footnote w:type="continuationSeparator" w:id="0">
    <w:p w:rsidR="00DF30B7" w:rsidRDefault="00DF3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3CAE6F4"/>
    <w:name w:val="WWNum21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980" w:hanging="360"/>
      </w:pPr>
      <w:rPr>
        <w:rFonts w:ascii="Symbol" w:hAnsi="Symbol"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27081B7B"/>
    <w:multiLevelType w:val="hybridMultilevel"/>
    <w:tmpl w:val="72E42AB6"/>
    <w:lvl w:ilvl="0" w:tplc="F7DEA6DE">
      <w:start w:val="1"/>
      <w:numFmt w:val="decimal"/>
      <w:lvlText w:val="%1."/>
      <w:lvlJc w:val="left"/>
      <w:pPr>
        <w:ind w:left="360" w:hanging="360"/>
      </w:pPr>
      <w:rPr>
        <w:b w:val="0"/>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6C6"/>
    <w:rsid w:val="00011CBC"/>
    <w:rsid w:val="00014D97"/>
    <w:rsid w:val="00017B85"/>
    <w:rsid w:val="00020B09"/>
    <w:rsid w:val="000224BC"/>
    <w:rsid w:val="000228A6"/>
    <w:rsid w:val="000237F6"/>
    <w:rsid w:val="00032224"/>
    <w:rsid w:val="00033346"/>
    <w:rsid w:val="00035AEE"/>
    <w:rsid w:val="00035F21"/>
    <w:rsid w:val="00036934"/>
    <w:rsid w:val="00036AC4"/>
    <w:rsid w:val="00037722"/>
    <w:rsid w:val="00040584"/>
    <w:rsid w:val="000423C0"/>
    <w:rsid w:val="00042FF3"/>
    <w:rsid w:val="0004353D"/>
    <w:rsid w:val="000442CD"/>
    <w:rsid w:val="0004601F"/>
    <w:rsid w:val="000467F8"/>
    <w:rsid w:val="00047EF6"/>
    <w:rsid w:val="00050594"/>
    <w:rsid w:val="00050CE1"/>
    <w:rsid w:val="00052AAF"/>
    <w:rsid w:val="00053CD7"/>
    <w:rsid w:val="00055F0A"/>
    <w:rsid w:val="00057F1A"/>
    <w:rsid w:val="0006081A"/>
    <w:rsid w:val="00060BFA"/>
    <w:rsid w:val="000610DD"/>
    <w:rsid w:val="000627BF"/>
    <w:rsid w:val="000703D0"/>
    <w:rsid w:val="000757EE"/>
    <w:rsid w:val="0007702D"/>
    <w:rsid w:val="000771EF"/>
    <w:rsid w:val="000778C2"/>
    <w:rsid w:val="00083582"/>
    <w:rsid w:val="00083EFC"/>
    <w:rsid w:val="00084D85"/>
    <w:rsid w:val="00085946"/>
    <w:rsid w:val="0009021E"/>
    <w:rsid w:val="00091A1A"/>
    <w:rsid w:val="00093256"/>
    <w:rsid w:val="000938FC"/>
    <w:rsid w:val="00096937"/>
    <w:rsid w:val="00097AAF"/>
    <w:rsid w:val="000A033F"/>
    <w:rsid w:val="000A2A01"/>
    <w:rsid w:val="000A2FDF"/>
    <w:rsid w:val="000A3EA6"/>
    <w:rsid w:val="000A4B09"/>
    <w:rsid w:val="000A569C"/>
    <w:rsid w:val="000A6B4E"/>
    <w:rsid w:val="000A756D"/>
    <w:rsid w:val="000A7CC3"/>
    <w:rsid w:val="000A7E09"/>
    <w:rsid w:val="000B0BD6"/>
    <w:rsid w:val="000B21A4"/>
    <w:rsid w:val="000B2C52"/>
    <w:rsid w:val="000C02CF"/>
    <w:rsid w:val="000C04A8"/>
    <w:rsid w:val="000C0C39"/>
    <w:rsid w:val="000C2026"/>
    <w:rsid w:val="000C3395"/>
    <w:rsid w:val="000C5CF8"/>
    <w:rsid w:val="000C5F05"/>
    <w:rsid w:val="000C66B6"/>
    <w:rsid w:val="000D2FD9"/>
    <w:rsid w:val="000D4177"/>
    <w:rsid w:val="000D4F52"/>
    <w:rsid w:val="000D56AA"/>
    <w:rsid w:val="000D61EB"/>
    <w:rsid w:val="000D7887"/>
    <w:rsid w:val="000E08AE"/>
    <w:rsid w:val="000E08E9"/>
    <w:rsid w:val="000E2127"/>
    <w:rsid w:val="000E2AD5"/>
    <w:rsid w:val="000E391C"/>
    <w:rsid w:val="000E3A8F"/>
    <w:rsid w:val="000E3FA0"/>
    <w:rsid w:val="000E4251"/>
    <w:rsid w:val="000F11AE"/>
    <w:rsid w:val="000F1673"/>
    <w:rsid w:val="000F2CE7"/>
    <w:rsid w:val="00101C1E"/>
    <w:rsid w:val="001026AC"/>
    <w:rsid w:val="0010334F"/>
    <w:rsid w:val="001055EE"/>
    <w:rsid w:val="0010693B"/>
    <w:rsid w:val="0011199F"/>
    <w:rsid w:val="00112769"/>
    <w:rsid w:val="00112EB7"/>
    <w:rsid w:val="0011339E"/>
    <w:rsid w:val="00113714"/>
    <w:rsid w:val="00115753"/>
    <w:rsid w:val="0011629C"/>
    <w:rsid w:val="0011695F"/>
    <w:rsid w:val="00117D67"/>
    <w:rsid w:val="00120113"/>
    <w:rsid w:val="001205F7"/>
    <w:rsid w:val="00124CD4"/>
    <w:rsid w:val="00127AAA"/>
    <w:rsid w:val="0013190B"/>
    <w:rsid w:val="0013264C"/>
    <w:rsid w:val="00133056"/>
    <w:rsid w:val="00133B2A"/>
    <w:rsid w:val="00133E08"/>
    <w:rsid w:val="0013426C"/>
    <w:rsid w:val="00135ECE"/>
    <w:rsid w:val="001363A4"/>
    <w:rsid w:val="00136E86"/>
    <w:rsid w:val="00137F59"/>
    <w:rsid w:val="00143CAE"/>
    <w:rsid w:val="0014549C"/>
    <w:rsid w:val="00146CF4"/>
    <w:rsid w:val="00146E2E"/>
    <w:rsid w:val="001475D2"/>
    <w:rsid w:val="0014776D"/>
    <w:rsid w:val="0015192F"/>
    <w:rsid w:val="00152A85"/>
    <w:rsid w:val="00152FF5"/>
    <w:rsid w:val="001532BF"/>
    <w:rsid w:val="00153671"/>
    <w:rsid w:val="001546AF"/>
    <w:rsid w:val="00154F4C"/>
    <w:rsid w:val="001556FE"/>
    <w:rsid w:val="00157E7F"/>
    <w:rsid w:val="00163BC2"/>
    <w:rsid w:val="001645FB"/>
    <w:rsid w:val="00165297"/>
    <w:rsid w:val="001654AC"/>
    <w:rsid w:val="001659DC"/>
    <w:rsid w:val="00165E4E"/>
    <w:rsid w:val="00165EB2"/>
    <w:rsid w:val="00166FAA"/>
    <w:rsid w:val="00170670"/>
    <w:rsid w:val="00172125"/>
    <w:rsid w:val="00173566"/>
    <w:rsid w:val="00175D10"/>
    <w:rsid w:val="00176ED7"/>
    <w:rsid w:val="00181E0C"/>
    <w:rsid w:val="001825CA"/>
    <w:rsid w:val="00183146"/>
    <w:rsid w:val="0018481C"/>
    <w:rsid w:val="00185207"/>
    <w:rsid w:val="001857E0"/>
    <w:rsid w:val="00186C4D"/>
    <w:rsid w:val="00187064"/>
    <w:rsid w:val="001874A8"/>
    <w:rsid w:val="00191E12"/>
    <w:rsid w:val="00192FF2"/>
    <w:rsid w:val="001943FA"/>
    <w:rsid w:val="00194897"/>
    <w:rsid w:val="00194DE8"/>
    <w:rsid w:val="00194E78"/>
    <w:rsid w:val="001955E3"/>
    <w:rsid w:val="0019602D"/>
    <w:rsid w:val="00196759"/>
    <w:rsid w:val="001970B2"/>
    <w:rsid w:val="0019730D"/>
    <w:rsid w:val="00197724"/>
    <w:rsid w:val="001A0256"/>
    <w:rsid w:val="001A08EC"/>
    <w:rsid w:val="001A2D00"/>
    <w:rsid w:val="001A3111"/>
    <w:rsid w:val="001A3579"/>
    <w:rsid w:val="001A4612"/>
    <w:rsid w:val="001A68BB"/>
    <w:rsid w:val="001B05A2"/>
    <w:rsid w:val="001B0C4B"/>
    <w:rsid w:val="001B1CAB"/>
    <w:rsid w:val="001B2A88"/>
    <w:rsid w:val="001B418A"/>
    <w:rsid w:val="001B4773"/>
    <w:rsid w:val="001B5A22"/>
    <w:rsid w:val="001B678C"/>
    <w:rsid w:val="001B7BD4"/>
    <w:rsid w:val="001C18FF"/>
    <w:rsid w:val="001C1CEF"/>
    <w:rsid w:val="001C1DA8"/>
    <w:rsid w:val="001C1EBF"/>
    <w:rsid w:val="001C51A8"/>
    <w:rsid w:val="001C57CD"/>
    <w:rsid w:val="001C580F"/>
    <w:rsid w:val="001C5EFD"/>
    <w:rsid w:val="001C609E"/>
    <w:rsid w:val="001D018A"/>
    <w:rsid w:val="001D1090"/>
    <w:rsid w:val="001D201D"/>
    <w:rsid w:val="001D25C8"/>
    <w:rsid w:val="001D2925"/>
    <w:rsid w:val="001D3637"/>
    <w:rsid w:val="001D6EDC"/>
    <w:rsid w:val="001E0265"/>
    <w:rsid w:val="001E046E"/>
    <w:rsid w:val="001E063E"/>
    <w:rsid w:val="001E0B9A"/>
    <w:rsid w:val="001E1867"/>
    <w:rsid w:val="001E1F09"/>
    <w:rsid w:val="001E2DBE"/>
    <w:rsid w:val="001E401D"/>
    <w:rsid w:val="001E4156"/>
    <w:rsid w:val="001E4800"/>
    <w:rsid w:val="001E58BC"/>
    <w:rsid w:val="001E620E"/>
    <w:rsid w:val="001E625E"/>
    <w:rsid w:val="001E6E9A"/>
    <w:rsid w:val="001F00EB"/>
    <w:rsid w:val="001F0140"/>
    <w:rsid w:val="001F0223"/>
    <w:rsid w:val="001F13F5"/>
    <w:rsid w:val="001F1A15"/>
    <w:rsid w:val="001F2E43"/>
    <w:rsid w:val="001F42A7"/>
    <w:rsid w:val="001F4B14"/>
    <w:rsid w:val="001F5890"/>
    <w:rsid w:val="001F66D2"/>
    <w:rsid w:val="001F704A"/>
    <w:rsid w:val="001F7F51"/>
    <w:rsid w:val="00200DF1"/>
    <w:rsid w:val="00200E7B"/>
    <w:rsid w:val="0020104A"/>
    <w:rsid w:val="00201C59"/>
    <w:rsid w:val="00203370"/>
    <w:rsid w:val="00205A70"/>
    <w:rsid w:val="00205BFF"/>
    <w:rsid w:val="002060E3"/>
    <w:rsid w:val="00206B61"/>
    <w:rsid w:val="00207188"/>
    <w:rsid w:val="00212449"/>
    <w:rsid w:val="00212D81"/>
    <w:rsid w:val="00214EB3"/>
    <w:rsid w:val="0021595F"/>
    <w:rsid w:val="00215C8E"/>
    <w:rsid w:val="00221710"/>
    <w:rsid w:val="002218C6"/>
    <w:rsid w:val="00222A55"/>
    <w:rsid w:val="00223473"/>
    <w:rsid w:val="00223564"/>
    <w:rsid w:val="0022373F"/>
    <w:rsid w:val="002238E4"/>
    <w:rsid w:val="002246BC"/>
    <w:rsid w:val="002263FA"/>
    <w:rsid w:val="0022646E"/>
    <w:rsid w:val="0023057A"/>
    <w:rsid w:val="00231620"/>
    <w:rsid w:val="00234268"/>
    <w:rsid w:val="00237AE6"/>
    <w:rsid w:val="002422EC"/>
    <w:rsid w:val="00243127"/>
    <w:rsid w:val="00243D53"/>
    <w:rsid w:val="0024523A"/>
    <w:rsid w:val="002460BC"/>
    <w:rsid w:val="0024760A"/>
    <w:rsid w:val="002476F1"/>
    <w:rsid w:val="00250B8D"/>
    <w:rsid w:val="0025158C"/>
    <w:rsid w:val="00251934"/>
    <w:rsid w:val="002547E3"/>
    <w:rsid w:val="0025503D"/>
    <w:rsid w:val="00255360"/>
    <w:rsid w:val="00255BCC"/>
    <w:rsid w:val="002564B0"/>
    <w:rsid w:val="002607D3"/>
    <w:rsid w:val="002613DB"/>
    <w:rsid w:val="00261DBD"/>
    <w:rsid w:val="00262491"/>
    <w:rsid w:val="0026321A"/>
    <w:rsid w:val="002634BC"/>
    <w:rsid w:val="00264D9C"/>
    <w:rsid w:val="0026685E"/>
    <w:rsid w:val="00267465"/>
    <w:rsid w:val="00270A8A"/>
    <w:rsid w:val="00271CD1"/>
    <w:rsid w:val="00272434"/>
    <w:rsid w:val="00273747"/>
    <w:rsid w:val="002744FA"/>
    <w:rsid w:val="002753C8"/>
    <w:rsid w:val="00275648"/>
    <w:rsid w:val="0027605A"/>
    <w:rsid w:val="0027692E"/>
    <w:rsid w:val="002800AA"/>
    <w:rsid w:val="00284C21"/>
    <w:rsid w:val="0028644C"/>
    <w:rsid w:val="002903E8"/>
    <w:rsid w:val="0029213A"/>
    <w:rsid w:val="00295446"/>
    <w:rsid w:val="00295A51"/>
    <w:rsid w:val="002960C6"/>
    <w:rsid w:val="00296DD7"/>
    <w:rsid w:val="0029715A"/>
    <w:rsid w:val="002A1900"/>
    <w:rsid w:val="002A1B2E"/>
    <w:rsid w:val="002A24FE"/>
    <w:rsid w:val="002A2FAA"/>
    <w:rsid w:val="002A3198"/>
    <w:rsid w:val="002A4B23"/>
    <w:rsid w:val="002A5C20"/>
    <w:rsid w:val="002B0CEE"/>
    <w:rsid w:val="002B31BE"/>
    <w:rsid w:val="002B46A1"/>
    <w:rsid w:val="002B6A60"/>
    <w:rsid w:val="002B6BF7"/>
    <w:rsid w:val="002B6E1D"/>
    <w:rsid w:val="002C07E6"/>
    <w:rsid w:val="002C2F3B"/>
    <w:rsid w:val="002C31AF"/>
    <w:rsid w:val="002C322E"/>
    <w:rsid w:val="002C40B5"/>
    <w:rsid w:val="002C4615"/>
    <w:rsid w:val="002C63B4"/>
    <w:rsid w:val="002C717E"/>
    <w:rsid w:val="002C766D"/>
    <w:rsid w:val="002D02EB"/>
    <w:rsid w:val="002D202C"/>
    <w:rsid w:val="002D218D"/>
    <w:rsid w:val="002D370E"/>
    <w:rsid w:val="002D40B3"/>
    <w:rsid w:val="002D494F"/>
    <w:rsid w:val="002D4E5C"/>
    <w:rsid w:val="002D55D3"/>
    <w:rsid w:val="002D5CF9"/>
    <w:rsid w:val="002D614A"/>
    <w:rsid w:val="002D688A"/>
    <w:rsid w:val="002E00FE"/>
    <w:rsid w:val="002E032A"/>
    <w:rsid w:val="002E0A88"/>
    <w:rsid w:val="002E14F8"/>
    <w:rsid w:val="002E26F6"/>
    <w:rsid w:val="002E2B5A"/>
    <w:rsid w:val="002E3826"/>
    <w:rsid w:val="002E6092"/>
    <w:rsid w:val="002F1CFA"/>
    <w:rsid w:val="002F1FD5"/>
    <w:rsid w:val="002F387E"/>
    <w:rsid w:val="002F3C43"/>
    <w:rsid w:val="002F58E3"/>
    <w:rsid w:val="002F6F5E"/>
    <w:rsid w:val="00300B42"/>
    <w:rsid w:val="00302172"/>
    <w:rsid w:val="00302465"/>
    <w:rsid w:val="0030368E"/>
    <w:rsid w:val="00304C5A"/>
    <w:rsid w:val="00305286"/>
    <w:rsid w:val="0030619B"/>
    <w:rsid w:val="0030629E"/>
    <w:rsid w:val="003073EE"/>
    <w:rsid w:val="0031030D"/>
    <w:rsid w:val="00310F3E"/>
    <w:rsid w:val="003130C7"/>
    <w:rsid w:val="0031565E"/>
    <w:rsid w:val="0031633C"/>
    <w:rsid w:val="00320901"/>
    <w:rsid w:val="00321D45"/>
    <w:rsid w:val="00324E4C"/>
    <w:rsid w:val="00324F84"/>
    <w:rsid w:val="00327E61"/>
    <w:rsid w:val="00327EBF"/>
    <w:rsid w:val="00330B4C"/>
    <w:rsid w:val="003317F5"/>
    <w:rsid w:val="00333658"/>
    <w:rsid w:val="00333850"/>
    <w:rsid w:val="00333FDD"/>
    <w:rsid w:val="00336245"/>
    <w:rsid w:val="003379BB"/>
    <w:rsid w:val="0034331F"/>
    <w:rsid w:val="00346CE4"/>
    <w:rsid w:val="00346EB2"/>
    <w:rsid w:val="00347F2E"/>
    <w:rsid w:val="00351019"/>
    <w:rsid w:val="00352939"/>
    <w:rsid w:val="00353AE8"/>
    <w:rsid w:val="0035432A"/>
    <w:rsid w:val="0035583F"/>
    <w:rsid w:val="00355FD5"/>
    <w:rsid w:val="00361B96"/>
    <w:rsid w:val="00362DD8"/>
    <w:rsid w:val="0036502E"/>
    <w:rsid w:val="0036649B"/>
    <w:rsid w:val="00366613"/>
    <w:rsid w:val="003673BF"/>
    <w:rsid w:val="003674AE"/>
    <w:rsid w:val="003709AF"/>
    <w:rsid w:val="00370AC2"/>
    <w:rsid w:val="0037121D"/>
    <w:rsid w:val="00371FED"/>
    <w:rsid w:val="0037280D"/>
    <w:rsid w:val="00372A09"/>
    <w:rsid w:val="00373AE1"/>
    <w:rsid w:val="0037428E"/>
    <w:rsid w:val="00374E7C"/>
    <w:rsid w:val="003756E2"/>
    <w:rsid w:val="00376EE1"/>
    <w:rsid w:val="00377E3F"/>
    <w:rsid w:val="00384296"/>
    <w:rsid w:val="00384883"/>
    <w:rsid w:val="0038521C"/>
    <w:rsid w:val="00385D0F"/>
    <w:rsid w:val="00387442"/>
    <w:rsid w:val="00391B61"/>
    <w:rsid w:val="00391D18"/>
    <w:rsid w:val="0039218E"/>
    <w:rsid w:val="00394A9F"/>
    <w:rsid w:val="00395A22"/>
    <w:rsid w:val="003A0938"/>
    <w:rsid w:val="003A291B"/>
    <w:rsid w:val="003A4BAA"/>
    <w:rsid w:val="003A657B"/>
    <w:rsid w:val="003A692F"/>
    <w:rsid w:val="003A69A0"/>
    <w:rsid w:val="003A7DBB"/>
    <w:rsid w:val="003B0DD6"/>
    <w:rsid w:val="003B2214"/>
    <w:rsid w:val="003B5158"/>
    <w:rsid w:val="003B5817"/>
    <w:rsid w:val="003B5847"/>
    <w:rsid w:val="003B63B4"/>
    <w:rsid w:val="003B6E7C"/>
    <w:rsid w:val="003C0532"/>
    <w:rsid w:val="003C2441"/>
    <w:rsid w:val="003C2870"/>
    <w:rsid w:val="003C2B35"/>
    <w:rsid w:val="003C40F2"/>
    <w:rsid w:val="003C44EF"/>
    <w:rsid w:val="003C58BF"/>
    <w:rsid w:val="003D248E"/>
    <w:rsid w:val="003D38F1"/>
    <w:rsid w:val="003D3A26"/>
    <w:rsid w:val="003D5515"/>
    <w:rsid w:val="003D581B"/>
    <w:rsid w:val="003D67C7"/>
    <w:rsid w:val="003D7A27"/>
    <w:rsid w:val="003E0A04"/>
    <w:rsid w:val="003E0D44"/>
    <w:rsid w:val="003E0FE5"/>
    <w:rsid w:val="003E2CE2"/>
    <w:rsid w:val="003E2F65"/>
    <w:rsid w:val="003E582D"/>
    <w:rsid w:val="003E584D"/>
    <w:rsid w:val="003E66A7"/>
    <w:rsid w:val="003E6FF5"/>
    <w:rsid w:val="003F06C3"/>
    <w:rsid w:val="003F0EE3"/>
    <w:rsid w:val="003F11CD"/>
    <w:rsid w:val="003F1400"/>
    <w:rsid w:val="003F33AF"/>
    <w:rsid w:val="003F61F0"/>
    <w:rsid w:val="003F66B0"/>
    <w:rsid w:val="003F6ED0"/>
    <w:rsid w:val="003F76E5"/>
    <w:rsid w:val="003F7BFE"/>
    <w:rsid w:val="00400065"/>
    <w:rsid w:val="00400F22"/>
    <w:rsid w:val="00401C73"/>
    <w:rsid w:val="00402B1E"/>
    <w:rsid w:val="00403E7E"/>
    <w:rsid w:val="004046EA"/>
    <w:rsid w:val="00407B91"/>
    <w:rsid w:val="0041079B"/>
    <w:rsid w:val="00411E74"/>
    <w:rsid w:val="00413F5C"/>
    <w:rsid w:val="004142B2"/>
    <w:rsid w:val="00416C19"/>
    <w:rsid w:val="00416DBB"/>
    <w:rsid w:val="004178B0"/>
    <w:rsid w:val="00417A28"/>
    <w:rsid w:val="00420066"/>
    <w:rsid w:val="00422177"/>
    <w:rsid w:val="00422809"/>
    <w:rsid w:val="00422BB1"/>
    <w:rsid w:val="0042397D"/>
    <w:rsid w:val="00423A5C"/>
    <w:rsid w:val="00423ADE"/>
    <w:rsid w:val="00424F91"/>
    <w:rsid w:val="004264C2"/>
    <w:rsid w:val="0042690E"/>
    <w:rsid w:val="004270EA"/>
    <w:rsid w:val="0043067B"/>
    <w:rsid w:val="0043069D"/>
    <w:rsid w:val="00433B67"/>
    <w:rsid w:val="00434952"/>
    <w:rsid w:val="00435F8E"/>
    <w:rsid w:val="004370D3"/>
    <w:rsid w:val="004423A5"/>
    <w:rsid w:val="004437ED"/>
    <w:rsid w:val="00444552"/>
    <w:rsid w:val="00445D14"/>
    <w:rsid w:val="004461FF"/>
    <w:rsid w:val="00452E4C"/>
    <w:rsid w:val="00454218"/>
    <w:rsid w:val="00455665"/>
    <w:rsid w:val="00456BC0"/>
    <w:rsid w:val="0046028C"/>
    <w:rsid w:val="00460B89"/>
    <w:rsid w:val="0046330E"/>
    <w:rsid w:val="004636A2"/>
    <w:rsid w:val="00464E2C"/>
    <w:rsid w:val="004656E2"/>
    <w:rsid w:val="00465E71"/>
    <w:rsid w:val="00466BA0"/>
    <w:rsid w:val="00466CA5"/>
    <w:rsid w:val="004677FC"/>
    <w:rsid w:val="004728B2"/>
    <w:rsid w:val="00473283"/>
    <w:rsid w:val="00480559"/>
    <w:rsid w:val="00482BD5"/>
    <w:rsid w:val="00483FE2"/>
    <w:rsid w:val="00487A93"/>
    <w:rsid w:val="00491AA6"/>
    <w:rsid w:val="00491D6F"/>
    <w:rsid w:val="0049392A"/>
    <w:rsid w:val="00493FC5"/>
    <w:rsid w:val="0049550E"/>
    <w:rsid w:val="004955C1"/>
    <w:rsid w:val="004A09D5"/>
    <w:rsid w:val="004A1BEC"/>
    <w:rsid w:val="004A364F"/>
    <w:rsid w:val="004A46E2"/>
    <w:rsid w:val="004A4BE8"/>
    <w:rsid w:val="004A4F4C"/>
    <w:rsid w:val="004B01AF"/>
    <w:rsid w:val="004B0AC3"/>
    <w:rsid w:val="004B1905"/>
    <w:rsid w:val="004B33D1"/>
    <w:rsid w:val="004B42D1"/>
    <w:rsid w:val="004C0C3C"/>
    <w:rsid w:val="004C0E65"/>
    <w:rsid w:val="004C3150"/>
    <w:rsid w:val="004C37FB"/>
    <w:rsid w:val="004C4FD8"/>
    <w:rsid w:val="004C6757"/>
    <w:rsid w:val="004C77F8"/>
    <w:rsid w:val="004C7A25"/>
    <w:rsid w:val="004D0EF2"/>
    <w:rsid w:val="004D274D"/>
    <w:rsid w:val="004D2F8F"/>
    <w:rsid w:val="004D3BF9"/>
    <w:rsid w:val="004D4252"/>
    <w:rsid w:val="004D487A"/>
    <w:rsid w:val="004D5A5B"/>
    <w:rsid w:val="004D68F3"/>
    <w:rsid w:val="004D6CF6"/>
    <w:rsid w:val="004D78DA"/>
    <w:rsid w:val="004E0DAE"/>
    <w:rsid w:val="004E0F53"/>
    <w:rsid w:val="004E2C68"/>
    <w:rsid w:val="004E409D"/>
    <w:rsid w:val="004E466C"/>
    <w:rsid w:val="004E4A5C"/>
    <w:rsid w:val="004E5E3C"/>
    <w:rsid w:val="004F07A5"/>
    <w:rsid w:val="004F3D26"/>
    <w:rsid w:val="004F4380"/>
    <w:rsid w:val="004F4DF0"/>
    <w:rsid w:val="004F4FC7"/>
    <w:rsid w:val="004F5ACC"/>
    <w:rsid w:val="004F6B0E"/>
    <w:rsid w:val="005030CE"/>
    <w:rsid w:val="00503B60"/>
    <w:rsid w:val="00504597"/>
    <w:rsid w:val="00504D8B"/>
    <w:rsid w:val="00506CB0"/>
    <w:rsid w:val="00506F90"/>
    <w:rsid w:val="0051042E"/>
    <w:rsid w:val="005118C9"/>
    <w:rsid w:val="005139DE"/>
    <w:rsid w:val="0051545F"/>
    <w:rsid w:val="00515DD2"/>
    <w:rsid w:val="0052063A"/>
    <w:rsid w:val="005244A8"/>
    <w:rsid w:val="00525817"/>
    <w:rsid w:val="00526821"/>
    <w:rsid w:val="00526DF6"/>
    <w:rsid w:val="00527057"/>
    <w:rsid w:val="005275E2"/>
    <w:rsid w:val="0053299D"/>
    <w:rsid w:val="00533849"/>
    <w:rsid w:val="0053557F"/>
    <w:rsid w:val="00536625"/>
    <w:rsid w:val="00536A9D"/>
    <w:rsid w:val="00536FBE"/>
    <w:rsid w:val="00541C2A"/>
    <w:rsid w:val="00541D4B"/>
    <w:rsid w:val="00543717"/>
    <w:rsid w:val="00543A3B"/>
    <w:rsid w:val="00543F7A"/>
    <w:rsid w:val="00545BD2"/>
    <w:rsid w:val="00545E7C"/>
    <w:rsid w:val="00547B47"/>
    <w:rsid w:val="00547D0E"/>
    <w:rsid w:val="00550AAA"/>
    <w:rsid w:val="00552C3B"/>
    <w:rsid w:val="005543AE"/>
    <w:rsid w:val="0055532C"/>
    <w:rsid w:val="00555464"/>
    <w:rsid w:val="00555832"/>
    <w:rsid w:val="00555899"/>
    <w:rsid w:val="005558C0"/>
    <w:rsid w:val="00555A99"/>
    <w:rsid w:val="00557252"/>
    <w:rsid w:val="005610BF"/>
    <w:rsid w:val="0056361D"/>
    <w:rsid w:val="00563979"/>
    <w:rsid w:val="0056489C"/>
    <w:rsid w:val="00564AA2"/>
    <w:rsid w:val="00565AC6"/>
    <w:rsid w:val="005713D7"/>
    <w:rsid w:val="00572CE5"/>
    <w:rsid w:val="00574B15"/>
    <w:rsid w:val="00575FC7"/>
    <w:rsid w:val="005777B1"/>
    <w:rsid w:val="005801AE"/>
    <w:rsid w:val="00581F6C"/>
    <w:rsid w:val="00582251"/>
    <w:rsid w:val="005832D6"/>
    <w:rsid w:val="00583979"/>
    <w:rsid w:val="00584CBE"/>
    <w:rsid w:val="0058572D"/>
    <w:rsid w:val="00587E7C"/>
    <w:rsid w:val="0059234F"/>
    <w:rsid w:val="00593129"/>
    <w:rsid w:val="0059322F"/>
    <w:rsid w:val="005946CD"/>
    <w:rsid w:val="00596B80"/>
    <w:rsid w:val="005970E5"/>
    <w:rsid w:val="005A1228"/>
    <w:rsid w:val="005A20D6"/>
    <w:rsid w:val="005A43BD"/>
    <w:rsid w:val="005A52B7"/>
    <w:rsid w:val="005B1039"/>
    <w:rsid w:val="005B109D"/>
    <w:rsid w:val="005B11F9"/>
    <w:rsid w:val="005B12EF"/>
    <w:rsid w:val="005B178B"/>
    <w:rsid w:val="005B1989"/>
    <w:rsid w:val="005B3E89"/>
    <w:rsid w:val="005B5582"/>
    <w:rsid w:val="005B66C6"/>
    <w:rsid w:val="005B70C8"/>
    <w:rsid w:val="005B743F"/>
    <w:rsid w:val="005B7680"/>
    <w:rsid w:val="005B79DE"/>
    <w:rsid w:val="005B7E3B"/>
    <w:rsid w:val="005C0ACF"/>
    <w:rsid w:val="005C174F"/>
    <w:rsid w:val="005C1C12"/>
    <w:rsid w:val="005C1F51"/>
    <w:rsid w:val="005C2CE3"/>
    <w:rsid w:val="005C3058"/>
    <w:rsid w:val="005C5488"/>
    <w:rsid w:val="005C555C"/>
    <w:rsid w:val="005D13B3"/>
    <w:rsid w:val="005D1A17"/>
    <w:rsid w:val="005D3260"/>
    <w:rsid w:val="005D418F"/>
    <w:rsid w:val="005D5303"/>
    <w:rsid w:val="005D62E7"/>
    <w:rsid w:val="005D735C"/>
    <w:rsid w:val="005E18A3"/>
    <w:rsid w:val="005E32F0"/>
    <w:rsid w:val="005E3B33"/>
    <w:rsid w:val="005E594B"/>
    <w:rsid w:val="005E5D02"/>
    <w:rsid w:val="005F06A5"/>
    <w:rsid w:val="005F0AF5"/>
    <w:rsid w:val="005F1C20"/>
    <w:rsid w:val="005F1F6C"/>
    <w:rsid w:val="005F2F03"/>
    <w:rsid w:val="005F42DC"/>
    <w:rsid w:val="005F524C"/>
    <w:rsid w:val="005F6C28"/>
    <w:rsid w:val="005F78E4"/>
    <w:rsid w:val="0060015C"/>
    <w:rsid w:val="00601655"/>
    <w:rsid w:val="0060183D"/>
    <w:rsid w:val="0060197A"/>
    <w:rsid w:val="00601F9E"/>
    <w:rsid w:val="00602C48"/>
    <w:rsid w:val="00602CC7"/>
    <w:rsid w:val="00602F7F"/>
    <w:rsid w:val="00612820"/>
    <w:rsid w:val="00612BE1"/>
    <w:rsid w:val="00612C49"/>
    <w:rsid w:val="00613200"/>
    <w:rsid w:val="00615765"/>
    <w:rsid w:val="00616B44"/>
    <w:rsid w:val="00617606"/>
    <w:rsid w:val="0061765F"/>
    <w:rsid w:val="00617B7E"/>
    <w:rsid w:val="006244D6"/>
    <w:rsid w:val="00624D64"/>
    <w:rsid w:val="00630271"/>
    <w:rsid w:val="006304E5"/>
    <w:rsid w:val="00631DAE"/>
    <w:rsid w:val="0063458E"/>
    <w:rsid w:val="00636B97"/>
    <w:rsid w:val="00637FE7"/>
    <w:rsid w:val="00640437"/>
    <w:rsid w:val="006406F6"/>
    <w:rsid w:val="00641B64"/>
    <w:rsid w:val="006431E9"/>
    <w:rsid w:val="006436C0"/>
    <w:rsid w:val="00646F33"/>
    <w:rsid w:val="00647630"/>
    <w:rsid w:val="00647D40"/>
    <w:rsid w:val="00653136"/>
    <w:rsid w:val="00654E9C"/>
    <w:rsid w:val="00655369"/>
    <w:rsid w:val="00655400"/>
    <w:rsid w:val="006558CA"/>
    <w:rsid w:val="00655C67"/>
    <w:rsid w:val="00656767"/>
    <w:rsid w:val="00657722"/>
    <w:rsid w:val="006609EA"/>
    <w:rsid w:val="00661A69"/>
    <w:rsid w:val="00662035"/>
    <w:rsid w:val="006638C8"/>
    <w:rsid w:val="0066490E"/>
    <w:rsid w:val="00665259"/>
    <w:rsid w:val="006670D6"/>
    <w:rsid w:val="00671844"/>
    <w:rsid w:val="006726BF"/>
    <w:rsid w:val="006737D2"/>
    <w:rsid w:val="00673DF1"/>
    <w:rsid w:val="0067465B"/>
    <w:rsid w:val="00675E39"/>
    <w:rsid w:val="00677E2C"/>
    <w:rsid w:val="00680C2C"/>
    <w:rsid w:val="006813CC"/>
    <w:rsid w:val="006820B8"/>
    <w:rsid w:val="00684E43"/>
    <w:rsid w:val="00686C1B"/>
    <w:rsid w:val="00686E6C"/>
    <w:rsid w:val="00687A4C"/>
    <w:rsid w:val="006962ED"/>
    <w:rsid w:val="006A0529"/>
    <w:rsid w:val="006A1F03"/>
    <w:rsid w:val="006A2569"/>
    <w:rsid w:val="006A2A2E"/>
    <w:rsid w:val="006A3325"/>
    <w:rsid w:val="006A3BF6"/>
    <w:rsid w:val="006A4384"/>
    <w:rsid w:val="006A6A17"/>
    <w:rsid w:val="006B09B4"/>
    <w:rsid w:val="006B0E29"/>
    <w:rsid w:val="006B1021"/>
    <w:rsid w:val="006B16D0"/>
    <w:rsid w:val="006B2D91"/>
    <w:rsid w:val="006B5E00"/>
    <w:rsid w:val="006B662C"/>
    <w:rsid w:val="006B6E22"/>
    <w:rsid w:val="006B6F12"/>
    <w:rsid w:val="006C0E11"/>
    <w:rsid w:val="006C1C8C"/>
    <w:rsid w:val="006C2111"/>
    <w:rsid w:val="006C27F5"/>
    <w:rsid w:val="006C3BA3"/>
    <w:rsid w:val="006C3BD1"/>
    <w:rsid w:val="006D0717"/>
    <w:rsid w:val="006D158E"/>
    <w:rsid w:val="006D2C8C"/>
    <w:rsid w:val="006D5D7A"/>
    <w:rsid w:val="006D6CAE"/>
    <w:rsid w:val="006E0EB7"/>
    <w:rsid w:val="006E121B"/>
    <w:rsid w:val="006E4EC0"/>
    <w:rsid w:val="006E566D"/>
    <w:rsid w:val="006E7542"/>
    <w:rsid w:val="006F2AFF"/>
    <w:rsid w:val="006F391A"/>
    <w:rsid w:val="006F5CB2"/>
    <w:rsid w:val="006F6529"/>
    <w:rsid w:val="006F685F"/>
    <w:rsid w:val="00700F73"/>
    <w:rsid w:val="0070147C"/>
    <w:rsid w:val="00701807"/>
    <w:rsid w:val="00702543"/>
    <w:rsid w:val="00703526"/>
    <w:rsid w:val="00703731"/>
    <w:rsid w:val="007041C7"/>
    <w:rsid w:val="007051C5"/>
    <w:rsid w:val="007058AE"/>
    <w:rsid w:val="00706631"/>
    <w:rsid w:val="0070784C"/>
    <w:rsid w:val="00710BD7"/>
    <w:rsid w:val="007111DF"/>
    <w:rsid w:val="00711316"/>
    <w:rsid w:val="0071180B"/>
    <w:rsid w:val="007151D8"/>
    <w:rsid w:val="00715EC1"/>
    <w:rsid w:val="00716A21"/>
    <w:rsid w:val="00717DD4"/>
    <w:rsid w:val="00717E44"/>
    <w:rsid w:val="00720948"/>
    <w:rsid w:val="00723950"/>
    <w:rsid w:val="00723E89"/>
    <w:rsid w:val="007252A2"/>
    <w:rsid w:val="00726CCA"/>
    <w:rsid w:val="007279CD"/>
    <w:rsid w:val="007301F9"/>
    <w:rsid w:val="00731A40"/>
    <w:rsid w:val="007333C2"/>
    <w:rsid w:val="00735255"/>
    <w:rsid w:val="00740B54"/>
    <w:rsid w:val="0074170C"/>
    <w:rsid w:val="00742958"/>
    <w:rsid w:val="00743B4B"/>
    <w:rsid w:val="00744401"/>
    <w:rsid w:val="007458FA"/>
    <w:rsid w:val="00750474"/>
    <w:rsid w:val="00753DBB"/>
    <w:rsid w:val="007569F7"/>
    <w:rsid w:val="007609B4"/>
    <w:rsid w:val="00760C58"/>
    <w:rsid w:val="007636EE"/>
    <w:rsid w:val="00764660"/>
    <w:rsid w:val="00764EAA"/>
    <w:rsid w:val="00765988"/>
    <w:rsid w:val="007678B9"/>
    <w:rsid w:val="00771559"/>
    <w:rsid w:val="00775856"/>
    <w:rsid w:val="00775D55"/>
    <w:rsid w:val="00776BAE"/>
    <w:rsid w:val="00776BBC"/>
    <w:rsid w:val="00777127"/>
    <w:rsid w:val="00783E23"/>
    <w:rsid w:val="00783E73"/>
    <w:rsid w:val="007871DC"/>
    <w:rsid w:val="0079255D"/>
    <w:rsid w:val="00793D24"/>
    <w:rsid w:val="0079475C"/>
    <w:rsid w:val="007950DF"/>
    <w:rsid w:val="00797770"/>
    <w:rsid w:val="00797E3D"/>
    <w:rsid w:val="007A0434"/>
    <w:rsid w:val="007A05EE"/>
    <w:rsid w:val="007A31C7"/>
    <w:rsid w:val="007A4959"/>
    <w:rsid w:val="007A4CC7"/>
    <w:rsid w:val="007A53B6"/>
    <w:rsid w:val="007A5D18"/>
    <w:rsid w:val="007A61D6"/>
    <w:rsid w:val="007A623C"/>
    <w:rsid w:val="007A72FD"/>
    <w:rsid w:val="007B0264"/>
    <w:rsid w:val="007B06C5"/>
    <w:rsid w:val="007B0753"/>
    <w:rsid w:val="007B0CCE"/>
    <w:rsid w:val="007B3BED"/>
    <w:rsid w:val="007B4647"/>
    <w:rsid w:val="007B5DE9"/>
    <w:rsid w:val="007B6060"/>
    <w:rsid w:val="007B6887"/>
    <w:rsid w:val="007B7093"/>
    <w:rsid w:val="007C0B14"/>
    <w:rsid w:val="007C2044"/>
    <w:rsid w:val="007C2E46"/>
    <w:rsid w:val="007C646B"/>
    <w:rsid w:val="007C7E4D"/>
    <w:rsid w:val="007D20EE"/>
    <w:rsid w:val="007D28E8"/>
    <w:rsid w:val="007D3210"/>
    <w:rsid w:val="007D4131"/>
    <w:rsid w:val="007D4413"/>
    <w:rsid w:val="007D564E"/>
    <w:rsid w:val="007D59E1"/>
    <w:rsid w:val="007E0F33"/>
    <w:rsid w:val="007E3D8D"/>
    <w:rsid w:val="007E53C1"/>
    <w:rsid w:val="007E68D0"/>
    <w:rsid w:val="007E6DE1"/>
    <w:rsid w:val="007E7937"/>
    <w:rsid w:val="007F04F3"/>
    <w:rsid w:val="007F0778"/>
    <w:rsid w:val="007F078E"/>
    <w:rsid w:val="007F268A"/>
    <w:rsid w:val="007F30A1"/>
    <w:rsid w:val="007F38E6"/>
    <w:rsid w:val="007F3BEB"/>
    <w:rsid w:val="007F3C36"/>
    <w:rsid w:val="007F51B3"/>
    <w:rsid w:val="007F6399"/>
    <w:rsid w:val="007F6E1E"/>
    <w:rsid w:val="007F7077"/>
    <w:rsid w:val="008031D4"/>
    <w:rsid w:val="00803C82"/>
    <w:rsid w:val="00804A92"/>
    <w:rsid w:val="00805DEF"/>
    <w:rsid w:val="0080638D"/>
    <w:rsid w:val="008066CD"/>
    <w:rsid w:val="00812D82"/>
    <w:rsid w:val="00813796"/>
    <w:rsid w:val="008145FC"/>
    <w:rsid w:val="00816941"/>
    <w:rsid w:val="00817892"/>
    <w:rsid w:val="00821D43"/>
    <w:rsid w:val="00822369"/>
    <w:rsid w:val="0082340F"/>
    <w:rsid w:val="008236F1"/>
    <w:rsid w:val="00824646"/>
    <w:rsid w:val="008249C3"/>
    <w:rsid w:val="00824F82"/>
    <w:rsid w:val="00826CD3"/>
    <w:rsid w:val="00826DFF"/>
    <w:rsid w:val="00827084"/>
    <w:rsid w:val="0083005B"/>
    <w:rsid w:val="008306C8"/>
    <w:rsid w:val="00830F3A"/>
    <w:rsid w:val="00830F3F"/>
    <w:rsid w:val="00834CF5"/>
    <w:rsid w:val="00834D58"/>
    <w:rsid w:val="00834D73"/>
    <w:rsid w:val="00835106"/>
    <w:rsid w:val="00835FAC"/>
    <w:rsid w:val="00835FB1"/>
    <w:rsid w:val="00837AC9"/>
    <w:rsid w:val="00840620"/>
    <w:rsid w:val="008415AC"/>
    <w:rsid w:val="008418D9"/>
    <w:rsid w:val="00842082"/>
    <w:rsid w:val="00843D58"/>
    <w:rsid w:val="00845430"/>
    <w:rsid w:val="00846C9B"/>
    <w:rsid w:val="00847D78"/>
    <w:rsid w:val="00850A41"/>
    <w:rsid w:val="008510FD"/>
    <w:rsid w:val="008525BA"/>
    <w:rsid w:val="00854698"/>
    <w:rsid w:val="00854F40"/>
    <w:rsid w:val="00855F7C"/>
    <w:rsid w:val="00856F70"/>
    <w:rsid w:val="00857960"/>
    <w:rsid w:val="00861A42"/>
    <w:rsid w:val="00862FE7"/>
    <w:rsid w:val="0086316D"/>
    <w:rsid w:val="00864754"/>
    <w:rsid w:val="008669FC"/>
    <w:rsid w:val="008706A3"/>
    <w:rsid w:val="00871997"/>
    <w:rsid w:val="00871C4A"/>
    <w:rsid w:val="00873826"/>
    <w:rsid w:val="00876CD0"/>
    <w:rsid w:val="0088044E"/>
    <w:rsid w:val="0088207C"/>
    <w:rsid w:val="008821BE"/>
    <w:rsid w:val="00882889"/>
    <w:rsid w:val="00883103"/>
    <w:rsid w:val="008832FB"/>
    <w:rsid w:val="00883498"/>
    <w:rsid w:val="008848C2"/>
    <w:rsid w:val="00885B58"/>
    <w:rsid w:val="00886F48"/>
    <w:rsid w:val="00887147"/>
    <w:rsid w:val="008875F8"/>
    <w:rsid w:val="0088761F"/>
    <w:rsid w:val="00887AE6"/>
    <w:rsid w:val="00887EC5"/>
    <w:rsid w:val="008918AF"/>
    <w:rsid w:val="00891E4D"/>
    <w:rsid w:val="00891F6B"/>
    <w:rsid w:val="00891FC6"/>
    <w:rsid w:val="00892618"/>
    <w:rsid w:val="00892F2E"/>
    <w:rsid w:val="00894C92"/>
    <w:rsid w:val="008A11A7"/>
    <w:rsid w:val="008A4707"/>
    <w:rsid w:val="008A4D59"/>
    <w:rsid w:val="008A75A8"/>
    <w:rsid w:val="008B1E4A"/>
    <w:rsid w:val="008B2102"/>
    <w:rsid w:val="008B4CDB"/>
    <w:rsid w:val="008B58EA"/>
    <w:rsid w:val="008C0393"/>
    <w:rsid w:val="008C07AD"/>
    <w:rsid w:val="008C2D42"/>
    <w:rsid w:val="008C341B"/>
    <w:rsid w:val="008C6147"/>
    <w:rsid w:val="008C65D1"/>
    <w:rsid w:val="008C6A16"/>
    <w:rsid w:val="008D192B"/>
    <w:rsid w:val="008D3375"/>
    <w:rsid w:val="008D5550"/>
    <w:rsid w:val="008D63C6"/>
    <w:rsid w:val="008D7043"/>
    <w:rsid w:val="008E416E"/>
    <w:rsid w:val="008E4C1A"/>
    <w:rsid w:val="008E50D6"/>
    <w:rsid w:val="008E5B66"/>
    <w:rsid w:val="008E5C4E"/>
    <w:rsid w:val="008E6FED"/>
    <w:rsid w:val="008F29DF"/>
    <w:rsid w:val="008F45E9"/>
    <w:rsid w:val="008F5572"/>
    <w:rsid w:val="008F67EA"/>
    <w:rsid w:val="008F7F9A"/>
    <w:rsid w:val="009020E4"/>
    <w:rsid w:val="00902D9A"/>
    <w:rsid w:val="00903CD3"/>
    <w:rsid w:val="009052E3"/>
    <w:rsid w:val="00906132"/>
    <w:rsid w:val="0090682D"/>
    <w:rsid w:val="0090716D"/>
    <w:rsid w:val="00907B53"/>
    <w:rsid w:val="00907EC4"/>
    <w:rsid w:val="0091024E"/>
    <w:rsid w:val="009103BD"/>
    <w:rsid w:val="009107AA"/>
    <w:rsid w:val="00912BDD"/>
    <w:rsid w:val="0091327D"/>
    <w:rsid w:val="00915877"/>
    <w:rsid w:val="00917380"/>
    <w:rsid w:val="00920D3D"/>
    <w:rsid w:val="00921121"/>
    <w:rsid w:val="009212E3"/>
    <w:rsid w:val="00924F00"/>
    <w:rsid w:val="00925C7E"/>
    <w:rsid w:val="00926E12"/>
    <w:rsid w:val="0093002A"/>
    <w:rsid w:val="00933F39"/>
    <w:rsid w:val="00934D66"/>
    <w:rsid w:val="00935B9A"/>
    <w:rsid w:val="00936416"/>
    <w:rsid w:val="0093771A"/>
    <w:rsid w:val="0093783E"/>
    <w:rsid w:val="0094206F"/>
    <w:rsid w:val="0094208E"/>
    <w:rsid w:val="00942782"/>
    <w:rsid w:val="00942DDF"/>
    <w:rsid w:val="0094376D"/>
    <w:rsid w:val="009443FD"/>
    <w:rsid w:val="00945DDF"/>
    <w:rsid w:val="00946838"/>
    <w:rsid w:val="00947A08"/>
    <w:rsid w:val="009535BF"/>
    <w:rsid w:val="00953847"/>
    <w:rsid w:val="00954AA1"/>
    <w:rsid w:val="009562AE"/>
    <w:rsid w:val="00957708"/>
    <w:rsid w:val="00957E3F"/>
    <w:rsid w:val="0096052B"/>
    <w:rsid w:val="00961B30"/>
    <w:rsid w:val="00962085"/>
    <w:rsid w:val="00963AE4"/>
    <w:rsid w:val="00963F32"/>
    <w:rsid w:val="00964AC2"/>
    <w:rsid w:val="00971C26"/>
    <w:rsid w:val="009731AA"/>
    <w:rsid w:val="009732B9"/>
    <w:rsid w:val="009733AE"/>
    <w:rsid w:val="0097460B"/>
    <w:rsid w:val="009748FD"/>
    <w:rsid w:val="009766FF"/>
    <w:rsid w:val="009771C3"/>
    <w:rsid w:val="00977396"/>
    <w:rsid w:val="009807D3"/>
    <w:rsid w:val="00982B4A"/>
    <w:rsid w:val="00986DAA"/>
    <w:rsid w:val="00987F38"/>
    <w:rsid w:val="0099024E"/>
    <w:rsid w:val="009905D0"/>
    <w:rsid w:val="0099316A"/>
    <w:rsid w:val="00994356"/>
    <w:rsid w:val="00994A57"/>
    <w:rsid w:val="00996838"/>
    <w:rsid w:val="009A1877"/>
    <w:rsid w:val="009A3364"/>
    <w:rsid w:val="009A3E19"/>
    <w:rsid w:val="009A69D2"/>
    <w:rsid w:val="009A6D32"/>
    <w:rsid w:val="009A7065"/>
    <w:rsid w:val="009B1184"/>
    <w:rsid w:val="009B6A80"/>
    <w:rsid w:val="009B6F70"/>
    <w:rsid w:val="009B6F7C"/>
    <w:rsid w:val="009B7070"/>
    <w:rsid w:val="009C07E2"/>
    <w:rsid w:val="009C10C3"/>
    <w:rsid w:val="009C26C2"/>
    <w:rsid w:val="009C2DF8"/>
    <w:rsid w:val="009C352B"/>
    <w:rsid w:val="009C412C"/>
    <w:rsid w:val="009C534A"/>
    <w:rsid w:val="009C5F8A"/>
    <w:rsid w:val="009C698A"/>
    <w:rsid w:val="009C7A85"/>
    <w:rsid w:val="009D0A15"/>
    <w:rsid w:val="009D1BF7"/>
    <w:rsid w:val="009D30FD"/>
    <w:rsid w:val="009D33FC"/>
    <w:rsid w:val="009D3EE1"/>
    <w:rsid w:val="009D4625"/>
    <w:rsid w:val="009D4C9E"/>
    <w:rsid w:val="009D50F4"/>
    <w:rsid w:val="009D5CB8"/>
    <w:rsid w:val="009D5EB3"/>
    <w:rsid w:val="009D71A2"/>
    <w:rsid w:val="009D7345"/>
    <w:rsid w:val="009D7F60"/>
    <w:rsid w:val="009E02EE"/>
    <w:rsid w:val="009E0555"/>
    <w:rsid w:val="009E0822"/>
    <w:rsid w:val="009E4475"/>
    <w:rsid w:val="009E5628"/>
    <w:rsid w:val="009E6AA9"/>
    <w:rsid w:val="009E6EFC"/>
    <w:rsid w:val="009F19A2"/>
    <w:rsid w:val="009F541F"/>
    <w:rsid w:val="009F56E9"/>
    <w:rsid w:val="009F64D8"/>
    <w:rsid w:val="009F669A"/>
    <w:rsid w:val="00A02238"/>
    <w:rsid w:val="00A147D4"/>
    <w:rsid w:val="00A1785F"/>
    <w:rsid w:val="00A2019B"/>
    <w:rsid w:val="00A2023D"/>
    <w:rsid w:val="00A20865"/>
    <w:rsid w:val="00A22C13"/>
    <w:rsid w:val="00A23686"/>
    <w:rsid w:val="00A23CDD"/>
    <w:rsid w:val="00A25A1E"/>
    <w:rsid w:val="00A260A3"/>
    <w:rsid w:val="00A324FA"/>
    <w:rsid w:val="00A3326D"/>
    <w:rsid w:val="00A35034"/>
    <w:rsid w:val="00A35C0A"/>
    <w:rsid w:val="00A40973"/>
    <w:rsid w:val="00A42BBE"/>
    <w:rsid w:val="00A4355E"/>
    <w:rsid w:val="00A450E3"/>
    <w:rsid w:val="00A4510F"/>
    <w:rsid w:val="00A45272"/>
    <w:rsid w:val="00A461AF"/>
    <w:rsid w:val="00A47CEF"/>
    <w:rsid w:val="00A51604"/>
    <w:rsid w:val="00A54DE8"/>
    <w:rsid w:val="00A55713"/>
    <w:rsid w:val="00A559BD"/>
    <w:rsid w:val="00A55B61"/>
    <w:rsid w:val="00A562FD"/>
    <w:rsid w:val="00A57E3B"/>
    <w:rsid w:val="00A6145A"/>
    <w:rsid w:val="00A6145C"/>
    <w:rsid w:val="00A619CD"/>
    <w:rsid w:val="00A61CDC"/>
    <w:rsid w:val="00A628CD"/>
    <w:rsid w:val="00A63D1D"/>
    <w:rsid w:val="00A641A0"/>
    <w:rsid w:val="00A6475A"/>
    <w:rsid w:val="00A64883"/>
    <w:rsid w:val="00A671BF"/>
    <w:rsid w:val="00A673E7"/>
    <w:rsid w:val="00A676CD"/>
    <w:rsid w:val="00A67B03"/>
    <w:rsid w:val="00A705AC"/>
    <w:rsid w:val="00A708BF"/>
    <w:rsid w:val="00A7278E"/>
    <w:rsid w:val="00A73C48"/>
    <w:rsid w:val="00A73C5C"/>
    <w:rsid w:val="00A7464C"/>
    <w:rsid w:val="00A756E0"/>
    <w:rsid w:val="00A80FDB"/>
    <w:rsid w:val="00A8111F"/>
    <w:rsid w:val="00A81360"/>
    <w:rsid w:val="00A8180E"/>
    <w:rsid w:val="00A84068"/>
    <w:rsid w:val="00A85663"/>
    <w:rsid w:val="00A86697"/>
    <w:rsid w:val="00A86C37"/>
    <w:rsid w:val="00A91309"/>
    <w:rsid w:val="00A918B6"/>
    <w:rsid w:val="00A9238A"/>
    <w:rsid w:val="00A92F2B"/>
    <w:rsid w:val="00A94AD1"/>
    <w:rsid w:val="00A9510B"/>
    <w:rsid w:val="00A954A0"/>
    <w:rsid w:val="00A95811"/>
    <w:rsid w:val="00A97581"/>
    <w:rsid w:val="00AA045E"/>
    <w:rsid w:val="00AA0D36"/>
    <w:rsid w:val="00AA1195"/>
    <w:rsid w:val="00AA1455"/>
    <w:rsid w:val="00AA192D"/>
    <w:rsid w:val="00AA2804"/>
    <w:rsid w:val="00AA3557"/>
    <w:rsid w:val="00AA6B60"/>
    <w:rsid w:val="00AA70A1"/>
    <w:rsid w:val="00AA7532"/>
    <w:rsid w:val="00AB332D"/>
    <w:rsid w:val="00AB402E"/>
    <w:rsid w:val="00AB4CBC"/>
    <w:rsid w:val="00AB64ED"/>
    <w:rsid w:val="00AB7268"/>
    <w:rsid w:val="00AB755D"/>
    <w:rsid w:val="00AC0443"/>
    <w:rsid w:val="00AC15AB"/>
    <w:rsid w:val="00AC46AA"/>
    <w:rsid w:val="00AC5629"/>
    <w:rsid w:val="00AC5997"/>
    <w:rsid w:val="00AC6E77"/>
    <w:rsid w:val="00AD0595"/>
    <w:rsid w:val="00AD2349"/>
    <w:rsid w:val="00AD48DD"/>
    <w:rsid w:val="00AD54C1"/>
    <w:rsid w:val="00AD6EAF"/>
    <w:rsid w:val="00AE052B"/>
    <w:rsid w:val="00AE16DF"/>
    <w:rsid w:val="00AE19A7"/>
    <w:rsid w:val="00AE2AB2"/>
    <w:rsid w:val="00AE3480"/>
    <w:rsid w:val="00AE3F08"/>
    <w:rsid w:val="00AE49D2"/>
    <w:rsid w:val="00AE6B75"/>
    <w:rsid w:val="00AE7999"/>
    <w:rsid w:val="00AF0E5D"/>
    <w:rsid w:val="00AF11FB"/>
    <w:rsid w:val="00AF28EE"/>
    <w:rsid w:val="00AF2C69"/>
    <w:rsid w:val="00AF34A2"/>
    <w:rsid w:val="00AF4248"/>
    <w:rsid w:val="00AF4934"/>
    <w:rsid w:val="00AF537D"/>
    <w:rsid w:val="00AF5AF8"/>
    <w:rsid w:val="00AF6211"/>
    <w:rsid w:val="00AF64C9"/>
    <w:rsid w:val="00AF7A45"/>
    <w:rsid w:val="00B00026"/>
    <w:rsid w:val="00B00660"/>
    <w:rsid w:val="00B0092E"/>
    <w:rsid w:val="00B01AEF"/>
    <w:rsid w:val="00B03B23"/>
    <w:rsid w:val="00B047C6"/>
    <w:rsid w:val="00B05BD4"/>
    <w:rsid w:val="00B061E8"/>
    <w:rsid w:val="00B06E67"/>
    <w:rsid w:val="00B0784C"/>
    <w:rsid w:val="00B10189"/>
    <w:rsid w:val="00B11563"/>
    <w:rsid w:val="00B13E6C"/>
    <w:rsid w:val="00B16929"/>
    <w:rsid w:val="00B16AA7"/>
    <w:rsid w:val="00B16AC9"/>
    <w:rsid w:val="00B17287"/>
    <w:rsid w:val="00B172A3"/>
    <w:rsid w:val="00B20617"/>
    <w:rsid w:val="00B2091F"/>
    <w:rsid w:val="00B22696"/>
    <w:rsid w:val="00B2272A"/>
    <w:rsid w:val="00B234C7"/>
    <w:rsid w:val="00B23BF7"/>
    <w:rsid w:val="00B2439D"/>
    <w:rsid w:val="00B252D6"/>
    <w:rsid w:val="00B25501"/>
    <w:rsid w:val="00B25653"/>
    <w:rsid w:val="00B2599B"/>
    <w:rsid w:val="00B321B6"/>
    <w:rsid w:val="00B33AE6"/>
    <w:rsid w:val="00B33B97"/>
    <w:rsid w:val="00B35117"/>
    <w:rsid w:val="00B36BA5"/>
    <w:rsid w:val="00B370A9"/>
    <w:rsid w:val="00B4054A"/>
    <w:rsid w:val="00B41C75"/>
    <w:rsid w:val="00B42EC1"/>
    <w:rsid w:val="00B43E3E"/>
    <w:rsid w:val="00B4473E"/>
    <w:rsid w:val="00B46BAD"/>
    <w:rsid w:val="00B50927"/>
    <w:rsid w:val="00B522E2"/>
    <w:rsid w:val="00B53F12"/>
    <w:rsid w:val="00B545BF"/>
    <w:rsid w:val="00B55572"/>
    <w:rsid w:val="00B55E8B"/>
    <w:rsid w:val="00B605FB"/>
    <w:rsid w:val="00B61AAD"/>
    <w:rsid w:val="00B62070"/>
    <w:rsid w:val="00B6226E"/>
    <w:rsid w:val="00B62AA9"/>
    <w:rsid w:val="00B63C24"/>
    <w:rsid w:val="00B63CE6"/>
    <w:rsid w:val="00B642B7"/>
    <w:rsid w:val="00B667F0"/>
    <w:rsid w:val="00B6797B"/>
    <w:rsid w:val="00B67C6C"/>
    <w:rsid w:val="00B7387F"/>
    <w:rsid w:val="00B74292"/>
    <w:rsid w:val="00B751AD"/>
    <w:rsid w:val="00B75353"/>
    <w:rsid w:val="00B768CB"/>
    <w:rsid w:val="00B7775B"/>
    <w:rsid w:val="00B81B16"/>
    <w:rsid w:val="00B82590"/>
    <w:rsid w:val="00B8556F"/>
    <w:rsid w:val="00B856CE"/>
    <w:rsid w:val="00B866A8"/>
    <w:rsid w:val="00B874EA"/>
    <w:rsid w:val="00B90849"/>
    <w:rsid w:val="00B90ABB"/>
    <w:rsid w:val="00B93464"/>
    <w:rsid w:val="00B944FA"/>
    <w:rsid w:val="00B96300"/>
    <w:rsid w:val="00B96458"/>
    <w:rsid w:val="00B9646D"/>
    <w:rsid w:val="00B96C27"/>
    <w:rsid w:val="00B97A3D"/>
    <w:rsid w:val="00B97AC9"/>
    <w:rsid w:val="00BA0432"/>
    <w:rsid w:val="00BA0C26"/>
    <w:rsid w:val="00BA3762"/>
    <w:rsid w:val="00BA440F"/>
    <w:rsid w:val="00BA4E84"/>
    <w:rsid w:val="00BA6C8D"/>
    <w:rsid w:val="00BA747A"/>
    <w:rsid w:val="00BA7487"/>
    <w:rsid w:val="00BB1335"/>
    <w:rsid w:val="00BB1676"/>
    <w:rsid w:val="00BB1D12"/>
    <w:rsid w:val="00BB3F84"/>
    <w:rsid w:val="00BB5391"/>
    <w:rsid w:val="00BB6BF4"/>
    <w:rsid w:val="00BB7BD7"/>
    <w:rsid w:val="00BC206F"/>
    <w:rsid w:val="00BC3861"/>
    <w:rsid w:val="00BC3925"/>
    <w:rsid w:val="00BC4A5E"/>
    <w:rsid w:val="00BC5152"/>
    <w:rsid w:val="00BC5671"/>
    <w:rsid w:val="00BD02FD"/>
    <w:rsid w:val="00BD0FD1"/>
    <w:rsid w:val="00BD1185"/>
    <w:rsid w:val="00BD3E52"/>
    <w:rsid w:val="00BD4509"/>
    <w:rsid w:val="00BD4B69"/>
    <w:rsid w:val="00BD4E16"/>
    <w:rsid w:val="00BD50B9"/>
    <w:rsid w:val="00BD5AF7"/>
    <w:rsid w:val="00BD6817"/>
    <w:rsid w:val="00BD76D0"/>
    <w:rsid w:val="00BE122F"/>
    <w:rsid w:val="00BE22C9"/>
    <w:rsid w:val="00BE24E5"/>
    <w:rsid w:val="00BE34D3"/>
    <w:rsid w:val="00BE5CAB"/>
    <w:rsid w:val="00BE6883"/>
    <w:rsid w:val="00BE6E0D"/>
    <w:rsid w:val="00BE7805"/>
    <w:rsid w:val="00BE7D91"/>
    <w:rsid w:val="00BF1359"/>
    <w:rsid w:val="00BF4567"/>
    <w:rsid w:val="00BF49C3"/>
    <w:rsid w:val="00BF4CA6"/>
    <w:rsid w:val="00BF4F45"/>
    <w:rsid w:val="00BF5408"/>
    <w:rsid w:val="00BF694A"/>
    <w:rsid w:val="00C00C60"/>
    <w:rsid w:val="00C00F2C"/>
    <w:rsid w:val="00C01AAB"/>
    <w:rsid w:val="00C025A8"/>
    <w:rsid w:val="00C0302A"/>
    <w:rsid w:val="00C07332"/>
    <w:rsid w:val="00C07798"/>
    <w:rsid w:val="00C07EAA"/>
    <w:rsid w:val="00C07FF2"/>
    <w:rsid w:val="00C106F6"/>
    <w:rsid w:val="00C114F7"/>
    <w:rsid w:val="00C11B44"/>
    <w:rsid w:val="00C12507"/>
    <w:rsid w:val="00C13322"/>
    <w:rsid w:val="00C14C9E"/>
    <w:rsid w:val="00C15536"/>
    <w:rsid w:val="00C1574C"/>
    <w:rsid w:val="00C173DD"/>
    <w:rsid w:val="00C20394"/>
    <w:rsid w:val="00C207DB"/>
    <w:rsid w:val="00C245EB"/>
    <w:rsid w:val="00C24936"/>
    <w:rsid w:val="00C24D08"/>
    <w:rsid w:val="00C25861"/>
    <w:rsid w:val="00C25AC0"/>
    <w:rsid w:val="00C268C5"/>
    <w:rsid w:val="00C26AD7"/>
    <w:rsid w:val="00C3020A"/>
    <w:rsid w:val="00C31598"/>
    <w:rsid w:val="00C32429"/>
    <w:rsid w:val="00C33E7D"/>
    <w:rsid w:val="00C33FCC"/>
    <w:rsid w:val="00C34087"/>
    <w:rsid w:val="00C341D3"/>
    <w:rsid w:val="00C34D9B"/>
    <w:rsid w:val="00C37144"/>
    <w:rsid w:val="00C41E61"/>
    <w:rsid w:val="00C42EB6"/>
    <w:rsid w:val="00C43788"/>
    <w:rsid w:val="00C43903"/>
    <w:rsid w:val="00C439AF"/>
    <w:rsid w:val="00C44AF0"/>
    <w:rsid w:val="00C4632F"/>
    <w:rsid w:val="00C4662C"/>
    <w:rsid w:val="00C469BD"/>
    <w:rsid w:val="00C533DD"/>
    <w:rsid w:val="00C5350D"/>
    <w:rsid w:val="00C54543"/>
    <w:rsid w:val="00C56107"/>
    <w:rsid w:val="00C5651F"/>
    <w:rsid w:val="00C56C63"/>
    <w:rsid w:val="00C56DC8"/>
    <w:rsid w:val="00C56FA7"/>
    <w:rsid w:val="00C6250F"/>
    <w:rsid w:val="00C63BAC"/>
    <w:rsid w:val="00C676A8"/>
    <w:rsid w:val="00C709D5"/>
    <w:rsid w:val="00C719FA"/>
    <w:rsid w:val="00C7312C"/>
    <w:rsid w:val="00C73F81"/>
    <w:rsid w:val="00C74406"/>
    <w:rsid w:val="00C7590D"/>
    <w:rsid w:val="00C76A3A"/>
    <w:rsid w:val="00C82F39"/>
    <w:rsid w:val="00C841CF"/>
    <w:rsid w:val="00C84475"/>
    <w:rsid w:val="00C872FD"/>
    <w:rsid w:val="00C87381"/>
    <w:rsid w:val="00C90AB3"/>
    <w:rsid w:val="00C91318"/>
    <w:rsid w:val="00C94AD1"/>
    <w:rsid w:val="00C95433"/>
    <w:rsid w:val="00C95667"/>
    <w:rsid w:val="00C97AA4"/>
    <w:rsid w:val="00C97BC4"/>
    <w:rsid w:val="00CA0C2C"/>
    <w:rsid w:val="00CA0EEB"/>
    <w:rsid w:val="00CA17C8"/>
    <w:rsid w:val="00CA27D5"/>
    <w:rsid w:val="00CA2D0F"/>
    <w:rsid w:val="00CA4E57"/>
    <w:rsid w:val="00CA5D9B"/>
    <w:rsid w:val="00CA5E0E"/>
    <w:rsid w:val="00CA60EF"/>
    <w:rsid w:val="00CB0AE7"/>
    <w:rsid w:val="00CB15E2"/>
    <w:rsid w:val="00CB21B9"/>
    <w:rsid w:val="00CB22FD"/>
    <w:rsid w:val="00CB24A5"/>
    <w:rsid w:val="00CB2816"/>
    <w:rsid w:val="00CB2B3F"/>
    <w:rsid w:val="00CB2DE0"/>
    <w:rsid w:val="00CB3345"/>
    <w:rsid w:val="00CB4614"/>
    <w:rsid w:val="00CB52A2"/>
    <w:rsid w:val="00CB534A"/>
    <w:rsid w:val="00CB5F43"/>
    <w:rsid w:val="00CB60ED"/>
    <w:rsid w:val="00CB688D"/>
    <w:rsid w:val="00CB6E58"/>
    <w:rsid w:val="00CC1CC2"/>
    <w:rsid w:val="00CC2285"/>
    <w:rsid w:val="00CC41D3"/>
    <w:rsid w:val="00CC4420"/>
    <w:rsid w:val="00CD05F1"/>
    <w:rsid w:val="00CD07DB"/>
    <w:rsid w:val="00CD0D80"/>
    <w:rsid w:val="00CD5ED7"/>
    <w:rsid w:val="00CE069D"/>
    <w:rsid w:val="00CE2B7C"/>
    <w:rsid w:val="00CE2FA8"/>
    <w:rsid w:val="00CE5630"/>
    <w:rsid w:val="00CE5CAC"/>
    <w:rsid w:val="00CE612E"/>
    <w:rsid w:val="00CE62D6"/>
    <w:rsid w:val="00CF1271"/>
    <w:rsid w:val="00CF12E4"/>
    <w:rsid w:val="00CF3F8D"/>
    <w:rsid w:val="00CF425D"/>
    <w:rsid w:val="00CF6512"/>
    <w:rsid w:val="00CF7378"/>
    <w:rsid w:val="00CF7618"/>
    <w:rsid w:val="00CF7B32"/>
    <w:rsid w:val="00D00AC8"/>
    <w:rsid w:val="00D01D20"/>
    <w:rsid w:val="00D05575"/>
    <w:rsid w:val="00D06FAD"/>
    <w:rsid w:val="00D07BEC"/>
    <w:rsid w:val="00D07EB5"/>
    <w:rsid w:val="00D07ED6"/>
    <w:rsid w:val="00D11534"/>
    <w:rsid w:val="00D11D95"/>
    <w:rsid w:val="00D167D5"/>
    <w:rsid w:val="00D203BE"/>
    <w:rsid w:val="00D207A6"/>
    <w:rsid w:val="00D21E25"/>
    <w:rsid w:val="00D22FBE"/>
    <w:rsid w:val="00D235E0"/>
    <w:rsid w:val="00D2742A"/>
    <w:rsid w:val="00D30A4C"/>
    <w:rsid w:val="00D3179A"/>
    <w:rsid w:val="00D328A3"/>
    <w:rsid w:val="00D33C42"/>
    <w:rsid w:val="00D343F6"/>
    <w:rsid w:val="00D35D8D"/>
    <w:rsid w:val="00D37476"/>
    <w:rsid w:val="00D4133C"/>
    <w:rsid w:val="00D42857"/>
    <w:rsid w:val="00D4683A"/>
    <w:rsid w:val="00D50A00"/>
    <w:rsid w:val="00D51E1C"/>
    <w:rsid w:val="00D52276"/>
    <w:rsid w:val="00D52B74"/>
    <w:rsid w:val="00D53E7A"/>
    <w:rsid w:val="00D549D4"/>
    <w:rsid w:val="00D5708A"/>
    <w:rsid w:val="00D6342E"/>
    <w:rsid w:val="00D67B97"/>
    <w:rsid w:val="00D67DE1"/>
    <w:rsid w:val="00D70452"/>
    <w:rsid w:val="00D749FA"/>
    <w:rsid w:val="00D7608E"/>
    <w:rsid w:val="00D773F5"/>
    <w:rsid w:val="00D80B1F"/>
    <w:rsid w:val="00D82F91"/>
    <w:rsid w:val="00D83DD4"/>
    <w:rsid w:val="00D83EFA"/>
    <w:rsid w:val="00D84DE1"/>
    <w:rsid w:val="00D85270"/>
    <w:rsid w:val="00D868D8"/>
    <w:rsid w:val="00D9071B"/>
    <w:rsid w:val="00D92E47"/>
    <w:rsid w:val="00D938EB"/>
    <w:rsid w:val="00D94DB5"/>
    <w:rsid w:val="00D94FB1"/>
    <w:rsid w:val="00D9781D"/>
    <w:rsid w:val="00D9784C"/>
    <w:rsid w:val="00D97BC6"/>
    <w:rsid w:val="00DA11BC"/>
    <w:rsid w:val="00DA1CFB"/>
    <w:rsid w:val="00DA1CFF"/>
    <w:rsid w:val="00DA2123"/>
    <w:rsid w:val="00DA53DC"/>
    <w:rsid w:val="00DA57A2"/>
    <w:rsid w:val="00DA6CA3"/>
    <w:rsid w:val="00DA77F9"/>
    <w:rsid w:val="00DB08CB"/>
    <w:rsid w:val="00DB0D9A"/>
    <w:rsid w:val="00DB154D"/>
    <w:rsid w:val="00DB227C"/>
    <w:rsid w:val="00DB2457"/>
    <w:rsid w:val="00DB5CB6"/>
    <w:rsid w:val="00DB60AC"/>
    <w:rsid w:val="00DB72E8"/>
    <w:rsid w:val="00DB7714"/>
    <w:rsid w:val="00DC2D1C"/>
    <w:rsid w:val="00DC3CB9"/>
    <w:rsid w:val="00DC3D0B"/>
    <w:rsid w:val="00DC44B1"/>
    <w:rsid w:val="00DC4E02"/>
    <w:rsid w:val="00DC579E"/>
    <w:rsid w:val="00DC5EE8"/>
    <w:rsid w:val="00DC679E"/>
    <w:rsid w:val="00DD2D9E"/>
    <w:rsid w:val="00DD58B2"/>
    <w:rsid w:val="00DD60CE"/>
    <w:rsid w:val="00DD61C9"/>
    <w:rsid w:val="00DD6E63"/>
    <w:rsid w:val="00DE0CB9"/>
    <w:rsid w:val="00DE15C7"/>
    <w:rsid w:val="00DE28C6"/>
    <w:rsid w:val="00DE3A1E"/>
    <w:rsid w:val="00DE5BB7"/>
    <w:rsid w:val="00DE6486"/>
    <w:rsid w:val="00DE7706"/>
    <w:rsid w:val="00DF2857"/>
    <w:rsid w:val="00DF2B40"/>
    <w:rsid w:val="00DF30B7"/>
    <w:rsid w:val="00DF320C"/>
    <w:rsid w:val="00DF6576"/>
    <w:rsid w:val="00DF692A"/>
    <w:rsid w:val="00DF6A5E"/>
    <w:rsid w:val="00DF6AEB"/>
    <w:rsid w:val="00E00266"/>
    <w:rsid w:val="00E00F8F"/>
    <w:rsid w:val="00E011B0"/>
    <w:rsid w:val="00E03633"/>
    <w:rsid w:val="00E03C0B"/>
    <w:rsid w:val="00E03C9C"/>
    <w:rsid w:val="00E03D81"/>
    <w:rsid w:val="00E069D6"/>
    <w:rsid w:val="00E06E30"/>
    <w:rsid w:val="00E102F2"/>
    <w:rsid w:val="00E104CA"/>
    <w:rsid w:val="00E10861"/>
    <w:rsid w:val="00E1146C"/>
    <w:rsid w:val="00E11C5C"/>
    <w:rsid w:val="00E12571"/>
    <w:rsid w:val="00E13DFF"/>
    <w:rsid w:val="00E15778"/>
    <w:rsid w:val="00E15809"/>
    <w:rsid w:val="00E1655C"/>
    <w:rsid w:val="00E25694"/>
    <w:rsid w:val="00E25B37"/>
    <w:rsid w:val="00E27EEE"/>
    <w:rsid w:val="00E30AA6"/>
    <w:rsid w:val="00E30E42"/>
    <w:rsid w:val="00E31497"/>
    <w:rsid w:val="00E32052"/>
    <w:rsid w:val="00E34ED6"/>
    <w:rsid w:val="00E36FCD"/>
    <w:rsid w:val="00E3736F"/>
    <w:rsid w:val="00E378E9"/>
    <w:rsid w:val="00E400D7"/>
    <w:rsid w:val="00E41E8E"/>
    <w:rsid w:val="00E455F4"/>
    <w:rsid w:val="00E45D78"/>
    <w:rsid w:val="00E45DC2"/>
    <w:rsid w:val="00E460FB"/>
    <w:rsid w:val="00E46709"/>
    <w:rsid w:val="00E47FCD"/>
    <w:rsid w:val="00E50FEA"/>
    <w:rsid w:val="00E51174"/>
    <w:rsid w:val="00E51766"/>
    <w:rsid w:val="00E55607"/>
    <w:rsid w:val="00E5702A"/>
    <w:rsid w:val="00E57D39"/>
    <w:rsid w:val="00E61D2C"/>
    <w:rsid w:val="00E62AA0"/>
    <w:rsid w:val="00E62C0D"/>
    <w:rsid w:val="00E631F7"/>
    <w:rsid w:val="00E63BF7"/>
    <w:rsid w:val="00E64265"/>
    <w:rsid w:val="00E65833"/>
    <w:rsid w:val="00E65B58"/>
    <w:rsid w:val="00E661B9"/>
    <w:rsid w:val="00E7199C"/>
    <w:rsid w:val="00E7213B"/>
    <w:rsid w:val="00E72DA6"/>
    <w:rsid w:val="00E74088"/>
    <w:rsid w:val="00E750BF"/>
    <w:rsid w:val="00E77899"/>
    <w:rsid w:val="00E778B8"/>
    <w:rsid w:val="00E81427"/>
    <w:rsid w:val="00E81660"/>
    <w:rsid w:val="00E816CC"/>
    <w:rsid w:val="00E82B9C"/>
    <w:rsid w:val="00E840E6"/>
    <w:rsid w:val="00E8431B"/>
    <w:rsid w:val="00E8611B"/>
    <w:rsid w:val="00E86ACD"/>
    <w:rsid w:val="00E91DE2"/>
    <w:rsid w:val="00E93C33"/>
    <w:rsid w:val="00E946DA"/>
    <w:rsid w:val="00E94930"/>
    <w:rsid w:val="00E94DE4"/>
    <w:rsid w:val="00E95C1A"/>
    <w:rsid w:val="00E96248"/>
    <w:rsid w:val="00E97BFB"/>
    <w:rsid w:val="00EA01F5"/>
    <w:rsid w:val="00EA0AC8"/>
    <w:rsid w:val="00EA190A"/>
    <w:rsid w:val="00EA2558"/>
    <w:rsid w:val="00EA3680"/>
    <w:rsid w:val="00EA3D91"/>
    <w:rsid w:val="00EA5086"/>
    <w:rsid w:val="00EA52CA"/>
    <w:rsid w:val="00EA58A6"/>
    <w:rsid w:val="00EA60AA"/>
    <w:rsid w:val="00EA622E"/>
    <w:rsid w:val="00EB00A7"/>
    <w:rsid w:val="00EB018F"/>
    <w:rsid w:val="00EB05D5"/>
    <w:rsid w:val="00EB212D"/>
    <w:rsid w:val="00EB2EE6"/>
    <w:rsid w:val="00EB4D3B"/>
    <w:rsid w:val="00EB55CE"/>
    <w:rsid w:val="00EC4208"/>
    <w:rsid w:val="00EC5C1D"/>
    <w:rsid w:val="00EC64BF"/>
    <w:rsid w:val="00EC6D4C"/>
    <w:rsid w:val="00EC7BD3"/>
    <w:rsid w:val="00ED43B5"/>
    <w:rsid w:val="00ED45B9"/>
    <w:rsid w:val="00ED6DD6"/>
    <w:rsid w:val="00EE01E7"/>
    <w:rsid w:val="00EE11D3"/>
    <w:rsid w:val="00EE204A"/>
    <w:rsid w:val="00EE29FA"/>
    <w:rsid w:val="00EE30D8"/>
    <w:rsid w:val="00EE6088"/>
    <w:rsid w:val="00EE695E"/>
    <w:rsid w:val="00EE6D3A"/>
    <w:rsid w:val="00EE7BFD"/>
    <w:rsid w:val="00EE7E0D"/>
    <w:rsid w:val="00EF1439"/>
    <w:rsid w:val="00EF2307"/>
    <w:rsid w:val="00EF3380"/>
    <w:rsid w:val="00EF3E10"/>
    <w:rsid w:val="00EF4826"/>
    <w:rsid w:val="00EF547B"/>
    <w:rsid w:val="00F004CA"/>
    <w:rsid w:val="00F027FE"/>
    <w:rsid w:val="00F0284C"/>
    <w:rsid w:val="00F037E8"/>
    <w:rsid w:val="00F04416"/>
    <w:rsid w:val="00F055E7"/>
    <w:rsid w:val="00F05A8C"/>
    <w:rsid w:val="00F10CE0"/>
    <w:rsid w:val="00F117F8"/>
    <w:rsid w:val="00F119FC"/>
    <w:rsid w:val="00F11BC5"/>
    <w:rsid w:val="00F12328"/>
    <w:rsid w:val="00F1480F"/>
    <w:rsid w:val="00F14EC7"/>
    <w:rsid w:val="00F15A1D"/>
    <w:rsid w:val="00F17787"/>
    <w:rsid w:val="00F2049E"/>
    <w:rsid w:val="00F207B5"/>
    <w:rsid w:val="00F219D8"/>
    <w:rsid w:val="00F22479"/>
    <w:rsid w:val="00F2453A"/>
    <w:rsid w:val="00F25B39"/>
    <w:rsid w:val="00F25B50"/>
    <w:rsid w:val="00F3024C"/>
    <w:rsid w:val="00F316BE"/>
    <w:rsid w:val="00F32B1B"/>
    <w:rsid w:val="00F32B49"/>
    <w:rsid w:val="00F32BB9"/>
    <w:rsid w:val="00F359CE"/>
    <w:rsid w:val="00F36442"/>
    <w:rsid w:val="00F366F9"/>
    <w:rsid w:val="00F371DC"/>
    <w:rsid w:val="00F375FE"/>
    <w:rsid w:val="00F377FC"/>
    <w:rsid w:val="00F4009D"/>
    <w:rsid w:val="00F44740"/>
    <w:rsid w:val="00F44CAB"/>
    <w:rsid w:val="00F50413"/>
    <w:rsid w:val="00F50505"/>
    <w:rsid w:val="00F544BB"/>
    <w:rsid w:val="00F54584"/>
    <w:rsid w:val="00F548E5"/>
    <w:rsid w:val="00F5667D"/>
    <w:rsid w:val="00F56770"/>
    <w:rsid w:val="00F56ABB"/>
    <w:rsid w:val="00F57875"/>
    <w:rsid w:val="00F61FAC"/>
    <w:rsid w:val="00F620EC"/>
    <w:rsid w:val="00F668F1"/>
    <w:rsid w:val="00F66C8C"/>
    <w:rsid w:val="00F7475F"/>
    <w:rsid w:val="00F76DC6"/>
    <w:rsid w:val="00F806B0"/>
    <w:rsid w:val="00F81861"/>
    <w:rsid w:val="00F83D32"/>
    <w:rsid w:val="00F878FF"/>
    <w:rsid w:val="00F900BB"/>
    <w:rsid w:val="00F91BD0"/>
    <w:rsid w:val="00F947A3"/>
    <w:rsid w:val="00F95005"/>
    <w:rsid w:val="00F953AD"/>
    <w:rsid w:val="00FA0515"/>
    <w:rsid w:val="00FA061A"/>
    <w:rsid w:val="00FA0FE9"/>
    <w:rsid w:val="00FA6B53"/>
    <w:rsid w:val="00FB0805"/>
    <w:rsid w:val="00FB19A9"/>
    <w:rsid w:val="00FB215F"/>
    <w:rsid w:val="00FB2520"/>
    <w:rsid w:val="00FB2E58"/>
    <w:rsid w:val="00FB43A9"/>
    <w:rsid w:val="00FB4767"/>
    <w:rsid w:val="00FB599D"/>
    <w:rsid w:val="00FB6E37"/>
    <w:rsid w:val="00FC00B9"/>
    <w:rsid w:val="00FC1582"/>
    <w:rsid w:val="00FC2596"/>
    <w:rsid w:val="00FC4CAF"/>
    <w:rsid w:val="00FD09B9"/>
    <w:rsid w:val="00FD35AE"/>
    <w:rsid w:val="00FD5AB4"/>
    <w:rsid w:val="00FD7948"/>
    <w:rsid w:val="00FE18E4"/>
    <w:rsid w:val="00FE1A89"/>
    <w:rsid w:val="00FE2FF3"/>
    <w:rsid w:val="00FE423D"/>
    <w:rsid w:val="00FE5347"/>
    <w:rsid w:val="00FE53AB"/>
    <w:rsid w:val="00FE7A8A"/>
    <w:rsid w:val="00FF07FC"/>
    <w:rsid w:val="00FF284D"/>
    <w:rsid w:val="00FF3337"/>
    <w:rsid w:val="00FF4378"/>
    <w:rsid w:val="00FF5AAF"/>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1">
    <w:name w:val="heading 1"/>
    <w:basedOn w:val="Normal"/>
    <w:next w:val="Normal"/>
    <w:link w:val="Heading1Char"/>
    <w:uiPriority w:val="9"/>
    <w:qFormat/>
    <w:rsid w:val="00C439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5C555C"/>
    <w:pPr>
      <w:tabs>
        <w:tab w:val="left" w:pos="-108"/>
        <w:tab w:val="left" w:pos="709"/>
      </w:tabs>
      <w:spacing w:after="120"/>
    </w:pPr>
    <w:rPr>
      <w:rFonts w:cs="Arial"/>
      <w:noProof/>
      <w:u w:val="single"/>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aliases w:val="Dot pt,List Paragraph Char Char Char,Indicator Text,List Paragraph1,No Spacing1,Bullet 1,Numbered Para 1,List Paragraph12,Bullet Points,Bullet Style,MAIN CONTENT,F5 List Paragraph,Normal numbered,List Paragraph2"/>
    <w:basedOn w:val="Normal"/>
    <w:link w:val="ListParagraphChar"/>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s="Arial"/>
      <w:color w:val="000000"/>
      <w:sz w:val="24"/>
      <w:szCs w:val="24"/>
    </w:rPr>
  </w:style>
  <w:style w:type="character" w:customStyle="1" w:styleId="Heading1Char">
    <w:name w:val="Heading 1 Char"/>
    <w:basedOn w:val="DefaultParagraphFont"/>
    <w:link w:val="Heading1"/>
    <w:uiPriority w:val="9"/>
    <w:rsid w:val="00C439AF"/>
    <w:rPr>
      <w:rFonts w:asciiTheme="majorHAnsi" w:eastAsiaTheme="majorEastAsia" w:hAnsiTheme="majorHAnsi" w:cstheme="majorBidi"/>
      <w:b/>
      <w:bCs/>
      <w:color w:val="365F91" w:themeColor="accent1" w:themeShade="BF"/>
      <w:sz w:val="28"/>
      <w:szCs w:val="28"/>
      <w:lang w:eastAsia="en-US"/>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Bullet Style Char,MAIN CONTENT Char"/>
    <w:basedOn w:val="DefaultParagraphFont"/>
    <w:link w:val="ListParagraph"/>
    <w:uiPriority w:val="34"/>
    <w:qFormat/>
    <w:locked/>
    <w:rsid w:val="00C24D08"/>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1">
    <w:name w:val="heading 1"/>
    <w:basedOn w:val="Normal"/>
    <w:next w:val="Normal"/>
    <w:link w:val="Heading1Char"/>
    <w:uiPriority w:val="9"/>
    <w:qFormat/>
    <w:rsid w:val="00C439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5C555C"/>
    <w:pPr>
      <w:tabs>
        <w:tab w:val="left" w:pos="-108"/>
        <w:tab w:val="left" w:pos="709"/>
      </w:tabs>
      <w:spacing w:after="120"/>
    </w:pPr>
    <w:rPr>
      <w:rFonts w:cs="Arial"/>
      <w:noProof/>
      <w:u w:val="single"/>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aliases w:val="Dot pt,List Paragraph Char Char Char,Indicator Text,List Paragraph1,No Spacing1,Bullet 1,Numbered Para 1,List Paragraph12,Bullet Points,Bullet Style,MAIN CONTENT,F5 List Paragraph,Normal numbered,List Paragraph2"/>
    <w:basedOn w:val="Normal"/>
    <w:link w:val="ListParagraphChar"/>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s="Arial"/>
      <w:color w:val="000000"/>
      <w:sz w:val="24"/>
      <w:szCs w:val="24"/>
    </w:rPr>
  </w:style>
  <w:style w:type="character" w:customStyle="1" w:styleId="Heading1Char">
    <w:name w:val="Heading 1 Char"/>
    <w:basedOn w:val="DefaultParagraphFont"/>
    <w:link w:val="Heading1"/>
    <w:uiPriority w:val="9"/>
    <w:rsid w:val="00C439AF"/>
    <w:rPr>
      <w:rFonts w:asciiTheme="majorHAnsi" w:eastAsiaTheme="majorEastAsia" w:hAnsiTheme="majorHAnsi" w:cstheme="majorBidi"/>
      <w:b/>
      <w:bCs/>
      <w:color w:val="365F91" w:themeColor="accent1" w:themeShade="BF"/>
      <w:sz w:val="28"/>
      <w:szCs w:val="28"/>
      <w:lang w:eastAsia="en-US"/>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Bullet Style Char,MAIN CONTENT Char"/>
    <w:basedOn w:val="DefaultParagraphFont"/>
    <w:link w:val="ListParagraph"/>
    <w:uiPriority w:val="34"/>
    <w:qFormat/>
    <w:locked/>
    <w:rsid w:val="00C24D08"/>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245">
      <w:bodyDiv w:val="1"/>
      <w:marLeft w:val="0"/>
      <w:marRight w:val="0"/>
      <w:marTop w:val="0"/>
      <w:marBottom w:val="0"/>
      <w:divBdr>
        <w:top w:val="none" w:sz="0" w:space="0" w:color="auto"/>
        <w:left w:val="none" w:sz="0" w:space="0" w:color="auto"/>
        <w:bottom w:val="none" w:sz="0" w:space="0" w:color="auto"/>
        <w:right w:val="none" w:sz="0" w:space="0" w:color="auto"/>
      </w:divBdr>
    </w:div>
    <w:div w:id="69616481">
      <w:bodyDiv w:val="1"/>
      <w:marLeft w:val="0"/>
      <w:marRight w:val="0"/>
      <w:marTop w:val="0"/>
      <w:marBottom w:val="0"/>
      <w:divBdr>
        <w:top w:val="none" w:sz="0" w:space="0" w:color="auto"/>
        <w:left w:val="none" w:sz="0" w:space="0" w:color="auto"/>
        <w:bottom w:val="none" w:sz="0" w:space="0" w:color="auto"/>
        <w:right w:val="none" w:sz="0" w:space="0" w:color="auto"/>
      </w:divBdr>
    </w:div>
    <w:div w:id="213735269">
      <w:bodyDiv w:val="1"/>
      <w:marLeft w:val="0"/>
      <w:marRight w:val="0"/>
      <w:marTop w:val="0"/>
      <w:marBottom w:val="0"/>
      <w:divBdr>
        <w:top w:val="none" w:sz="0" w:space="0" w:color="auto"/>
        <w:left w:val="none" w:sz="0" w:space="0" w:color="auto"/>
        <w:bottom w:val="none" w:sz="0" w:space="0" w:color="auto"/>
        <w:right w:val="none" w:sz="0" w:space="0" w:color="auto"/>
      </w:divBdr>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86856415">
      <w:bodyDiv w:val="1"/>
      <w:marLeft w:val="0"/>
      <w:marRight w:val="0"/>
      <w:marTop w:val="0"/>
      <w:marBottom w:val="0"/>
      <w:divBdr>
        <w:top w:val="none" w:sz="0" w:space="0" w:color="auto"/>
        <w:left w:val="none" w:sz="0" w:space="0" w:color="auto"/>
        <w:bottom w:val="none" w:sz="0" w:space="0" w:color="auto"/>
        <w:right w:val="none" w:sz="0" w:space="0" w:color="auto"/>
      </w:divBdr>
      <w:divsChild>
        <w:div w:id="106432156">
          <w:marLeft w:val="0"/>
          <w:marRight w:val="0"/>
          <w:marTop w:val="0"/>
          <w:marBottom w:val="0"/>
          <w:divBdr>
            <w:top w:val="none" w:sz="0" w:space="0" w:color="auto"/>
            <w:left w:val="none" w:sz="0" w:space="0" w:color="auto"/>
            <w:bottom w:val="none" w:sz="0" w:space="0" w:color="auto"/>
            <w:right w:val="none" w:sz="0" w:space="0" w:color="auto"/>
          </w:divBdr>
          <w:divsChild>
            <w:div w:id="1953778693">
              <w:marLeft w:val="0"/>
              <w:marRight w:val="0"/>
              <w:marTop w:val="0"/>
              <w:marBottom w:val="0"/>
              <w:divBdr>
                <w:top w:val="none" w:sz="0" w:space="0" w:color="auto"/>
                <w:left w:val="none" w:sz="0" w:space="0" w:color="auto"/>
                <w:bottom w:val="none" w:sz="0" w:space="0" w:color="auto"/>
                <w:right w:val="none" w:sz="0" w:space="0" w:color="auto"/>
              </w:divBdr>
              <w:divsChild>
                <w:div w:id="1361662374">
                  <w:marLeft w:val="0"/>
                  <w:marRight w:val="0"/>
                  <w:marTop w:val="0"/>
                  <w:marBottom w:val="0"/>
                  <w:divBdr>
                    <w:top w:val="none" w:sz="0" w:space="0" w:color="auto"/>
                    <w:left w:val="none" w:sz="0" w:space="0" w:color="auto"/>
                    <w:bottom w:val="none" w:sz="0" w:space="0" w:color="auto"/>
                    <w:right w:val="none" w:sz="0" w:space="0" w:color="auto"/>
                  </w:divBdr>
                  <w:divsChild>
                    <w:div w:id="821777352">
                      <w:marLeft w:val="0"/>
                      <w:marRight w:val="0"/>
                      <w:marTop w:val="0"/>
                      <w:marBottom w:val="0"/>
                      <w:divBdr>
                        <w:top w:val="none" w:sz="0" w:space="0" w:color="auto"/>
                        <w:left w:val="none" w:sz="0" w:space="0" w:color="auto"/>
                        <w:bottom w:val="none" w:sz="0" w:space="0" w:color="auto"/>
                        <w:right w:val="none" w:sz="0" w:space="0" w:color="auto"/>
                      </w:divBdr>
                      <w:divsChild>
                        <w:div w:id="1746687430">
                          <w:marLeft w:val="0"/>
                          <w:marRight w:val="0"/>
                          <w:marTop w:val="0"/>
                          <w:marBottom w:val="0"/>
                          <w:divBdr>
                            <w:top w:val="none" w:sz="0" w:space="0" w:color="auto"/>
                            <w:left w:val="none" w:sz="0" w:space="0" w:color="auto"/>
                            <w:bottom w:val="none" w:sz="0" w:space="0" w:color="auto"/>
                            <w:right w:val="none" w:sz="0" w:space="0" w:color="auto"/>
                          </w:divBdr>
                          <w:divsChild>
                            <w:div w:id="9529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606694018">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782267067">
      <w:bodyDiv w:val="1"/>
      <w:marLeft w:val="0"/>
      <w:marRight w:val="0"/>
      <w:marTop w:val="0"/>
      <w:marBottom w:val="0"/>
      <w:divBdr>
        <w:top w:val="none" w:sz="0" w:space="0" w:color="auto"/>
        <w:left w:val="none" w:sz="0" w:space="0" w:color="auto"/>
        <w:bottom w:val="none" w:sz="0" w:space="0" w:color="auto"/>
        <w:right w:val="none" w:sz="0" w:space="0" w:color="auto"/>
      </w:divBdr>
    </w:div>
    <w:div w:id="827866147">
      <w:bodyDiv w:val="1"/>
      <w:marLeft w:val="0"/>
      <w:marRight w:val="0"/>
      <w:marTop w:val="0"/>
      <w:marBottom w:val="0"/>
      <w:divBdr>
        <w:top w:val="none" w:sz="0" w:space="0" w:color="auto"/>
        <w:left w:val="none" w:sz="0" w:space="0" w:color="auto"/>
        <w:bottom w:val="none" w:sz="0" w:space="0" w:color="auto"/>
        <w:right w:val="none" w:sz="0" w:space="0" w:color="auto"/>
      </w:divBdr>
    </w:div>
    <w:div w:id="843520231">
      <w:bodyDiv w:val="1"/>
      <w:marLeft w:val="0"/>
      <w:marRight w:val="0"/>
      <w:marTop w:val="0"/>
      <w:marBottom w:val="0"/>
      <w:divBdr>
        <w:top w:val="none" w:sz="0" w:space="0" w:color="auto"/>
        <w:left w:val="none" w:sz="0" w:space="0" w:color="auto"/>
        <w:bottom w:val="none" w:sz="0" w:space="0" w:color="auto"/>
        <w:right w:val="none" w:sz="0" w:space="0" w:color="auto"/>
      </w:divBdr>
    </w:div>
    <w:div w:id="869489003">
      <w:bodyDiv w:val="1"/>
      <w:marLeft w:val="0"/>
      <w:marRight w:val="0"/>
      <w:marTop w:val="0"/>
      <w:marBottom w:val="0"/>
      <w:divBdr>
        <w:top w:val="none" w:sz="0" w:space="0" w:color="auto"/>
        <w:left w:val="none" w:sz="0" w:space="0" w:color="auto"/>
        <w:bottom w:val="none" w:sz="0" w:space="0" w:color="auto"/>
        <w:right w:val="none" w:sz="0" w:space="0" w:color="auto"/>
      </w:divBdr>
      <w:divsChild>
        <w:div w:id="1539512033">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1112867805">
                  <w:marLeft w:val="0"/>
                  <w:marRight w:val="0"/>
                  <w:marTop w:val="0"/>
                  <w:marBottom w:val="0"/>
                  <w:divBdr>
                    <w:top w:val="none" w:sz="0" w:space="0" w:color="auto"/>
                    <w:left w:val="none" w:sz="0" w:space="0" w:color="auto"/>
                    <w:bottom w:val="none" w:sz="0" w:space="0" w:color="auto"/>
                    <w:right w:val="none" w:sz="0" w:space="0" w:color="auto"/>
                  </w:divBdr>
                  <w:divsChild>
                    <w:div w:id="1612592420">
                      <w:marLeft w:val="0"/>
                      <w:marRight w:val="0"/>
                      <w:marTop w:val="0"/>
                      <w:marBottom w:val="0"/>
                      <w:divBdr>
                        <w:top w:val="none" w:sz="0" w:space="0" w:color="auto"/>
                        <w:left w:val="none" w:sz="0" w:space="0" w:color="auto"/>
                        <w:bottom w:val="none" w:sz="0" w:space="0" w:color="auto"/>
                        <w:right w:val="none" w:sz="0" w:space="0" w:color="auto"/>
                      </w:divBdr>
                      <w:divsChild>
                        <w:div w:id="2127383899">
                          <w:marLeft w:val="0"/>
                          <w:marRight w:val="0"/>
                          <w:marTop w:val="0"/>
                          <w:marBottom w:val="0"/>
                          <w:divBdr>
                            <w:top w:val="none" w:sz="0" w:space="0" w:color="auto"/>
                            <w:left w:val="none" w:sz="0" w:space="0" w:color="auto"/>
                            <w:bottom w:val="none" w:sz="0" w:space="0" w:color="auto"/>
                            <w:right w:val="none" w:sz="0" w:space="0" w:color="auto"/>
                          </w:divBdr>
                        </w:div>
                        <w:div w:id="10742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8288">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45693295">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749">
      <w:bodyDiv w:val="1"/>
      <w:marLeft w:val="0"/>
      <w:marRight w:val="0"/>
      <w:marTop w:val="0"/>
      <w:marBottom w:val="0"/>
      <w:divBdr>
        <w:top w:val="none" w:sz="0" w:space="0" w:color="auto"/>
        <w:left w:val="none" w:sz="0" w:space="0" w:color="auto"/>
        <w:bottom w:val="none" w:sz="0" w:space="0" w:color="auto"/>
        <w:right w:val="none" w:sz="0" w:space="0" w:color="auto"/>
      </w:divBdr>
    </w:div>
    <w:div w:id="1419525558">
      <w:bodyDiv w:val="1"/>
      <w:marLeft w:val="0"/>
      <w:marRight w:val="0"/>
      <w:marTop w:val="0"/>
      <w:marBottom w:val="0"/>
      <w:divBdr>
        <w:top w:val="none" w:sz="0" w:space="0" w:color="auto"/>
        <w:left w:val="none" w:sz="0" w:space="0" w:color="auto"/>
        <w:bottom w:val="none" w:sz="0" w:space="0" w:color="auto"/>
        <w:right w:val="none" w:sz="0" w:space="0" w:color="auto"/>
      </w:divBdr>
      <w:divsChild>
        <w:div w:id="1733193865">
          <w:marLeft w:val="0"/>
          <w:marRight w:val="0"/>
          <w:marTop w:val="0"/>
          <w:marBottom w:val="0"/>
          <w:divBdr>
            <w:top w:val="none" w:sz="0" w:space="0" w:color="auto"/>
            <w:left w:val="none" w:sz="0" w:space="0" w:color="auto"/>
            <w:bottom w:val="none" w:sz="0" w:space="0" w:color="auto"/>
            <w:right w:val="none" w:sz="0" w:space="0" w:color="auto"/>
          </w:divBdr>
          <w:divsChild>
            <w:div w:id="1195340047">
              <w:marLeft w:val="1050"/>
              <w:marRight w:val="1050"/>
              <w:marTop w:val="0"/>
              <w:marBottom w:val="0"/>
              <w:divBdr>
                <w:top w:val="none" w:sz="0" w:space="0" w:color="auto"/>
                <w:left w:val="none" w:sz="0" w:space="0" w:color="auto"/>
                <w:bottom w:val="none" w:sz="0" w:space="0" w:color="auto"/>
                <w:right w:val="none" w:sz="0" w:space="0" w:color="auto"/>
              </w:divBdr>
              <w:divsChild>
                <w:div w:id="1936861776">
                  <w:marLeft w:val="0"/>
                  <w:marRight w:val="0"/>
                  <w:marTop w:val="0"/>
                  <w:marBottom w:val="0"/>
                  <w:divBdr>
                    <w:top w:val="none" w:sz="0" w:space="0" w:color="auto"/>
                    <w:left w:val="none" w:sz="0" w:space="0" w:color="auto"/>
                    <w:bottom w:val="none" w:sz="0" w:space="0" w:color="auto"/>
                    <w:right w:val="none" w:sz="0" w:space="0" w:color="auto"/>
                  </w:divBdr>
                  <w:divsChild>
                    <w:div w:id="1607498323">
                      <w:marLeft w:val="0"/>
                      <w:marRight w:val="0"/>
                      <w:marTop w:val="0"/>
                      <w:marBottom w:val="0"/>
                      <w:divBdr>
                        <w:top w:val="none" w:sz="0" w:space="0" w:color="auto"/>
                        <w:left w:val="none" w:sz="0" w:space="0" w:color="auto"/>
                        <w:bottom w:val="none" w:sz="0" w:space="0" w:color="auto"/>
                        <w:right w:val="none" w:sz="0" w:space="0" w:color="auto"/>
                      </w:divBdr>
                      <w:divsChild>
                        <w:div w:id="861167812">
                          <w:marLeft w:val="0"/>
                          <w:marRight w:val="0"/>
                          <w:marTop w:val="0"/>
                          <w:marBottom w:val="0"/>
                          <w:divBdr>
                            <w:top w:val="none" w:sz="0" w:space="0" w:color="auto"/>
                            <w:left w:val="none" w:sz="0" w:space="0" w:color="auto"/>
                            <w:bottom w:val="none" w:sz="0" w:space="0" w:color="auto"/>
                            <w:right w:val="none" w:sz="0" w:space="0" w:color="auto"/>
                          </w:divBdr>
                          <w:divsChild>
                            <w:div w:id="1813792834">
                              <w:marLeft w:val="2700"/>
                              <w:marRight w:val="0"/>
                              <w:marTop w:val="0"/>
                              <w:marBottom w:val="0"/>
                              <w:divBdr>
                                <w:top w:val="none" w:sz="0" w:space="0" w:color="auto"/>
                                <w:left w:val="none" w:sz="0" w:space="0" w:color="auto"/>
                                <w:bottom w:val="none" w:sz="0" w:space="0" w:color="auto"/>
                                <w:right w:val="none" w:sz="0" w:space="0" w:color="auto"/>
                              </w:divBdr>
                              <w:divsChild>
                                <w:div w:id="1816801696">
                                  <w:marLeft w:val="0"/>
                                  <w:marRight w:val="0"/>
                                  <w:marTop w:val="0"/>
                                  <w:marBottom w:val="0"/>
                                  <w:divBdr>
                                    <w:top w:val="none" w:sz="0" w:space="0" w:color="auto"/>
                                    <w:left w:val="none" w:sz="0" w:space="0" w:color="auto"/>
                                    <w:bottom w:val="none" w:sz="0" w:space="0" w:color="auto"/>
                                    <w:right w:val="none" w:sz="0" w:space="0" w:color="auto"/>
                                  </w:divBdr>
                                  <w:divsChild>
                                    <w:div w:id="203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75069">
      <w:bodyDiv w:val="1"/>
      <w:marLeft w:val="0"/>
      <w:marRight w:val="0"/>
      <w:marTop w:val="0"/>
      <w:marBottom w:val="0"/>
      <w:divBdr>
        <w:top w:val="none" w:sz="0" w:space="0" w:color="auto"/>
        <w:left w:val="none" w:sz="0" w:space="0" w:color="auto"/>
        <w:bottom w:val="none" w:sz="0" w:space="0" w:color="auto"/>
        <w:right w:val="none" w:sz="0" w:space="0" w:color="auto"/>
      </w:divBdr>
    </w:div>
    <w:div w:id="1552231720">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14042510">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778209812">
      <w:bodyDiv w:val="1"/>
      <w:marLeft w:val="0"/>
      <w:marRight w:val="0"/>
      <w:marTop w:val="0"/>
      <w:marBottom w:val="0"/>
      <w:divBdr>
        <w:top w:val="none" w:sz="0" w:space="0" w:color="auto"/>
        <w:left w:val="none" w:sz="0" w:space="0" w:color="auto"/>
        <w:bottom w:val="none" w:sz="0" w:space="0" w:color="auto"/>
        <w:right w:val="none" w:sz="0" w:space="0" w:color="auto"/>
      </w:divBdr>
    </w:div>
    <w:div w:id="1844777517">
      <w:bodyDiv w:val="1"/>
      <w:marLeft w:val="0"/>
      <w:marRight w:val="0"/>
      <w:marTop w:val="0"/>
      <w:marBottom w:val="0"/>
      <w:divBdr>
        <w:top w:val="none" w:sz="0" w:space="0" w:color="auto"/>
        <w:left w:val="none" w:sz="0" w:space="0" w:color="auto"/>
        <w:bottom w:val="none" w:sz="0" w:space="0" w:color="auto"/>
        <w:right w:val="none" w:sz="0" w:space="0" w:color="auto"/>
      </w:divBdr>
      <w:divsChild>
        <w:div w:id="207305368">
          <w:marLeft w:val="0"/>
          <w:marRight w:val="0"/>
          <w:marTop w:val="0"/>
          <w:marBottom w:val="0"/>
          <w:divBdr>
            <w:top w:val="none" w:sz="0" w:space="0" w:color="auto"/>
            <w:left w:val="none" w:sz="0" w:space="0" w:color="auto"/>
            <w:bottom w:val="none" w:sz="0" w:space="0" w:color="auto"/>
            <w:right w:val="none" w:sz="0" w:space="0" w:color="auto"/>
          </w:divBdr>
          <w:divsChild>
            <w:div w:id="346756465">
              <w:marLeft w:val="1050"/>
              <w:marRight w:val="1050"/>
              <w:marTop w:val="0"/>
              <w:marBottom w:val="0"/>
              <w:divBdr>
                <w:top w:val="none" w:sz="0" w:space="0" w:color="auto"/>
                <w:left w:val="none" w:sz="0" w:space="0" w:color="auto"/>
                <w:bottom w:val="none" w:sz="0" w:space="0" w:color="auto"/>
                <w:right w:val="none" w:sz="0" w:space="0" w:color="auto"/>
              </w:divBdr>
              <w:divsChild>
                <w:div w:id="382103727">
                  <w:marLeft w:val="0"/>
                  <w:marRight w:val="0"/>
                  <w:marTop w:val="0"/>
                  <w:marBottom w:val="0"/>
                  <w:divBdr>
                    <w:top w:val="none" w:sz="0" w:space="0" w:color="auto"/>
                    <w:left w:val="none" w:sz="0" w:space="0" w:color="auto"/>
                    <w:bottom w:val="none" w:sz="0" w:space="0" w:color="auto"/>
                    <w:right w:val="none" w:sz="0" w:space="0" w:color="auto"/>
                  </w:divBdr>
                  <w:divsChild>
                    <w:div w:id="2036273030">
                      <w:marLeft w:val="0"/>
                      <w:marRight w:val="0"/>
                      <w:marTop w:val="0"/>
                      <w:marBottom w:val="0"/>
                      <w:divBdr>
                        <w:top w:val="none" w:sz="0" w:space="0" w:color="auto"/>
                        <w:left w:val="none" w:sz="0" w:space="0" w:color="auto"/>
                        <w:bottom w:val="none" w:sz="0" w:space="0" w:color="auto"/>
                        <w:right w:val="none" w:sz="0" w:space="0" w:color="auto"/>
                      </w:divBdr>
                      <w:divsChild>
                        <w:div w:id="159077912">
                          <w:marLeft w:val="0"/>
                          <w:marRight w:val="0"/>
                          <w:marTop w:val="0"/>
                          <w:marBottom w:val="0"/>
                          <w:divBdr>
                            <w:top w:val="none" w:sz="0" w:space="0" w:color="auto"/>
                            <w:left w:val="none" w:sz="0" w:space="0" w:color="auto"/>
                            <w:bottom w:val="none" w:sz="0" w:space="0" w:color="auto"/>
                            <w:right w:val="none" w:sz="0" w:space="0" w:color="auto"/>
                          </w:divBdr>
                          <w:divsChild>
                            <w:div w:id="1097403063">
                              <w:marLeft w:val="2700"/>
                              <w:marRight w:val="0"/>
                              <w:marTop w:val="0"/>
                              <w:marBottom w:val="0"/>
                              <w:divBdr>
                                <w:top w:val="none" w:sz="0" w:space="0" w:color="auto"/>
                                <w:left w:val="none" w:sz="0" w:space="0" w:color="auto"/>
                                <w:bottom w:val="none" w:sz="0" w:space="0" w:color="auto"/>
                                <w:right w:val="none" w:sz="0" w:space="0" w:color="auto"/>
                              </w:divBdr>
                              <w:divsChild>
                                <w:div w:id="680205989">
                                  <w:marLeft w:val="0"/>
                                  <w:marRight w:val="0"/>
                                  <w:marTop w:val="0"/>
                                  <w:marBottom w:val="0"/>
                                  <w:divBdr>
                                    <w:top w:val="none" w:sz="0" w:space="0" w:color="auto"/>
                                    <w:left w:val="none" w:sz="0" w:space="0" w:color="auto"/>
                                    <w:bottom w:val="none" w:sz="0" w:space="0" w:color="auto"/>
                                    <w:right w:val="none" w:sz="0" w:space="0" w:color="auto"/>
                                  </w:divBdr>
                                  <w:divsChild>
                                    <w:div w:id="14895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426146">
      <w:bodyDiv w:val="1"/>
      <w:marLeft w:val="0"/>
      <w:marRight w:val="0"/>
      <w:marTop w:val="0"/>
      <w:marBottom w:val="0"/>
      <w:divBdr>
        <w:top w:val="none" w:sz="0" w:space="0" w:color="auto"/>
        <w:left w:val="none" w:sz="0" w:space="0" w:color="auto"/>
        <w:bottom w:val="none" w:sz="0" w:space="0" w:color="auto"/>
        <w:right w:val="none" w:sz="0" w:space="0" w:color="auto"/>
      </w:divBdr>
    </w:div>
    <w:div w:id="1882743571">
      <w:bodyDiv w:val="1"/>
      <w:marLeft w:val="0"/>
      <w:marRight w:val="0"/>
      <w:marTop w:val="0"/>
      <w:marBottom w:val="0"/>
      <w:divBdr>
        <w:top w:val="none" w:sz="0" w:space="0" w:color="auto"/>
        <w:left w:val="none" w:sz="0" w:space="0" w:color="auto"/>
        <w:bottom w:val="none" w:sz="0" w:space="0" w:color="auto"/>
        <w:right w:val="none" w:sz="0" w:space="0" w:color="auto"/>
      </w:divBdr>
    </w:div>
    <w:div w:id="1919904305">
      <w:bodyDiv w:val="1"/>
      <w:marLeft w:val="0"/>
      <w:marRight w:val="0"/>
      <w:marTop w:val="0"/>
      <w:marBottom w:val="0"/>
      <w:divBdr>
        <w:top w:val="none" w:sz="0" w:space="0" w:color="auto"/>
        <w:left w:val="none" w:sz="0" w:space="0" w:color="auto"/>
        <w:bottom w:val="none" w:sz="0" w:space="0" w:color="auto"/>
        <w:right w:val="none" w:sz="0" w:space="0" w:color="auto"/>
      </w:divBdr>
    </w:div>
    <w:div w:id="1965576061">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29933">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0AED-B17A-4E56-9F9F-04C3F0D2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65361851</Template>
  <TotalTime>7</TotalTime>
  <Pages>6</Pages>
  <Words>2034</Words>
  <Characters>11022</Characters>
  <Application>Microsoft Office Word</Application>
  <DocSecurity>0</DocSecurity>
  <Lines>479</Lines>
  <Paragraphs>352</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12704</CharactersWithSpaces>
  <SharedDoc>false</SharedDoc>
  <HLinks>
    <vt:vector size="30" baseType="variant">
      <vt:variant>
        <vt:i4>7929914</vt:i4>
      </vt:variant>
      <vt:variant>
        <vt:i4>12</vt:i4>
      </vt:variant>
      <vt:variant>
        <vt:i4>0</vt:i4>
      </vt:variant>
      <vt:variant>
        <vt:i4>5</vt:i4>
      </vt:variant>
      <vt:variant>
        <vt:lpwstr>http://www.london.gov.uk/moderngov/documents/s25080/Work Programme.pdf</vt:lpwstr>
      </vt:variant>
      <vt:variant>
        <vt:lpwstr/>
      </vt:variant>
      <vt:variant>
        <vt:i4>3735653</vt:i4>
      </vt:variant>
      <vt:variant>
        <vt:i4>9</vt:i4>
      </vt:variant>
      <vt:variant>
        <vt:i4>0</vt:i4>
      </vt:variant>
      <vt:variant>
        <vt:i4>5</vt:i4>
      </vt:variant>
      <vt:variant>
        <vt:lpwstr>http://www.londoncouncils.gov.uk/policylobbying/transport/aviation/nightflyingrestrictions.htm</vt:lpwstr>
      </vt:variant>
      <vt:variant>
        <vt:lpwstr/>
      </vt:variant>
      <vt:variant>
        <vt:i4>262209</vt:i4>
      </vt:variant>
      <vt:variant>
        <vt:i4>6</vt:i4>
      </vt:variant>
      <vt:variant>
        <vt:i4>0</vt:i4>
      </vt:variant>
      <vt:variant>
        <vt:i4>5</vt:i4>
      </vt:variant>
      <vt:variant>
        <vt:lpwstr>http://www.londoncouncils.gov.uk/policylobbying/transport/aviation/aviationshortmediumoptions.htm</vt:lpwstr>
      </vt:variant>
      <vt:variant>
        <vt:lpwstr/>
      </vt:variant>
      <vt:variant>
        <vt:i4>1835083</vt:i4>
      </vt:variant>
      <vt:variant>
        <vt:i4>3</vt:i4>
      </vt:variant>
      <vt:variant>
        <vt:i4>0</vt:i4>
      </vt:variant>
      <vt:variant>
        <vt:i4>5</vt:i4>
      </vt:variant>
      <vt:variant>
        <vt:lpwstr>http://www.londoncouncils.gov.uk/policylobbying/transport/aviation/criteriaairportscommission.htm</vt:lpwstr>
      </vt:variant>
      <vt:variant>
        <vt:lpwstr/>
      </vt:variant>
      <vt:variant>
        <vt:i4>4718594</vt:i4>
      </vt:variant>
      <vt:variant>
        <vt:i4>0</vt:i4>
      </vt:variant>
      <vt:variant>
        <vt:i4>0</vt:i4>
      </vt:variant>
      <vt:variant>
        <vt:i4>5</vt:i4>
      </vt:variant>
      <vt:variant>
        <vt:lpwstr>http://www.londoncouncils.gov.uk/policylobbying/environment/waste/wasteprevention.htm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4</cp:revision>
  <cp:lastPrinted>2016-10-07T14:25:00Z</cp:lastPrinted>
  <dcterms:created xsi:type="dcterms:W3CDTF">2016-10-07T14:15:00Z</dcterms:created>
  <dcterms:modified xsi:type="dcterms:W3CDTF">2016-10-07T14:28:00Z</dcterms:modified>
</cp:coreProperties>
</file>