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14:paraId="03FBEB88" w14:textId="77777777" w:rsidTr="007871DC">
        <w:trPr>
          <w:cantSplit/>
        </w:trPr>
        <w:tc>
          <w:tcPr>
            <w:tcW w:w="9640" w:type="dxa"/>
            <w:gridSpan w:val="8"/>
            <w:tcBorders>
              <w:top w:val="nil"/>
              <w:bottom w:val="nil"/>
            </w:tcBorders>
          </w:tcPr>
          <w:p w14:paraId="1356CCCF" w14:textId="73474DD6" w:rsidR="000F11AE" w:rsidRDefault="007871DC" w:rsidP="009737C0">
            <w:pPr>
              <w:pStyle w:val="algHeading1"/>
            </w:pPr>
            <w:r w:rsidRPr="00E562D7">
              <w:rPr>
                <w:rFonts w:cs="Arial"/>
              </w:rPr>
              <w:t>London Councils</w:t>
            </w:r>
            <w:r>
              <w:rPr>
                <w:rFonts w:cs="Arial"/>
              </w:rPr>
              <w:t>’ T</w:t>
            </w:r>
            <w:r w:rsidR="009737C0">
              <w:rPr>
                <w:rFonts w:cs="Arial"/>
              </w:rPr>
              <w:t>EC Executive Sub Committee</w:t>
            </w:r>
          </w:p>
        </w:tc>
      </w:tr>
      <w:tr w:rsidR="000F11AE" w14:paraId="52896A5B" w14:textId="77777777" w:rsidTr="007871DC">
        <w:trPr>
          <w:cantSplit/>
          <w:trHeight w:val="275"/>
        </w:trPr>
        <w:tc>
          <w:tcPr>
            <w:tcW w:w="9640" w:type="dxa"/>
            <w:gridSpan w:val="8"/>
            <w:tcBorders>
              <w:top w:val="nil"/>
              <w:bottom w:val="nil"/>
            </w:tcBorders>
          </w:tcPr>
          <w:p w14:paraId="72877B13" w14:textId="77777777" w:rsidR="000F11AE" w:rsidRPr="007871DC" w:rsidRDefault="000F11AE" w:rsidP="007871DC">
            <w:pPr>
              <w:pStyle w:val="Spacer"/>
              <w:rPr>
                <w:sz w:val="22"/>
              </w:rPr>
            </w:pPr>
          </w:p>
        </w:tc>
      </w:tr>
      <w:tr w:rsidR="000F11AE" w:rsidRPr="00CB2B3F" w14:paraId="306FAC66" w14:textId="77777777" w:rsidTr="007871DC">
        <w:trPr>
          <w:cantSplit/>
        </w:trPr>
        <w:tc>
          <w:tcPr>
            <w:tcW w:w="6442" w:type="dxa"/>
            <w:gridSpan w:val="6"/>
            <w:tcBorders>
              <w:top w:val="nil"/>
              <w:bottom w:val="nil"/>
            </w:tcBorders>
          </w:tcPr>
          <w:p w14:paraId="7CC218F8" w14:textId="77777777" w:rsidR="000F11AE" w:rsidRPr="00BE0F4D" w:rsidRDefault="006179DB" w:rsidP="00A71453">
            <w:pPr>
              <w:pStyle w:val="algHeading2"/>
              <w:numPr>
                <w:ilvl w:val="0"/>
                <w:numId w:val="0"/>
              </w:numPr>
              <w:rPr>
                <w:sz w:val="44"/>
              </w:rPr>
            </w:pPr>
            <w:r>
              <w:rPr>
                <w:sz w:val="44"/>
              </w:rPr>
              <w:t xml:space="preserve">Green Infrastructure </w:t>
            </w:r>
            <w:r w:rsidR="00A71453">
              <w:rPr>
                <w:sz w:val="44"/>
              </w:rPr>
              <w:t>Pa</w:t>
            </w:r>
            <w:r>
              <w:rPr>
                <w:sz w:val="44"/>
              </w:rPr>
              <w:t>rtnerships</w:t>
            </w:r>
          </w:p>
        </w:tc>
        <w:tc>
          <w:tcPr>
            <w:tcW w:w="2347" w:type="dxa"/>
            <w:tcBorders>
              <w:top w:val="nil"/>
              <w:bottom w:val="nil"/>
            </w:tcBorders>
          </w:tcPr>
          <w:p w14:paraId="3D44E239" w14:textId="77777777" w:rsidR="000F11AE" w:rsidRPr="00BE0F4D" w:rsidRDefault="000F11AE" w:rsidP="00BE0F4D">
            <w:pPr>
              <w:pStyle w:val="algHeading2"/>
              <w:numPr>
                <w:ilvl w:val="0"/>
                <w:numId w:val="0"/>
              </w:numPr>
              <w:rPr>
                <w:sz w:val="44"/>
              </w:rPr>
            </w:pPr>
            <w:r w:rsidRPr="00BE0F4D">
              <w:rPr>
                <w:sz w:val="44"/>
              </w:rPr>
              <w:t>Item no:</w:t>
            </w:r>
          </w:p>
        </w:tc>
        <w:tc>
          <w:tcPr>
            <w:tcW w:w="851" w:type="dxa"/>
            <w:tcBorders>
              <w:top w:val="nil"/>
              <w:bottom w:val="nil"/>
            </w:tcBorders>
          </w:tcPr>
          <w:p w14:paraId="16A76F90" w14:textId="460FEA78" w:rsidR="00CB2B3F" w:rsidRPr="00BE0F4D" w:rsidRDefault="009737C0" w:rsidP="009737C0">
            <w:pPr>
              <w:pStyle w:val="algHeading2"/>
              <w:numPr>
                <w:ilvl w:val="0"/>
                <w:numId w:val="0"/>
              </w:numPr>
              <w:rPr>
                <w:sz w:val="44"/>
              </w:rPr>
            </w:pPr>
            <w:r>
              <w:rPr>
                <w:sz w:val="44"/>
              </w:rPr>
              <w:t>07</w:t>
            </w:r>
          </w:p>
        </w:tc>
      </w:tr>
      <w:tr w:rsidR="000F11AE" w:rsidRPr="00CB2B3F" w14:paraId="6C156BC7" w14:textId="77777777" w:rsidTr="007871DC">
        <w:trPr>
          <w:cantSplit/>
        </w:trPr>
        <w:tc>
          <w:tcPr>
            <w:tcW w:w="9640" w:type="dxa"/>
            <w:gridSpan w:val="8"/>
            <w:tcBorders>
              <w:top w:val="nil"/>
              <w:bottom w:val="nil"/>
            </w:tcBorders>
          </w:tcPr>
          <w:p w14:paraId="47358AAA" w14:textId="77777777" w:rsidR="000F11AE" w:rsidRPr="007252A2" w:rsidRDefault="000F11AE" w:rsidP="00BE0F4D">
            <w:pPr>
              <w:pStyle w:val="Spacer"/>
              <w:ind w:left="0"/>
              <w:rPr>
                <w:sz w:val="22"/>
              </w:rPr>
            </w:pPr>
          </w:p>
        </w:tc>
      </w:tr>
      <w:tr w:rsidR="000F11AE" w14:paraId="6D8C431B" w14:textId="77777777" w:rsidTr="007252A2">
        <w:trPr>
          <w:cantSplit/>
        </w:trPr>
        <w:tc>
          <w:tcPr>
            <w:tcW w:w="1843" w:type="dxa"/>
            <w:tcBorders>
              <w:top w:val="nil"/>
              <w:bottom w:val="nil"/>
              <w:right w:val="nil"/>
            </w:tcBorders>
          </w:tcPr>
          <w:p w14:paraId="0CD4B133" w14:textId="77777777" w:rsidR="000F11AE" w:rsidRDefault="000F11AE" w:rsidP="007871DC">
            <w:pPr>
              <w:pStyle w:val="algFormBold"/>
              <w:rPr>
                <w:noProof/>
              </w:rPr>
            </w:pPr>
            <w:r>
              <w:rPr>
                <w:noProof/>
              </w:rPr>
              <w:t>Report by:</w:t>
            </w:r>
          </w:p>
        </w:tc>
        <w:tc>
          <w:tcPr>
            <w:tcW w:w="2225" w:type="dxa"/>
            <w:gridSpan w:val="2"/>
            <w:tcBorders>
              <w:top w:val="nil"/>
              <w:left w:val="nil"/>
              <w:bottom w:val="nil"/>
              <w:right w:val="nil"/>
            </w:tcBorders>
          </w:tcPr>
          <w:p w14:paraId="569EA766" w14:textId="77777777" w:rsidR="000F11AE" w:rsidRDefault="00E02A10" w:rsidP="007871DC">
            <w:pPr>
              <w:pStyle w:val="algForm"/>
              <w:rPr>
                <w:noProof/>
              </w:rPr>
            </w:pPr>
            <w:r>
              <w:rPr>
                <w:noProof/>
              </w:rPr>
              <w:t>Jennifer Sibley</w:t>
            </w:r>
          </w:p>
        </w:tc>
        <w:tc>
          <w:tcPr>
            <w:tcW w:w="1440" w:type="dxa"/>
            <w:gridSpan w:val="2"/>
            <w:tcBorders>
              <w:top w:val="nil"/>
              <w:left w:val="nil"/>
              <w:bottom w:val="nil"/>
              <w:right w:val="nil"/>
            </w:tcBorders>
          </w:tcPr>
          <w:p w14:paraId="1F88E4E6" w14:textId="77777777" w:rsidR="000F11AE" w:rsidRDefault="000F11AE" w:rsidP="007871DC">
            <w:pPr>
              <w:pStyle w:val="algFormBold"/>
              <w:ind w:left="0"/>
              <w:rPr>
                <w:noProof/>
              </w:rPr>
            </w:pPr>
            <w:r>
              <w:rPr>
                <w:noProof/>
              </w:rPr>
              <w:t>Job title:</w:t>
            </w:r>
          </w:p>
        </w:tc>
        <w:tc>
          <w:tcPr>
            <w:tcW w:w="4132" w:type="dxa"/>
            <w:gridSpan w:val="3"/>
            <w:tcBorders>
              <w:top w:val="nil"/>
              <w:left w:val="nil"/>
              <w:bottom w:val="nil"/>
            </w:tcBorders>
          </w:tcPr>
          <w:p w14:paraId="61C21429" w14:textId="77777777" w:rsidR="000F11AE" w:rsidRDefault="00E02A10" w:rsidP="00F037E8">
            <w:pPr>
              <w:pStyle w:val="algForm"/>
            </w:pPr>
            <w:r>
              <w:t>Principal Policy Officer</w:t>
            </w:r>
          </w:p>
        </w:tc>
      </w:tr>
      <w:tr w:rsidR="000F11AE" w14:paraId="6F81DA27" w14:textId="77777777" w:rsidTr="007871DC">
        <w:trPr>
          <w:cantSplit/>
        </w:trPr>
        <w:tc>
          <w:tcPr>
            <w:tcW w:w="1843" w:type="dxa"/>
            <w:tcBorders>
              <w:top w:val="nil"/>
              <w:bottom w:val="nil"/>
              <w:right w:val="nil"/>
            </w:tcBorders>
          </w:tcPr>
          <w:p w14:paraId="38F75753" w14:textId="77777777" w:rsidR="000F11AE" w:rsidRDefault="000F11AE" w:rsidP="007871DC">
            <w:pPr>
              <w:pStyle w:val="algFormBold"/>
              <w:rPr>
                <w:noProof/>
              </w:rPr>
            </w:pPr>
            <w:r>
              <w:rPr>
                <w:noProof/>
              </w:rPr>
              <w:t>Date:</w:t>
            </w:r>
          </w:p>
        </w:tc>
        <w:tc>
          <w:tcPr>
            <w:tcW w:w="7797" w:type="dxa"/>
            <w:gridSpan w:val="7"/>
            <w:tcBorders>
              <w:top w:val="nil"/>
              <w:left w:val="nil"/>
              <w:bottom w:val="nil"/>
            </w:tcBorders>
          </w:tcPr>
          <w:p w14:paraId="03DDD004" w14:textId="77777777" w:rsidR="000F11AE" w:rsidRDefault="00E02A10" w:rsidP="006B400D">
            <w:pPr>
              <w:pStyle w:val="algForm"/>
            </w:pPr>
            <w:r>
              <w:rPr>
                <w:rFonts w:cs="Arial"/>
              </w:rPr>
              <w:t>21 July</w:t>
            </w:r>
            <w:r w:rsidR="006B400D">
              <w:rPr>
                <w:rFonts w:cs="Arial"/>
              </w:rPr>
              <w:t xml:space="preserve"> </w:t>
            </w:r>
            <w:r w:rsidR="00C865C0">
              <w:rPr>
                <w:rFonts w:cs="Arial"/>
              </w:rPr>
              <w:t>2016</w:t>
            </w:r>
            <w:r w:rsidR="0035583F">
              <w:rPr>
                <w:rFonts w:cs="Arial"/>
              </w:rPr>
              <w:t xml:space="preserve"> </w:t>
            </w:r>
          </w:p>
        </w:tc>
      </w:tr>
      <w:tr w:rsidR="00E02A10" w14:paraId="3E75C49E" w14:textId="77777777" w:rsidTr="007871DC">
        <w:trPr>
          <w:cantSplit/>
        </w:trPr>
        <w:tc>
          <w:tcPr>
            <w:tcW w:w="1843" w:type="dxa"/>
            <w:tcBorders>
              <w:top w:val="nil"/>
              <w:bottom w:val="nil"/>
              <w:right w:val="nil"/>
            </w:tcBorders>
          </w:tcPr>
          <w:p w14:paraId="639B0CEA" w14:textId="77777777" w:rsidR="00E02A10" w:rsidRDefault="00E02A10" w:rsidP="00E02A10">
            <w:pPr>
              <w:pStyle w:val="algFormBold"/>
              <w:rPr>
                <w:noProof/>
              </w:rPr>
            </w:pPr>
            <w:r>
              <w:rPr>
                <w:noProof/>
              </w:rPr>
              <w:t>Contact Officer:</w:t>
            </w:r>
          </w:p>
        </w:tc>
        <w:tc>
          <w:tcPr>
            <w:tcW w:w="7797" w:type="dxa"/>
            <w:gridSpan w:val="7"/>
            <w:tcBorders>
              <w:top w:val="nil"/>
              <w:left w:val="nil"/>
              <w:bottom w:val="nil"/>
            </w:tcBorders>
          </w:tcPr>
          <w:p w14:paraId="4E4B6BDC" w14:textId="77777777" w:rsidR="00E02A10" w:rsidRDefault="00E02A10" w:rsidP="00E02A10">
            <w:pPr>
              <w:pStyle w:val="algForm"/>
              <w:rPr>
                <w:noProof/>
              </w:rPr>
            </w:pPr>
            <w:r>
              <w:rPr>
                <w:noProof/>
              </w:rPr>
              <w:t>Jennifer Sibley</w:t>
            </w:r>
          </w:p>
        </w:tc>
      </w:tr>
      <w:tr w:rsidR="000F11AE" w14:paraId="37850FBD" w14:textId="77777777" w:rsidTr="007871DC">
        <w:trPr>
          <w:cantSplit/>
        </w:trPr>
        <w:tc>
          <w:tcPr>
            <w:tcW w:w="1843" w:type="dxa"/>
            <w:tcBorders>
              <w:top w:val="nil"/>
              <w:bottom w:val="nil"/>
              <w:right w:val="nil"/>
            </w:tcBorders>
          </w:tcPr>
          <w:p w14:paraId="4704B83D" w14:textId="77777777" w:rsidR="000F11AE" w:rsidRDefault="000F11AE" w:rsidP="007871DC">
            <w:pPr>
              <w:pStyle w:val="algFormBold"/>
              <w:rPr>
                <w:noProof/>
              </w:rPr>
            </w:pPr>
            <w:r>
              <w:rPr>
                <w:noProof/>
              </w:rPr>
              <w:t>Telephone:</w:t>
            </w:r>
          </w:p>
        </w:tc>
        <w:tc>
          <w:tcPr>
            <w:tcW w:w="2045" w:type="dxa"/>
            <w:tcBorders>
              <w:top w:val="nil"/>
              <w:left w:val="nil"/>
              <w:bottom w:val="nil"/>
              <w:right w:val="nil"/>
            </w:tcBorders>
          </w:tcPr>
          <w:p w14:paraId="1B1CEA02" w14:textId="77777777" w:rsidR="000F11AE" w:rsidRDefault="000F11AE" w:rsidP="00E02A10">
            <w:pPr>
              <w:pStyle w:val="algForm"/>
              <w:rPr>
                <w:noProof/>
              </w:rPr>
            </w:pPr>
            <w:r>
              <w:rPr>
                <w:noProof/>
              </w:rPr>
              <w:t>020 793</w:t>
            </w:r>
            <w:r w:rsidR="001A0256">
              <w:rPr>
                <w:noProof/>
              </w:rPr>
              <w:t xml:space="preserve">4 </w:t>
            </w:r>
            <w:r w:rsidR="00E02A10">
              <w:rPr>
                <w:noProof/>
              </w:rPr>
              <w:t>9829</w:t>
            </w:r>
          </w:p>
        </w:tc>
        <w:tc>
          <w:tcPr>
            <w:tcW w:w="1260" w:type="dxa"/>
            <w:gridSpan w:val="2"/>
            <w:tcBorders>
              <w:top w:val="nil"/>
              <w:left w:val="nil"/>
              <w:bottom w:val="nil"/>
              <w:right w:val="nil"/>
            </w:tcBorders>
          </w:tcPr>
          <w:p w14:paraId="3F4A0D24" w14:textId="77777777" w:rsidR="000F11AE" w:rsidRDefault="000F11AE" w:rsidP="007871DC">
            <w:pPr>
              <w:pStyle w:val="algFormBold"/>
              <w:ind w:left="0"/>
              <w:rPr>
                <w:noProof/>
              </w:rPr>
            </w:pPr>
            <w:r>
              <w:rPr>
                <w:noProof/>
              </w:rPr>
              <w:t>Email:</w:t>
            </w:r>
          </w:p>
        </w:tc>
        <w:tc>
          <w:tcPr>
            <w:tcW w:w="4492" w:type="dxa"/>
            <w:gridSpan w:val="4"/>
            <w:tcBorders>
              <w:top w:val="nil"/>
              <w:left w:val="nil"/>
              <w:bottom w:val="nil"/>
            </w:tcBorders>
          </w:tcPr>
          <w:p w14:paraId="16E703AF" w14:textId="77777777" w:rsidR="000F11AE" w:rsidRDefault="00E02A10" w:rsidP="00F037E8">
            <w:pPr>
              <w:pStyle w:val="algForm"/>
              <w:rPr>
                <w:noProof/>
              </w:rPr>
            </w:pPr>
            <w:r>
              <w:rPr>
                <w:noProof/>
              </w:rPr>
              <w:t>Jennifer.sibley</w:t>
            </w:r>
            <w:r w:rsidR="000F11AE">
              <w:rPr>
                <w:noProof/>
              </w:rPr>
              <w:t>@londoncouncils.gov.uk</w:t>
            </w:r>
          </w:p>
        </w:tc>
      </w:tr>
      <w:tr w:rsidR="000F11AE" w14:paraId="1ADDDB07" w14:textId="77777777" w:rsidTr="007871DC">
        <w:trPr>
          <w:cantSplit/>
        </w:trPr>
        <w:tc>
          <w:tcPr>
            <w:tcW w:w="9640" w:type="dxa"/>
            <w:gridSpan w:val="8"/>
            <w:tcBorders>
              <w:top w:val="nil"/>
              <w:bottom w:val="single" w:sz="4" w:space="0" w:color="auto"/>
            </w:tcBorders>
          </w:tcPr>
          <w:p w14:paraId="06B9A439" w14:textId="77777777" w:rsidR="000F11AE" w:rsidRDefault="000F11AE" w:rsidP="007871DC">
            <w:pPr>
              <w:pStyle w:val="Spacer"/>
              <w:rPr>
                <w:sz w:val="18"/>
              </w:rPr>
            </w:pPr>
          </w:p>
        </w:tc>
      </w:tr>
    </w:tbl>
    <w:tbl>
      <w:tblPr>
        <w:tblpPr w:leftFromText="180" w:rightFromText="180" w:vertAnchor="page" w:horzAnchor="margin" w:tblpY="7871"/>
        <w:tblW w:w="9605" w:type="dxa"/>
        <w:tblLook w:val="01E0" w:firstRow="1" w:lastRow="1" w:firstColumn="1" w:lastColumn="1" w:noHBand="0" w:noVBand="0"/>
      </w:tblPr>
      <w:tblGrid>
        <w:gridCol w:w="2324"/>
        <w:gridCol w:w="7281"/>
      </w:tblGrid>
      <w:tr w:rsidR="00A71453" w:rsidRPr="007F04F3" w14:paraId="1EA10672" w14:textId="77777777" w:rsidTr="00A71453">
        <w:trPr>
          <w:trHeight w:val="686"/>
        </w:trPr>
        <w:tc>
          <w:tcPr>
            <w:tcW w:w="2324" w:type="dxa"/>
            <w:shd w:val="clear" w:color="auto" w:fill="auto"/>
          </w:tcPr>
          <w:p w14:paraId="4C28577C" w14:textId="77777777" w:rsidR="00A71453" w:rsidRPr="00A71453" w:rsidRDefault="00A71453" w:rsidP="00A71453">
            <w:pPr>
              <w:spacing w:before="120" w:line="360" w:lineRule="auto"/>
              <w:rPr>
                <w:b/>
                <w:bCs/>
              </w:rPr>
            </w:pPr>
            <w:r>
              <w:rPr>
                <w:b/>
                <w:bCs/>
              </w:rPr>
              <w:t>S</w:t>
            </w:r>
            <w:r w:rsidRPr="00A71453">
              <w:rPr>
                <w:b/>
                <w:bCs/>
              </w:rPr>
              <w:t>ummary</w:t>
            </w:r>
          </w:p>
        </w:tc>
        <w:tc>
          <w:tcPr>
            <w:tcW w:w="7281" w:type="dxa"/>
            <w:shd w:val="clear" w:color="auto" w:fill="auto"/>
          </w:tcPr>
          <w:p w14:paraId="42B115E0" w14:textId="77777777" w:rsidR="00A71453" w:rsidRPr="00A71453" w:rsidRDefault="00A71453" w:rsidP="00A71453">
            <w:pPr>
              <w:widowControl w:val="0"/>
              <w:autoSpaceDE w:val="0"/>
              <w:autoSpaceDN w:val="0"/>
              <w:adjustRightInd w:val="0"/>
              <w:spacing w:before="120" w:after="120" w:line="360" w:lineRule="auto"/>
              <w:rPr>
                <w:rFonts w:cs="Arial"/>
              </w:rPr>
            </w:pPr>
            <w:r w:rsidRPr="00A71453">
              <w:rPr>
                <w:rFonts w:cs="Arial"/>
              </w:rPr>
              <w:t xml:space="preserve">This report provides members with the recommendations made as part of the Mayor’s Green Infrastructure Taskforce that affect boroughs and TEC, and sets out suggestions on how they could be achieved. </w:t>
            </w:r>
          </w:p>
        </w:tc>
      </w:tr>
      <w:tr w:rsidR="00A71453" w:rsidRPr="007F04F3" w14:paraId="678272EC" w14:textId="77777777" w:rsidTr="00A71453">
        <w:trPr>
          <w:trHeight w:val="424"/>
        </w:trPr>
        <w:tc>
          <w:tcPr>
            <w:tcW w:w="2324" w:type="dxa"/>
            <w:shd w:val="clear" w:color="auto" w:fill="auto"/>
          </w:tcPr>
          <w:p w14:paraId="2281159D" w14:textId="77777777" w:rsidR="00A71453" w:rsidRPr="007F04F3" w:rsidRDefault="00A71453" w:rsidP="00A71453">
            <w:pPr>
              <w:spacing w:before="120" w:line="360" w:lineRule="auto"/>
              <w:rPr>
                <w:b/>
                <w:bCs/>
              </w:rPr>
            </w:pPr>
            <w:r w:rsidRPr="007F04F3">
              <w:rPr>
                <w:b/>
                <w:bCs/>
              </w:rPr>
              <w:t>Recommendations</w:t>
            </w:r>
          </w:p>
        </w:tc>
        <w:tc>
          <w:tcPr>
            <w:tcW w:w="7281" w:type="dxa"/>
            <w:shd w:val="clear" w:color="auto" w:fill="auto"/>
          </w:tcPr>
          <w:p w14:paraId="6D56721E" w14:textId="77777777" w:rsidR="001020DD" w:rsidRDefault="001020DD" w:rsidP="001020DD">
            <w:pPr>
              <w:autoSpaceDE w:val="0"/>
              <w:autoSpaceDN w:val="0"/>
              <w:adjustRightInd w:val="0"/>
              <w:spacing w:before="240"/>
              <w:rPr>
                <w:rFonts w:ascii="OfficinaSansITCTTBook" w:hAnsi="OfficinaSansITCTTBook" w:cs="OfficinaSansITCTTBook"/>
                <w:lang w:eastAsia="en-GB"/>
              </w:rPr>
            </w:pPr>
            <w:r w:rsidRPr="00FB761B">
              <w:rPr>
                <w:rFonts w:ascii="OfficinaSansITCTTBook" w:hAnsi="OfficinaSansITCTTBook" w:cs="OfficinaSansITCTTBook"/>
                <w:lang w:eastAsia="en-GB"/>
              </w:rPr>
              <w:t xml:space="preserve">TEC Executive is asked to: </w:t>
            </w:r>
          </w:p>
          <w:p w14:paraId="2864DFF5" w14:textId="77777777" w:rsidR="001020DD" w:rsidRDefault="001020DD" w:rsidP="001020DD">
            <w:pPr>
              <w:pStyle w:val="ListParagraph"/>
              <w:numPr>
                <w:ilvl w:val="0"/>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Note and discuss the report. In particular;</w:t>
            </w:r>
          </w:p>
          <w:p w14:paraId="40F07DF7" w14:textId="77777777" w:rsidR="001020DD" w:rsidRDefault="001020DD" w:rsidP="001020DD">
            <w:pPr>
              <w:pStyle w:val="ListParagraph"/>
              <w:numPr>
                <w:ilvl w:val="1"/>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Consider whether lobbying on the new London Plan and for locally set planning fees is the right approach to see green infrastructure ‘mainstreamed’ in London;</w:t>
            </w:r>
          </w:p>
          <w:p w14:paraId="0637E24E" w14:textId="77777777" w:rsidR="00A71453" w:rsidRDefault="001020DD" w:rsidP="001020DD">
            <w:pPr>
              <w:pStyle w:val="ListParagraph"/>
              <w:numPr>
                <w:ilvl w:val="1"/>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Provide a steer on whether surveying boroughs and asking the GLA for an annual assessment of green infrastructure should happen. </w:t>
            </w:r>
          </w:p>
          <w:p w14:paraId="2B67D3F2" w14:textId="77777777" w:rsidR="001020DD" w:rsidRDefault="001020DD" w:rsidP="001020DD">
            <w:pPr>
              <w:autoSpaceDE w:val="0"/>
              <w:autoSpaceDN w:val="0"/>
              <w:adjustRightInd w:val="0"/>
              <w:spacing w:before="240"/>
              <w:rPr>
                <w:rFonts w:ascii="OfficinaSansITCTTBook" w:hAnsi="OfficinaSansITCTTBook" w:cs="OfficinaSansITCTTBook"/>
                <w:lang w:eastAsia="en-GB"/>
              </w:rPr>
            </w:pPr>
          </w:p>
          <w:p w14:paraId="493AAB5A" w14:textId="77777777" w:rsidR="001020DD" w:rsidRDefault="001020DD" w:rsidP="001020DD">
            <w:pPr>
              <w:autoSpaceDE w:val="0"/>
              <w:autoSpaceDN w:val="0"/>
              <w:adjustRightInd w:val="0"/>
              <w:spacing w:before="240"/>
              <w:rPr>
                <w:rFonts w:ascii="OfficinaSansITCTTBook" w:hAnsi="OfficinaSansITCTTBook" w:cs="OfficinaSansITCTTBook"/>
                <w:lang w:eastAsia="en-GB"/>
              </w:rPr>
            </w:pPr>
          </w:p>
          <w:p w14:paraId="6ACC7DA0" w14:textId="77777777" w:rsidR="001020DD" w:rsidRDefault="001020DD" w:rsidP="001020DD">
            <w:pPr>
              <w:autoSpaceDE w:val="0"/>
              <w:autoSpaceDN w:val="0"/>
              <w:adjustRightInd w:val="0"/>
              <w:spacing w:before="240"/>
              <w:rPr>
                <w:rFonts w:ascii="OfficinaSansITCTTBook" w:hAnsi="OfficinaSansITCTTBook" w:cs="OfficinaSansITCTTBook"/>
                <w:lang w:eastAsia="en-GB"/>
              </w:rPr>
            </w:pPr>
          </w:p>
          <w:p w14:paraId="41FC4C79" w14:textId="77777777" w:rsidR="001020DD" w:rsidRDefault="001020DD" w:rsidP="001020DD">
            <w:pPr>
              <w:autoSpaceDE w:val="0"/>
              <w:autoSpaceDN w:val="0"/>
              <w:adjustRightInd w:val="0"/>
              <w:spacing w:before="240"/>
              <w:rPr>
                <w:rFonts w:ascii="OfficinaSansITCTTBook" w:hAnsi="OfficinaSansITCTTBook" w:cs="OfficinaSansITCTTBook"/>
                <w:lang w:eastAsia="en-GB"/>
              </w:rPr>
            </w:pPr>
          </w:p>
          <w:p w14:paraId="27CFBC95" w14:textId="516AB894" w:rsidR="001020DD" w:rsidRPr="001020DD" w:rsidRDefault="001020DD" w:rsidP="001020DD">
            <w:pPr>
              <w:autoSpaceDE w:val="0"/>
              <w:autoSpaceDN w:val="0"/>
              <w:adjustRightInd w:val="0"/>
              <w:spacing w:before="240"/>
              <w:rPr>
                <w:rFonts w:ascii="OfficinaSansITCTTBook" w:hAnsi="OfficinaSansITCTTBook" w:cs="OfficinaSansITCTTBook"/>
                <w:lang w:eastAsia="en-GB"/>
              </w:rPr>
            </w:pPr>
          </w:p>
        </w:tc>
      </w:tr>
    </w:tbl>
    <w:p w14:paraId="127FBCED" w14:textId="77777777" w:rsidR="000F11AE" w:rsidRDefault="00AB64ED" w:rsidP="007871DC">
      <w:pPr>
        <w:jc w:val="right"/>
        <w:rPr>
          <w:noProof/>
        </w:rPr>
      </w:pPr>
      <w:r>
        <w:rPr>
          <w:noProof/>
          <w:lang w:eastAsia="en-GB"/>
        </w:rPr>
        <w:drawing>
          <wp:anchor distT="0" distB="0" distL="114300" distR="114300" simplePos="0" relativeHeight="251657728" behindDoc="1" locked="0" layoutInCell="1" allowOverlap="1" wp14:anchorId="15252A33" wp14:editId="4DD0B1FB">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F86DF" w14:textId="77777777" w:rsidR="000F11AE" w:rsidRDefault="000F11AE" w:rsidP="00BE0F4D">
      <w:pPr>
        <w:pStyle w:val="algHeading2"/>
        <w:numPr>
          <w:ilvl w:val="0"/>
          <w:numId w:val="0"/>
        </w:numPr>
        <w:ind w:left="360" w:hanging="360"/>
      </w:pPr>
    </w:p>
    <w:p w14:paraId="2CDD957C" w14:textId="77777777" w:rsidR="007252A2" w:rsidRPr="00174717" w:rsidRDefault="007252A2" w:rsidP="00F83D32">
      <w:pPr>
        <w:spacing w:after="120"/>
        <w:jc w:val="both"/>
        <w:rPr>
          <w:rFonts w:cs="Arial"/>
          <w:b/>
        </w:rPr>
      </w:pPr>
      <w:r w:rsidRPr="00174717">
        <w:rPr>
          <w:rFonts w:cs="Arial"/>
          <w:b/>
        </w:rPr>
        <w:lastRenderedPageBreak/>
        <w:t>Introduction</w:t>
      </w:r>
    </w:p>
    <w:p w14:paraId="4BBC6E64" w14:textId="77777777" w:rsidR="00174717" w:rsidRDefault="00174717" w:rsidP="006179DB">
      <w:pPr>
        <w:pStyle w:val="ListParagraph"/>
        <w:numPr>
          <w:ilvl w:val="0"/>
          <w:numId w:val="45"/>
        </w:numPr>
        <w:spacing w:after="120"/>
        <w:jc w:val="both"/>
      </w:pPr>
      <w:r>
        <w:t xml:space="preserve">Green Infrastructure is a term that recognises that trees, planting and parks provide a greater service than amenity benefits alone. Green infrastructure encompasses the full range of greening; from parks, trees and flower beds to swales, green walls, rain gardens and green roofs. The benefits and services provided by green infrastructure include air quality improvements, biodiversity benefits, protecting the city from the urban heat effect by providing shade, and reducing flood risk by capturing rainfall in more natural ways, reducing surface water run-off and ‘flash flooding’. </w:t>
      </w:r>
    </w:p>
    <w:p w14:paraId="16E3E2F3" w14:textId="77777777" w:rsidR="006179DB" w:rsidRDefault="006179DB" w:rsidP="006179DB">
      <w:pPr>
        <w:pStyle w:val="ListParagraph"/>
        <w:numPr>
          <w:ilvl w:val="0"/>
          <w:numId w:val="45"/>
        </w:numPr>
        <w:spacing w:after="120"/>
        <w:jc w:val="both"/>
      </w:pPr>
      <w:r>
        <w:t xml:space="preserve">In March 2016 TEC members received a report entitled Mayor’s </w:t>
      </w:r>
      <w:r w:rsidR="00624846">
        <w:t xml:space="preserve">Green Infrastructure Taskforce. This report provided members with information about the Taskforce, its focus and its recommendations, including those that were for boroughs and London Councils to consider. </w:t>
      </w:r>
    </w:p>
    <w:p w14:paraId="3F8637FA" w14:textId="77777777" w:rsidR="00624846" w:rsidRDefault="00624846" w:rsidP="006179DB">
      <w:pPr>
        <w:pStyle w:val="ListParagraph"/>
        <w:numPr>
          <w:ilvl w:val="0"/>
          <w:numId w:val="45"/>
        </w:numPr>
        <w:spacing w:after="120"/>
        <w:jc w:val="both"/>
      </w:pPr>
      <w:r>
        <w:t xml:space="preserve">The recommendations </w:t>
      </w:r>
      <w:r w:rsidR="00BF7D97">
        <w:t xml:space="preserve">for boroughs and London Councils </w:t>
      </w:r>
      <w:r>
        <w:t xml:space="preserve">were: </w:t>
      </w:r>
    </w:p>
    <w:p w14:paraId="1B1E5866" w14:textId="77777777" w:rsidR="00624846" w:rsidRDefault="00624846" w:rsidP="00624846">
      <w:pPr>
        <w:autoSpaceDE w:val="0"/>
        <w:autoSpaceDN w:val="0"/>
        <w:adjustRightInd w:val="0"/>
        <w:ind w:left="1364"/>
        <w:rPr>
          <w:rFonts w:ascii="OfficinaSansITCTTBook" w:hAnsi="OfficinaSansITCTTBook" w:cs="OfficinaSansITCTTBook"/>
          <w:lang w:eastAsia="en-GB"/>
        </w:rPr>
      </w:pPr>
      <w:r w:rsidRPr="0047246B">
        <w:rPr>
          <w:rFonts w:ascii="OfficinaSansITCTTBook" w:hAnsi="OfficinaSansITCTTBook" w:cs="OfficinaSansITCTTBook"/>
          <w:lang w:eastAsia="en-GB"/>
        </w:rPr>
        <w:t>#15 London boroughs should ensure that the concept of green infrastructure</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 xml:space="preserve">is central to a </w:t>
      </w:r>
      <w:proofErr w:type="spellStart"/>
      <w:r w:rsidRPr="0047246B">
        <w:rPr>
          <w:rFonts w:ascii="OfficinaSansITCTTBook" w:hAnsi="OfficinaSansITCTTBook" w:cs="OfficinaSansITCTTBook"/>
          <w:lang w:eastAsia="en-GB"/>
        </w:rPr>
        <w:t>placemaking</w:t>
      </w:r>
      <w:proofErr w:type="spellEnd"/>
      <w:r w:rsidRPr="0047246B">
        <w:rPr>
          <w:rFonts w:ascii="OfficinaSansITCTTBook" w:hAnsi="OfficinaSansITCTTBook" w:cs="OfficinaSansITCTTBook"/>
          <w:lang w:eastAsia="en-GB"/>
        </w:rPr>
        <w:t xml:space="preserve"> agenda and properly represented within their</w:t>
      </w:r>
      <w:r>
        <w:rPr>
          <w:rFonts w:ascii="OfficinaSansITCTTBook" w:hAnsi="OfficinaSansITCTTBook" w:cs="OfficinaSansITCTTBook"/>
          <w:lang w:eastAsia="en-GB"/>
        </w:rPr>
        <w:t xml:space="preserve"> </w:t>
      </w:r>
      <w:proofErr w:type="spellStart"/>
      <w:r w:rsidRPr="0047246B">
        <w:rPr>
          <w:rFonts w:ascii="OfficinaSansITCTTBook" w:hAnsi="OfficinaSansITCTTBook" w:cs="OfficinaSansITCTTBook"/>
          <w:lang w:eastAsia="en-GB"/>
        </w:rPr>
        <w:t>placemaking</w:t>
      </w:r>
      <w:proofErr w:type="spellEnd"/>
      <w:r w:rsidRPr="0047246B">
        <w:rPr>
          <w:rFonts w:ascii="OfficinaSansITCTTBook" w:hAnsi="OfficinaSansITCTTBook" w:cs="OfficinaSansITCTTBook"/>
          <w:lang w:eastAsia="en-GB"/>
        </w:rPr>
        <w:t xml:space="preserve"> teams.</w:t>
      </w:r>
    </w:p>
    <w:p w14:paraId="76320E14" w14:textId="77777777" w:rsidR="00624846" w:rsidRPr="0047246B" w:rsidRDefault="00624846" w:rsidP="00624846">
      <w:pPr>
        <w:autoSpaceDE w:val="0"/>
        <w:autoSpaceDN w:val="0"/>
        <w:adjustRightInd w:val="0"/>
        <w:ind w:left="1724"/>
        <w:rPr>
          <w:rFonts w:ascii="OfficinaSansITCTTBook" w:hAnsi="OfficinaSansITCTTBook" w:cs="OfficinaSansITCTTBook"/>
          <w:lang w:eastAsia="en-GB"/>
        </w:rPr>
      </w:pPr>
    </w:p>
    <w:p w14:paraId="79530AFA" w14:textId="77777777" w:rsidR="00624846" w:rsidRDefault="00624846" w:rsidP="00624846">
      <w:pPr>
        <w:autoSpaceDE w:val="0"/>
        <w:autoSpaceDN w:val="0"/>
        <w:adjustRightInd w:val="0"/>
        <w:ind w:left="1364"/>
      </w:pPr>
      <w:r w:rsidRPr="0047246B">
        <w:rPr>
          <w:rFonts w:ascii="OfficinaSansITCTTBook" w:hAnsi="OfficinaSansITCTTBook" w:cs="OfficinaSansITCTTBook"/>
          <w:lang w:eastAsia="en-GB"/>
        </w:rPr>
        <w:t>#17 Boroughs should support sub-regional green infrastructure partnerships.</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These partnerships should be funded by the Greater London Authority matched</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by an allocation from the boroughs, for example, from savings generated through</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 reduction in the levy achieved by the Lee Valley Regional Park Authority over</w:t>
      </w:r>
      <w:r>
        <w:rPr>
          <w:rFonts w:ascii="OfficinaSansITCTTBook" w:hAnsi="OfficinaSansITCTTBook" w:cs="OfficinaSansITCTTBook"/>
          <w:lang w:eastAsia="en-GB"/>
        </w:rPr>
        <w:t xml:space="preserve"> </w:t>
      </w:r>
      <w:r w:rsidRPr="0047246B">
        <w:rPr>
          <w:rFonts w:ascii="OfficinaSansITCTTBook" w:hAnsi="OfficinaSansITCTTBook" w:cs="OfficinaSansITCTTBook"/>
          <w:lang w:eastAsia="en-GB"/>
        </w:rPr>
        <w:t>the past five years.</w:t>
      </w:r>
    </w:p>
    <w:p w14:paraId="01D90073" w14:textId="77777777" w:rsidR="00624846" w:rsidRDefault="00624846" w:rsidP="00624846">
      <w:pPr>
        <w:rPr>
          <w:b/>
        </w:rPr>
      </w:pPr>
    </w:p>
    <w:p w14:paraId="7CF2F758" w14:textId="77777777" w:rsidR="00624846" w:rsidRPr="00A20952" w:rsidRDefault="00624846" w:rsidP="00624846">
      <w:pPr>
        <w:autoSpaceDE w:val="0"/>
        <w:autoSpaceDN w:val="0"/>
        <w:adjustRightInd w:val="0"/>
        <w:ind w:left="1440"/>
        <w:rPr>
          <w:rFonts w:cs="Arial"/>
        </w:rPr>
      </w:pPr>
      <w:r w:rsidRPr="00A20952">
        <w:rPr>
          <w:rFonts w:cs="Arial"/>
          <w:bCs/>
          <w:lang w:eastAsia="en-GB"/>
        </w:rPr>
        <w:t xml:space="preserve">#16 </w:t>
      </w:r>
      <w:r w:rsidRPr="00A20952">
        <w:rPr>
          <w:rFonts w:cs="Arial"/>
          <w:lang w:eastAsia="en-GB"/>
        </w:rPr>
        <w:t>The Greater London Authority, London Councils and the Environment Agency should review existing relevant partnerships to identify opportunities for better collaboration and co-ordination of green infrastructure.</w:t>
      </w:r>
    </w:p>
    <w:p w14:paraId="1007D453" w14:textId="77777777" w:rsidR="00624846" w:rsidRPr="00A20952" w:rsidRDefault="00624846" w:rsidP="00624846">
      <w:pPr>
        <w:rPr>
          <w:rFonts w:cs="Arial"/>
        </w:rPr>
      </w:pPr>
    </w:p>
    <w:p w14:paraId="1769272E" w14:textId="77777777" w:rsidR="00624846" w:rsidRDefault="00624846" w:rsidP="00624846">
      <w:pPr>
        <w:spacing w:after="120"/>
        <w:ind w:left="1440"/>
        <w:jc w:val="both"/>
      </w:pPr>
      <w:r w:rsidRPr="00A20952">
        <w:rPr>
          <w:rFonts w:cs="Arial"/>
        </w:rPr>
        <w:t xml:space="preserve">#19 </w:t>
      </w:r>
      <w:r w:rsidRPr="00A20952">
        <w:rPr>
          <w:rFonts w:cs="Arial"/>
          <w:lang w:eastAsia="en-GB"/>
        </w:rPr>
        <w:t>London Councils’ Transport and Environment Committee should take a stronger role in promoting, co-ordinating and supporting green infrastructure.</w:t>
      </w:r>
    </w:p>
    <w:p w14:paraId="3810DDF0" w14:textId="77777777" w:rsidR="00624846" w:rsidRDefault="00624846" w:rsidP="00624846">
      <w:pPr>
        <w:spacing w:after="120"/>
        <w:jc w:val="both"/>
      </w:pPr>
    </w:p>
    <w:p w14:paraId="7A1F0BF0" w14:textId="77777777" w:rsidR="00624846" w:rsidRDefault="00624846" w:rsidP="006179DB">
      <w:pPr>
        <w:pStyle w:val="ListParagraph"/>
        <w:numPr>
          <w:ilvl w:val="0"/>
          <w:numId w:val="45"/>
        </w:numPr>
        <w:spacing w:after="120"/>
        <w:jc w:val="both"/>
      </w:pPr>
      <w:r>
        <w:t xml:space="preserve">In response to the recommendations, the report TEC members received in March 2016 set out the following in paragraph 12 to 17. </w:t>
      </w:r>
    </w:p>
    <w:p w14:paraId="1419E888" w14:textId="77777777" w:rsidR="00624846" w:rsidRDefault="00624846" w:rsidP="00624846">
      <w:pPr>
        <w:rPr>
          <w:rFonts w:cs="Arial"/>
        </w:rPr>
      </w:pPr>
    </w:p>
    <w:p w14:paraId="40FA6413" w14:textId="77777777" w:rsidR="00624846" w:rsidRPr="00624846" w:rsidRDefault="00624846" w:rsidP="00624846">
      <w:pPr>
        <w:pStyle w:val="ListParagraph"/>
        <w:numPr>
          <w:ilvl w:val="0"/>
          <w:numId w:val="45"/>
        </w:numPr>
        <w:autoSpaceDE w:val="0"/>
        <w:autoSpaceDN w:val="0"/>
        <w:adjustRightInd w:val="0"/>
        <w:rPr>
          <w:rFonts w:ascii="OfficinaSansITCTTBook" w:hAnsi="OfficinaSansITCTTBook" w:cs="OfficinaSansITCTTBook"/>
          <w:i/>
          <w:lang w:eastAsia="en-GB"/>
        </w:rPr>
      </w:pPr>
      <w:r w:rsidRPr="00624846">
        <w:rPr>
          <w:rFonts w:cs="Arial"/>
          <w:i/>
        </w:rPr>
        <w:t xml:space="preserve">Recommendation 15 is one we welcome and we note that </w:t>
      </w:r>
      <w:r w:rsidRPr="00624846">
        <w:rPr>
          <w:rFonts w:ascii="OfficinaSansITCTTBook" w:hAnsi="OfficinaSansITCTTBook" w:cs="OfficinaSansITCTTBook"/>
          <w:i/>
          <w:lang w:eastAsia="en-GB"/>
        </w:rPr>
        <w:t>some boroughs are making great strides in ‘greening’ developments in their borough, and ensuring that adequate green space and drainage provision is considered. With pressures on savings to be made, it will remain challenging for planning teams to be adequately resourced to negotiate with developers, and for flooding teams to respond to the development proposals and insist on changes where appropriate.</w:t>
      </w:r>
    </w:p>
    <w:p w14:paraId="60DE0F5B" w14:textId="77777777" w:rsidR="00624846" w:rsidRPr="00624846"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i/>
          <w:lang w:eastAsia="en-GB"/>
        </w:rPr>
      </w:pPr>
      <w:r w:rsidRPr="00624846">
        <w:rPr>
          <w:rFonts w:ascii="OfficinaSansITCTTBook" w:hAnsi="OfficinaSansITCTTBook" w:cs="OfficinaSansITCTTBook"/>
          <w:i/>
          <w:lang w:eastAsia="en-GB"/>
        </w:rPr>
        <w:t xml:space="preserve">Recommendations 17 links to Recommendation 16 as flooding sub-regional partnerships already exist and we would assume that strengthening these partnerships would be a better focus rather than creating brand-new green infrastructure partnerships. </w:t>
      </w:r>
    </w:p>
    <w:p w14:paraId="420009D3" w14:textId="77777777" w:rsidR="00624846" w:rsidRPr="00624846"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i/>
          <w:lang w:eastAsia="en-GB"/>
        </w:rPr>
      </w:pPr>
      <w:r w:rsidRPr="00624846">
        <w:rPr>
          <w:rFonts w:ascii="OfficinaSansITCTTBook" w:hAnsi="OfficinaSansITCTTBook" w:cs="OfficinaSansITCTTBook"/>
          <w:i/>
          <w:lang w:eastAsia="en-GB"/>
        </w:rPr>
        <w:t xml:space="preserve">London Councils officers could undertake a review of the flooding sub-regional partnerships together with the Environment Agency, and bring the results to TEC. This would be a voluntary review, as TEC does not have any statutory powers in the area of flooding in boroughs. </w:t>
      </w:r>
    </w:p>
    <w:p w14:paraId="1685AF7C" w14:textId="77777777" w:rsidR="00624846" w:rsidRPr="00624846"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i/>
          <w:lang w:eastAsia="en-GB"/>
        </w:rPr>
      </w:pPr>
      <w:r w:rsidRPr="00624846">
        <w:rPr>
          <w:rFonts w:ascii="OfficinaSansITCTTBook" w:hAnsi="OfficinaSansITCTTBook" w:cs="OfficinaSansITCTTBook"/>
          <w:i/>
          <w:lang w:eastAsia="en-GB"/>
        </w:rPr>
        <w:t xml:space="preserve">London Councils officers, using existing networks, could survey borough officers about whether green infrastructure is integrated in </w:t>
      </w:r>
      <w:proofErr w:type="spellStart"/>
      <w:r w:rsidRPr="00624846">
        <w:rPr>
          <w:rFonts w:ascii="OfficinaSansITCTTBook" w:hAnsi="OfficinaSansITCTTBook" w:cs="OfficinaSansITCTTBook"/>
          <w:i/>
          <w:lang w:eastAsia="en-GB"/>
        </w:rPr>
        <w:t>placemaking</w:t>
      </w:r>
      <w:proofErr w:type="spellEnd"/>
      <w:r w:rsidRPr="00624846">
        <w:rPr>
          <w:rFonts w:ascii="OfficinaSansITCTTBook" w:hAnsi="OfficinaSansITCTTBook" w:cs="OfficinaSansITCTTBook"/>
          <w:i/>
          <w:lang w:eastAsia="en-GB"/>
        </w:rPr>
        <w:t xml:space="preserve"> teams and bring the results to </w:t>
      </w:r>
      <w:r w:rsidRPr="00624846">
        <w:rPr>
          <w:rFonts w:ascii="OfficinaSansITCTTBook" w:hAnsi="OfficinaSansITCTTBook" w:cs="OfficinaSansITCTTBook"/>
          <w:i/>
          <w:lang w:eastAsia="en-GB"/>
        </w:rPr>
        <w:lastRenderedPageBreak/>
        <w:t xml:space="preserve">TEC, but again, TEC has no statutory powers in the area of planning and </w:t>
      </w:r>
      <w:proofErr w:type="spellStart"/>
      <w:r w:rsidRPr="00624846">
        <w:rPr>
          <w:rFonts w:ascii="OfficinaSansITCTTBook" w:hAnsi="OfficinaSansITCTTBook" w:cs="OfficinaSansITCTTBook"/>
          <w:i/>
          <w:lang w:eastAsia="en-GB"/>
        </w:rPr>
        <w:t>placemaking</w:t>
      </w:r>
      <w:proofErr w:type="spellEnd"/>
      <w:r w:rsidRPr="00624846">
        <w:rPr>
          <w:rFonts w:ascii="OfficinaSansITCTTBook" w:hAnsi="OfficinaSansITCTTBook" w:cs="OfficinaSansITCTTBook"/>
          <w:i/>
          <w:lang w:eastAsia="en-GB"/>
        </w:rPr>
        <w:t xml:space="preserve"> in boroughs. </w:t>
      </w:r>
    </w:p>
    <w:p w14:paraId="21A9D4A2" w14:textId="77777777" w:rsidR="00624846" w:rsidRPr="00624846"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i/>
          <w:lang w:eastAsia="en-GB"/>
        </w:rPr>
      </w:pPr>
      <w:r w:rsidRPr="00624846">
        <w:rPr>
          <w:rFonts w:ascii="OfficinaSansITCTTBook" w:hAnsi="OfficinaSansITCTTBook" w:cs="OfficinaSansITCTTBook"/>
          <w:i/>
          <w:lang w:eastAsia="en-GB"/>
        </w:rPr>
        <w:t xml:space="preserve">TEC could request an annual report from the GLA about the uptake of green infrastructure in planning applications and the creation of new green space, for example if an equivalent scheme to the current Mayor’s Pocket Parks initiative continues. However, this is not likely to give a particularly strategic overview of green infrastructure as it will be limited to interventions that the Mayor is involved in, and will miss initiatives created or supported by Business Improvement Districts, boroughs themselves and voluntary or community organisations. </w:t>
      </w:r>
    </w:p>
    <w:p w14:paraId="0B4F0141" w14:textId="77777777" w:rsidR="00624846"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i/>
          <w:lang w:eastAsia="en-GB"/>
        </w:rPr>
      </w:pPr>
      <w:r w:rsidRPr="00624846">
        <w:rPr>
          <w:rFonts w:ascii="OfficinaSansITCTTBook" w:hAnsi="OfficinaSansITCTTBook" w:cs="OfficinaSansITCTTBook"/>
          <w:i/>
          <w:lang w:eastAsia="en-GB"/>
        </w:rPr>
        <w:t>London Councils officers could organise annual events for Members and/or officers on green infrastructure to help share knowledge, expertise and get latest updates on the issues.</w:t>
      </w:r>
    </w:p>
    <w:p w14:paraId="70EFC924" w14:textId="77777777" w:rsidR="00174717" w:rsidRDefault="00624846" w:rsidP="00624846">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At the TEC meeting on 23 March 2016 members highlighted that they did not think that green infrastructure should be added to the responsibility of flood </w:t>
      </w:r>
      <w:r w:rsidR="00174717">
        <w:rPr>
          <w:rFonts w:ascii="OfficinaSansITCTTBook" w:hAnsi="OfficinaSansITCTTBook" w:cs="OfficinaSansITCTTBook"/>
          <w:lang w:eastAsia="en-GB"/>
        </w:rPr>
        <w:t xml:space="preserve">sub-regional partnerships, and that a further report would come to the TEC Executive for further discussion on implementing the report’s other recommendations. </w:t>
      </w:r>
    </w:p>
    <w:p w14:paraId="3E4CC1E9" w14:textId="1E43425B" w:rsidR="005F66BA" w:rsidRPr="005F66BA" w:rsidRDefault="005F66BA" w:rsidP="005F66BA">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5F66BA">
        <w:rPr>
          <w:rFonts w:ascii="OfficinaSansITCTTBook" w:hAnsi="OfficinaSansITCTTBook" w:cs="OfficinaSansITCTTBook"/>
          <w:lang w:eastAsia="en-GB"/>
        </w:rPr>
        <w:t xml:space="preserve">An event called ‘Greening your borough’ was planned for 16 June 2016 but was cancelled due to low take-up. </w:t>
      </w:r>
    </w:p>
    <w:p w14:paraId="3A046290" w14:textId="77777777" w:rsidR="00624846" w:rsidRDefault="00174717" w:rsidP="00174717">
      <w:pPr>
        <w:autoSpaceDE w:val="0"/>
        <w:autoSpaceDN w:val="0"/>
        <w:adjustRightInd w:val="0"/>
        <w:spacing w:before="240"/>
        <w:rPr>
          <w:rFonts w:ascii="OfficinaSansITCTTBook" w:hAnsi="OfficinaSansITCTTBook" w:cs="OfficinaSansITCTTBook"/>
          <w:b/>
          <w:lang w:eastAsia="en-GB"/>
        </w:rPr>
      </w:pPr>
      <w:r>
        <w:rPr>
          <w:rFonts w:ascii="OfficinaSansITCTTBook" w:hAnsi="OfficinaSansITCTTBook" w:cs="OfficinaSansITCTTBook"/>
          <w:b/>
          <w:lang w:eastAsia="en-GB"/>
        </w:rPr>
        <w:t>Considering the recommendations further</w:t>
      </w:r>
    </w:p>
    <w:p w14:paraId="55460B26" w14:textId="5E0B6C27" w:rsidR="00174717" w:rsidRPr="00A357C3" w:rsidRDefault="00174717"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A357C3">
        <w:rPr>
          <w:rFonts w:ascii="OfficinaSansITCTTBook" w:hAnsi="OfficinaSansITCTTBook" w:cs="OfficinaSansITCTTBook"/>
          <w:lang w:eastAsia="en-GB"/>
        </w:rPr>
        <w:t>The House of Commons Environmental Audit Committee recently noted that the government has not mandated the inclusion of sustainable drainage systems in new developments</w:t>
      </w:r>
      <w:r w:rsidR="00B7427F" w:rsidRPr="00A357C3">
        <w:rPr>
          <w:rFonts w:ascii="OfficinaSansITCTTBook" w:hAnsi="OfficinaSansITCTTBook" w:cs="OfficinaSansITCTTBook"/>
          <w:lang w:eastAsia="en-GB"/>
        </w:rPr>
        <w:t xml:space="preserve"> despite recommendation in the Pitt Review that sustainable drainage be the default option for new developments</w:t>
      </w:r>
      <w:r w:rsidRPr="00A357C3">
        <w:rPr>
          <w:rFonts w:ascii="OfficinaSansITCTTBook" w:hAnsi="OfficinaSansITCTTBook" w:cs="OfficinaSansITCTTBook"/>
          <w:lang w:eastAsia="en-GB"/>
        </w:rPr>
        <w:t>.</w:t>
      </w:r>
      <w:r w:rsidR="00B7427F" w:rsidRPr="00A357C3">
        <w:rPr>
          <w:rStyle w:val="FootnoteReference"/>
          <w:rFonts w:ascii="OfficinaSansITCTTBook" w:hAnsi="OfficinaSansITCTTBook" w:cs="OfficinaSansITCTTBook"/>
          <w:lang w:eastAsia="en-GB"/>
        </w:rPr>
        <w:footnoteReference w:id="1"/>
      </w:r>
    </w:p>
    <w:p w14:paraId="7B268CAA" w14:textId="77777777" w:rsidR="00174717" w:rsidRPr="00A357C3" w:rsidRDefault="00174717"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A357C3">
        <w:rPr>
          <w:rFonts w:ascii="OfficinaSansITCTTBook" w:hAnsi="OfficinaSansITCTTBook" w:cs="OfficinaSansITCTTBook"/>
          <w:lang w:eastAsia="en-GB"/>
        </w:rPr>
        <w:t xml:space="preserve">With the upcoming review of the London Plan, London Councils could call for an increased focus on implementing sustainable drainage in new developments through the planning system. This could provide a stronger foundation for the work that boroughs are already doing through the planning process, where flood risk officers review planning applications that are in areas at high risk of flooding and seek to ensure developers include mitigation measures, including sustainable drainage. </w:t>
      </w:r>
    </w:p>
    <w:p w14:paraId="10EF4A20" w14:textId="0DB7D75F" w:rsidR="00F1239E" w:rsidRPr="00A357C3" w:rsidRDefault="00B7427F"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A357C3">
        <w:rPr>
          <w:rFonts w:ascii="OfficinaSansITCTTBook" w:hAnsi="OfficinaSansITCTTBook" w:cs="OfficinaSansITCTTBook"/>
          <w:lang w:eastAsia="en-GB"/>
        </w:rPr>
        <w:t xml:space="preserve">Officers regularly comment that the time taken to review planning applications and work with developers to get schemes amended to include adequate sustainable drainage is far beyond what is paid by developers in planning fees. </w:t>
      </w:r>
      <w:r w:rsidR="00F1239E" w:rsidRPr="00A357C3">
        <w:rPr>
          <w:rFonts w:ascii="OfficinaSansITCTTBook" w:hAnsi="OfficinaSansITCTTBook" w:cs="OfficinaSansITCTTBook"/>
          <w:lang w:eastAsia="en-GB"/>
        </w:rPr>
        <w:t xml:space="preserve">We continue to call through our planning colleagues for the ability for councils to set planning fees locally, to ensure that the costs of providing a planning service are met by those using it. </w:t>
      </w:r>
      <w:r w:rsidRPr="00A357C3">
        <w:rPr>
          <w:rFonts w:ascii="OfficinaSansITCTTBook" w:hAnsi="OfficinaSansITCTTBook" w:cs="OfficinaSansITCTTBook"/>
          <w:lang w:eastAsia="en-GB"/>
        </w:rPr>
        <w:t xml:space="preserve">A properly funded planning service is also more likely to be able to provide a faster service for applicants. </w:t>
      </w:r>
    </w:p>
    <w:p w14:paraId="46FB648C" w14:textId="5253691E" w:rsidR="00A12D92" w:rsidRPr="00A357C3" w:rsidRDefault="00B7427F"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A357C3">
        <w:rPr>
          <w:rFonts w:ascii="OfficinaSansITCTTBook" w:hAnsi="OfficinaSansITCTTBook" w:cs="OfficinaSansITCTTBook"/>
          <w:lang w:eastAsia="en-GB"/>
        </w:rPr>
        <w:t>Drain London developed under the previous Mayor a draft Sustainable Drainage Action Plan which seeks to reduce the amount of run-off water reaching the sewerage system in London, which is already over</w:t>
      </w:r>
      <w:r w:rsidR="00E73D15" w:rsidRPr="00A357C3">
        <w:rPr>
          <w:rFonts w:ascii="OfficinaSansITCTTBook" w:hAnsi="OfficinaSansITCTTBook" w:cs="OfficinaSansITCTTBook"/>
          <w:lang w:eastAsia="en-GB"/>
        </w:rPr>
        <w:t xml:space="preserve"> </w:t>
      </w:r>
      <w:r w:rsidRPr="00A357C3">
        <w:rPr>
          <w:rFonts w:ascii="OfficinaSansITCTTBook" w:hAnsi="OfficinaSansITCTTBook" w:cs="OfficinaSansITCTTBook"/>
          <w:lang w:eastAsia="en-GB"/>
        </w:rPr>
        <w:t xml:space="preserve">capacity. It seeks to retrofit sustainable drainage measures such as green roofs and green walls, highlighting key sectors such as housing associations as partners to work with. TEC Executive discussed </w:t>
      </w:r>
      <w:r w:rsidR="002878EE" w:rsidRPr="00A357C3">
        <w:rPr>
          <w:rFonts w:ascii="OfficinaSansITCTTBook" w:hAnsi="OfficinaSansITCTTBook" w:cs="OfficinaSansITCTTBook"/>
          <w:lang w:eastAsia="en-GB"/>
        </w:rPr>
        <w:t xml:space="preserve">the Action Plan at its meeting on 24 November 2015. </w:t>
      </w:r>
      <w:r w:rsidR="00A12D92" w:rsidRPr="00A357C3">
        <w:rPr>
          <w:rFonts w:ascii="OfficinaSansITCTTBook" w:hAnsi="OfficinaSansITCTTBook" w:cs="OfficinaSansITCTTBook"/>
          <w:lang w:eastAsia="en-GB"/>
        </w:rPr>
        <w:t xml:space="preserve">Boroughs may want to focus on how they can support the delivery of the </w:t>
      </w:r>
      <w:r w:rsidRPr="00A357C3">
        <w:rPr>
          <w:rFonts w:ascii="OfficinaSansITCTTBook" w:hAnsi="OfficinaSansITCTTBook" w:cs="OfficinaSansITCTTBook"/>
          <w:lang w:eastAsia="en-GB"/>
        </w:rPr>
        <w:t>draft Sustainable Drainage Action Plan.</w:t>
      </w:r>
      <w:r w:rsidR="00A12D92" w:rsidRPr="00A357C3">
        <w:rPr>
          <w:rFonts w:ascii="OfficinaSansITCTTBook" w:hAnsi="OfficinaSansITCTTBook" w:cs="OfficinaSansITCTTBook"/>
          <w:lang w:eastAsia="en-GB"/>
        </w:rPr>
        <w:t xml:space="preserve"> </w:t>
      </w:r>
    </w:p>
    <w:p w14:paraId="354D2E2B" w14:textId="77777777" w:rsidR="00136703" w:rsidRDefault="00136703"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sidRPr="00136703">
        <w:rPr>
          <w:rFonts w:ascii="OfficinaSansITCTTBook" w:hAnsi="OfficinaSansITCTTBook" w:cs="OfficinaSansITCTTBook"/>
          <w:lang w:eastAsia="en-GB"/>
        </w:rPr>
        <w:t xml:space="preserve">We noted that TEC members felt in March 2016 that flooding sub-regional partnerships were not the right partnerships to be promoting and collaborating on green infrastructure. Having reviewed the landscape of partnerships further, partnerships such as the </w:t>
      </w:r>
      <w:proofErr w:type="spellStart"/>
      <w:r w:rsidRPr="00136703">
        <w:rPr>
          <w:rFonts w:ascii="OfficinaSansITCTTBook" w:hAnsi="OfficinaSansITCTTBook" w:cs="OfficinaSansITCTTBook"/>
          <w:lang w:eastAsia="en-GB"/>
        </w:rPr>
        <w:t>Wandle</w:t>
      </w:r>
      <w:proofErr w:type="spellEnd"/>
      <w:r w:rsidRPr="00136703">
        <w:rPr>
          <w:rFonts w:ascii="OfficinaSansITCTTBook" w:hAnsi="OfficinaSansITCTTBook" w:cs="OfficinaSansITCTTBook"/>
          <w:lang w:eastAsia="en-GB"/>
        </w:rPr>
        <w:t xml:space="preserve"> Valley Partnership and the Lee Valley Regional Park Authority exist in part of London but already have as </w:t>
      </w:r>
      <w:r>
        <w:rPr>
          <w:rFonts w:ascii="OfficinaSansITCTTBook" w:hAnsi="OfficinaSansITCTTBook" w:cs="OfficinaSansITCTTBook"/>
          <w:lang w:eastAsia="en-GB"/>
        </w:rPr>
        <w:t xml:space="preserve">part of </w:t>
      </w:r>
      <w:r w:rsidRPr="00136703">
        <w:rPr>
          <w:rFonts w:ascii="OfficinaSansITCTTBook" w:hAnsi="OfficinaSansITCTTBook" w:cs="OfficinaSansITCTTBook"/>
          <w:lang w:eastAsia="en-GB"/>
        </w:rPr>
        <w:t>the</w:t>
      </w:r>
      <w:r>
        <w:rPr>
          <w:rFonts w:ascii="OfficinaSansITCTTBook" w:hAnsi="OfficinaSansITCTTBook" w:cs="OfficinaSansITCTTBook"/>
          <w:lang w:eastAsia="en-GB"/>
        </w:rPr>
        <w:t>ir</w:t>
      </w:r>
      <w:r w:rsidRPr="00136703">
        <w:rPr>
          <w:rFonts w:ascii="OfficinaSansITCTTBook" w:hAnsi="OfficinaSansITCTTBook" w:cs="OfficinaSansITCTTBook"/>
          <w:lang w:eastAsia="en-GB"/>
        </w:rPr>
        <w:t xml:space="preserve"> purpose the protection and enjoyment of green space and nature. </w:t>
      </w:r>
    </w:p>
    <w:p w14:paraId="6CF10342" w14:textId="4A861362" w:rsidR="00136703" w:rsidRDefault="00136703"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We are aware that a</w:t>
      </w:r>
      <w:r w:rsidR="004F402C">
        <w:rPr>
          <w:rFonts w:ascii="OfficinaSansITCTTBook" w:hAnsi="OfficinaSansITCTTBook" w:cs="OfficinaSansITCTTBook"/>
          <w:lang w:eastAsia="en-GB"/>
        </w:rPr>
        <w:t>t</w:t>
      </w:r>
      <w:r>
        <w:rPr>
          <w:rFonts w:ascii="OfficinaSansITCTTBook" w:hAnsi="OfficinaSansITCTTBook" w:cs="OfficinaSansITCTTBook"/>
          <w:lang w:eastAsia="en-GB"/>
        </w:rPr>
        <w:t xml:space="preserve"> borough level there may be opportunities for boroughs to work in partnership with organisations in their local area, such as Business Improvement Districts, charities or groups that already run parks or community spaces, and housing associations to ‘green’ local areas and secure the long-term future of new or existing green infrastructure assets. </w:t>
      </w:r>
    </w:p>
    <w:p w14:paraId="7516DA6F" w14:textId="7898D624" w:rsidR="00136703" w:rsidRDefault="00136703"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London Councils officers have already begun the process of a light-touch review of flooding sub-regional partnerships. This process is dependent on officers being invited to attend</w:t>
      </w:r>
      <w:r w:rsidR="004F402C">
        <w:rPr>
          <w:rFonts w:ascii="OfficinaSansITCTTBook" w:hAnsi="OfficinaSansITCTTBook" w:cs="OfficinaSansITCTTBook"/>
          <w:lang w:eastAsia="en-GB"/>
        </w:rPr>
        <w:t xml:space="preserve"> the meetings</w:t>
      </w:r>
      <w:r>
        <w:rPr>
          <w:rFonts w:ascii="OfficinaSansITCTTBook" w:hAnsi="OfficinaSansITCTTBook" w:cs="OfficinaSansITCTTBook"/>
          <w:lang w:eastAsia="en-GB"/>
        </w:rPr>
        <w:t>, and so far it is evident that the most notable differences between the partnerships are the number of boroughs involved, member involvement, and the level of strategic discussion that takes place. It will be some time before any conclusions can be drawn from this exercise, but it is presumed t</w:t>
      </w:r>
      <w:r w:rsidR="005F66BA">
        <w:rPr>
          <w:rFonts w:ascii="OfficinaSansITCTTBook" w:hAnsi="OfficinaSansITCTTBook" w:cs="OfficinaSansITCTTBook"/>
          <w:lang w:eastAsia="en-GB"/>
        </w:rPr>
        <w:t>o</w:t>
      </w:r>
      <w:r>
        <w:rPr>
          <w:rFonts w:ascii="OfficinaSansITCTTBook" w:hAnsi="OfficinaSansITCTTBook" w:cs="OfficinaSansITCTTBook"/>
          <w:lang w:eastAsia="en-GB"/>
        </w:rPr>
        <w:t xml:space="preserve"> shar</w:t>
      </w:r>
      <w:r w:rsidR="005F66BA">
        <w:rPr>
          <w:rFonts w:ascii="OfficinaSansITCTTBook" w:hAnsi="OfficinaSansITCTTBook" w:cs="OfficinaSansITCTTBook"/>
          <w:lang w:eastAsia="en-GB"/>
        </w:rPr>
        <w:t>e</w:t>
      </w:r>
      <w:r>
        <w:rPr>
          <w:rFonts w:ascii="OfficinaSansITCTTBook" w:hAnsi="OfficinaSansITCTTBook" w:cs="OfficinaSansITCTTBook"/>
          <w:lang w:eastAsia="en-GB"/>
        </w:rPr>
        <w:t xml:space="preserve"> what works well and not so well with boroughs. This work is supported by the Thames Regional Flood and Coastal Committee</w:t>
      </w:r>
      <w:r w:rsidR="002878EE">
        <w:rPr>
          <w:rFonts w:ascii="OfficinaSansITCTTBook" w:hAnsi="OfficinaSansITCTTBook" w:cs="OfficinaSansITCTTBook"/>
          <w:lang w:eastAsia="en-GB"/>
        </w:rPr>
        <w:t xml:space="preserve"> (TRFCC) and feeds into its focus on building capacity in Lead Local Flood Authorities (LLFAs) (all London boroughs) by recruiting additional Advisers to support LLFAs in the development of schemes for capital funding. The TRFCC is also keen to strengthen the flood risk partnerships and encourage collaboration between LLFAs, with a particular focus on having one joint surface water flood reduction scheme per partnership</w:t>
      </w:r>
      <w:r>
        <w:rPr>
          <w:rFonts w:ascii="OfficinaSansITCTTBook" w:hAnsi="OfficinaSansITCTTBook" w:cs="OfficinaSansITCTTBook"/>
          <w:lang w:eastAsia="en-GB"/>
        </w:rPr>
        <w:t xml:space="preserve">. </w:t>
      </w:r>
    </w:p>
    <w:p w14:paraId="08C6BE0D" w14:textId="77777777" w:rsidR="00FB761B" w:rsidRDefault="00FB761B" w:rsidP="00174717">
      <w:pPr>
        <w:pStyle w:val="ListParagraph"/>
        <w:numPr>
          <w:ilvl w:val="0"/>
          <w:numId w:val="45"/>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The two suggestions in paragraphs 9 and 10 (to ask boroughs how well green infrastructure is integrated into </w:t>
      </w:r>
      <w:proofErr w:type="spellStart"/>
      <w:r>
        <w:rPr>
          <w:rFonts w:ascii="OfficinaSansITCTTBook" w:hAnsi="OfficinaSansITCTTBook" w:cs="OfficinaSansITCTTBook"/>
          <w:lang w:eastAsia="en-GB"/>
        </w:rPr>
        <w:t>placemaking</w:t>
      </w:r>
      <w:proofErr w:type="spellEnd"/>
      <w:r>
        <w:rPr>
          <w:rFonts w:ascii="OfficinaSansITCTTBook" w:hAnsi="OfficinaSansITCTTBook" w:cs="OfficinaSansITCTTBook"/>
          <w:lang w:eastAsia="en-GB"/>
        </w:rPr>
        <w:t xml:space="preserve"> teams; and asking the GLA for an annual assessment of the uptake of green infrastructure) would maintain awareness amongst TEC members as to the level of commitment to greening there is in London, but it should be noted that requesting information from the GLA has the potential to miss privately-backed schemes and those that boroughs have initiated themselves. It would give a picture, but a potentially incomplete picture, of green infrastructure in London. Since this requires action by boroughs and the GLA, it would be helpful to understand from TEC Executive members whether this is something London Councils should pursue. </w:t>
      </w:r>
    </w:p>
    <w:p w14:paraId="15555C4D" w14:textId="77777777" w:rsidR="005F66BA" w:rsidRDefault="005F66BA" w:rsidP="00E73D15">
      <w:pPr>
        <w:autoSpaceDE w:val="0"/>
        <w:autoSpaceDN w:val="0"/>
        <w:adjustRightInd w:val="0"/>
        <w:spacing w:before="240"/>
        <w:rPr>
          <w:rFonts w:ascii="OfficinaSansITCTTBook" w:hAnsi="OfficinaSansITCTTBook" w:cs="OfficinaSansITCTTBook"/>
          <w:b/>
          <w:lang w:eastAsia="en-GB"/>
        </w:rPr>
      </w:pPr>
    </w:p>
    <w:p w14:paraId="7E10DE8A" w14:textId="281739F3" w:rsidR="00FB761B" w:rsidRPr="00E73D15" w:rsidRDefault="00FB761B" w:rsidP="00E73D15">
      <w:pPr>
        <w:autoSpaceDE w:val="0"/>
        <w:autoSpaceDN w:val="0"/>
        <w:adjustRightInd w:val="0"/>
        <w:spacing w:before="240"/>
        <w:rPr>
          <w:rFonts w:ascii="OfficinaSansITCTTBook" w:hAnsi="OfficinaSansITCTTBook" w:cs="OfficinaSansITCTTBook"/>
          <w:b/>
          <w:lang w:eastAsia="en-GB"/>
        </w:rPr>
      </w:pPr>
      <w:r w:rsidRPr="00E73D15">
        <w:rPr>
          <w:rFonts w:ascii="OfficinaSansITCTTBook" w:hAnsi="OfficinaSansITCTTBook" w:cs="OfficinaSansITCTTBook"/>
          <w:b/>
          <w:lang w:eastAsia="en-GB"/>
        </w:rPr>
        <w:t>Recommendations</w:t>
      </w:r>
    </w:p>
    <w:p w14:paraId="6836474C" w14:textId="77777777" w:rsidR="00FB761B" w:rsidRDefault="00FB761B" w:rsidP="00FB761B">
      <w:pPr>
        <w:autoSpaceDE w:val="0"/>
        <w:autoSpaceDN w:val="0"/>
        <w:adjustRightInd w:val="0"/>
        <w:spacing w:before="240"/>
        <w:rPr>
          <w:rFonts w:ascii="OfficinaSansITCTTBook" w:hAnsi="OfficinaSansITCTTBook" w:cs="OfficinaSansITCTTBook"/>
          <w:lang w:eastAsia="en-GB"/>
        </w:rPr>
      </w:pPr>
      <w:r w:rsidRPr="00FB761B">
        <w:rPr>
          <w:rFonts w:ascii="OfficinaSansITCTTBook" w:hAnsi="OfficinaSansITCTTBook" w:cs="OfficinaSansITCTTBook"/>
          <w:lang w:eastAsia="en-GB"/>
        </w:rPr>
        <w:t xml:space="preserve">TEC Executive is asked to: </w:t>
      </w:r>
    </w:p>
    <w:p w14:paraId="055A0F7F" w14:textId="77777777" w:rsidR="004F402C" w:rsidRDefault="004F402C" w:rsidP="00FB761B">
      <w:pPr>
        <w:pStyle w:val="ListParagraph"/>
        <w:numPr>
          <w:ilvl w:val="0"/>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Note and discuss the report. In particular;</w:t>
      </w:r>
    </w:p>
    <w:p w14:paraId="6B11294A" w14:textId="77777777" w:rsidR="00FB761B" w:rsidRDefault="00FB761B" w:rsidP="002878EE">
      <w:pPr>
        <w:pStyle w:val="ListParagraph"/>
        <w:numPr>
          <w:ilvl w:val="1"/>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Consider whether lobbying on the new London Plan and for locally set planning fees is the right approach to see green infrastructure ‘mainstreamed’ in London;</w:t>
      </w:r>
    </w:p>
    <w:p w14:paraId="64E73690" w14:textId="3F98951C" w:rsidR="00036925" w:rsidRPr="002878EE" w:rsidRDefault="00FB761B" w:rsidP="002878EE">
      <w:pPr>
        <w:pStyle w:val="ListParagraph"/>
        <w:numPr>
          <w:ilvl w:val="1"/>
          <w:numId w:val="47"/>
        </w:numPr>
        <w:autoSpaceDE w:val="0"/>
        <w:autoSpaceDN w:val="0"/>
        <w:adjustRightInd w:val="0"/>
        <w:spacing w:before="240"/>
        <w:rPr>
          <w:rFonts w:ascii="OfficinaSansITCTTBook" w:hAnsi="OfficinaSansITCTTBook" w:cs="OfficinaSansITCTTBook"/>
          <w:lang w:eastAsia="en-GB"/>
        </w:rPr>
      </w:pPr>
      <w:r>
        <w:rPr>
          <w:rFonts w:ascii="OfficinaSansITCTTBook" w:hAnsi="OfficinaSansITCTTBook" w:cs="OfficinaSansITCTTBook"/>
          <w:lang w:eastAsia="en-GB"/>
        </w:rPr>
        <w:t xml:space="preserve">Provide a steer on whether </w:t>
      </w:r>
      <w:r w:rsidR="00036925">
        <w:rPr>
          <w:rFonts w:ascii="OfficinaSansITCTTBook" w:hAnsi="OfficinaSansITCTTBook" w:cs="OfficinaSansITCTTBook"/>
          <w:lang w:eastAsia="en-GB"/>
        </w:rPr>
        <w:t>surveying boroughs and asking the GLA for an a</w:t>
      </w:r>
      <w:r w:rsidR="002878EE">
        <w:rPr>
          <w:rFonts w:ascii="OfficinaSansITCTTBook" w:hAnsi="OfficinaSansITCTTBook" w:cs="OfficinaSansITCTTBook"/>
          <w:lang w:eastAsia="en-GB"/>
        </w:rPr>
        <w:t xml:space="preserve">nnual assessment of green infrastructure should happen. </w:t>
      </w:r>
    </w:p>
    <w:sectPr w:rsidR="00036925" w:rsidRPr="002878EE" w:rsidSect="003C51B6">
      <w:headerReference w:type="even" r:id="rId10"/>
      <w:headerReference w:type="default" r:id="rId11"/>
      <w:footerReference w:type="even" r:id="rId12"/>
      <w:footerReference w:type="default" r:id="rId13"/>
      <w:headerReference w:type="first" r:id="rId14"/>
      <w:footerReference w:type="first" r:id="rId15"/>
      <w:pgSz w:w="11907" w:h="16840" w:code="9"/>
      <w:pgMar w:top="1560" w:right="1440" w:bottom="720" w:left="1440" w:header="709" w:footer="8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430A" w14:textId="77777777" w:rsidR="006E5E17" w:rsidRDefault="006E5E17">
      <w:r>
        <w:separator/>
      </w:r>
    </w:p>
  </w:endnote>
  <w:endnote w:type="continuationSeparator" w:id="0">
    <w:p w14:paraId="76AFB3EC" w14:textId="77777777" w:rsidR="006E5E17" w:rsidRDefault="006E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OfficinaSansITCT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194C" w14:textId="77777777" w:rsidR="009737C0" w:rsidRDefault="00973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DBC7E" w14:textId="77777777" w:rsidR="006E5E17" w:rsidRDefault="006E5E17" w:rsidP="001E4156">
    <w:pPr>
      <w:pStyle w:val="Footer"/>
      <w:ind w:left="-993" w:right="-710"/>
      <w:rPr>
        <w:b/>
        <w:sz w:val="16"/>
        <w:szCs w:val="16"/>
      </w:rPr>
    </w:pPr>
  </w:p>
  <w:p w14:paraId="2D64EFDD" w14:textId="77777777" w:rsidR="006E5E17" w:rsidRDefault="006E5E17" w:rsidP="008B46B8">
    <w:pPr>
      <w:pStyle w:val="Footer"/>
      <w:ind w:left="-709" w:right="-710"/>
      <w:rPr>
        <w:b/>
        <w:sz w:val="16"/>
        <w:szCs w:val="16"/>
      </w:rPr>
    </w:pPr>
    <w:r>
      <w:rPr>
        <w:b/>
        <w:sz w:val="16"/>
        <w:szCs w:val="16"/>
      </w:rPr>
      <w:tab/>
    </w:r>
  </w:p>
  <w:p w14:paraId="1452ACB5" w14:textId="258D40F1" w:rsidR="006E5E17" w:rsidRDefault="009737C0" w:rsidP="008B46B8">
    <w:pPr>
      <w:pStyle w:val="Footer"/>
      <w:ind w:left="-709" w:right="-710"/>
      <w:rPr>
        <w:b/>
        <w:sz w:val="16"/>
        <w:szCs w:val="16"/>
      </w:rPr>
    </w:pPr>
    <w:r>
      <w:rPr>
        <w:b/>
        <w:sz w:val="16"/>
        <w:szCs w:val="16"/>
      </w:rPr>
      <w:t>Green Infrastructure Partnerships</w:t>
    </w:r>
    <w:r>
      <w:rPr>
        <w:b/>
        <w:sz w:val="16"/>
        <w:szCs w:val="16"/>
      </w:rPr>
      <w:tab/>
    </w:r>
    <w:r>
      <w:rPr>
        <w:b/>
        <w:sz w:val="16"/>
        <w:szCs w:val="16"/>
      </w:rPr>
      <w:tab/>
      <w:t>TEC Executive Sub Committee – 21 July 2016</w:t>
    </w:r>
  </w:p>
  <w:p w14:paraId="42B850CE" w14:textId="43DF32B3" w:rsidR="006E5E17" w:rsidRPr="0015192F" w:rsidRDefault="006E5E17" w:rsidP="001E4156">
    <w:pPr>
      <w:pStyle w:val="Footer"/>
      <w:ind w:left="-993" w:right="-710"/>
      <w:jc w:val="center"/>
      <w:rPr>
        <w:b/>
        <w:sz w:val="16"/>
        <w:szCs w:val="16"/>
      </w:rPr>
    </w:pPr>
    <w:r w:rsidRPr="009737C0">
      <w:rPr>
        <w:b/>
        <w:sz w:val="16"/>
        <w:szCs w:val="16"/>
      </w:rPr>
      <w:t xml:space="preserve">Agenda Item </w:t>
    </w:r>
    <w:r w:rsidR="009737C0">
      <w:rPr>
        <w:b/>
        <w:sz w:val="16"/>
        <w:szCs w:val="16"/>
      </w:rPr>
      <w:t>7</w:t>
    </w:r>
    <w:bookmarkStart w:id="0" w:name="_GoBack"/>
    <w:bookmarkEnd w:id="0"/>
    <w:r w:rsidRPr="009737C0">
      <w:rPr>
        <w:b/>
        <w:sz w:val="16"/>
        <w:szCs w:val="16"/>
      </w:rPr>
      <w:t xml:space="preserve">, Page </w:t>
    </w:r>
    <w:r w:rsidRPr="009737C0">
      <w:rPr>
        <w:rStyle w:val="PageNumber"/>
        <w:b/>
        <w:sz w:val="16"/>
        <w:szCs w:val="16"/>
      </w:rPr>
      <w:fldChar w:fldCharType="begin"/>
    </w:r>
    <w:r w:rsidRPr="009737C0">
      <w:rPr>
        <w:rStyle w:val="PageNumber"/>
        <w:b/>
        <w:sz w:val="16"/>
        <w:szCs w:val="16"/>
      </w:rPr>
      <w:instrText xml:space="preserve"> PAGE </w:instrText>
    </w:r>
    <w:r w:rsidRPr="009737C0">
      <w:rPr>
        <w:rStyle w:val="PageNumber"/>
        <w:b/>
        <w:sz w:val="16"/>
        <w:szCs w:val="16"/>
      </w:rPr>
      <w:fldChar w:fldCharType="separate"/>
    </w:r>
    <w:r w:rsidR="009737C0">
      <w:rPr>
        <w:rStyle w:val="PageNumber"/>
        <w:b/>
        <w:noProof/>
        <w:sz w:val="16"/>
        <w:szCs w:val="16"/>
      </w:rPr>
      <w:t>1</w:t>
    </w:r>
    <w:r w:rsidRPr="009737C0">
      <w:rPr>
        <w:rStyle w:val="PageNumbe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C035F" w14:textId="77777777" w:rsidR="009737C0" w:rsidRDefault="009737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9AF1C" w14:textId="77777777" w:rsidR="006E5E17" w:rsidRDefault="006E5E17">
      <w:r>
        <w:separator/>
      </w:r>
    </w:p>
  </w:footnote>
  <w:footnote w:type="continuationSeparator" w:id="0">
    <w:p w14:paraId="5A95D83E" w14:textId="77777777" w:rsidR="006E5E17" w:rsidRDefault="006E5E17">
      <w:r>
        <w:continuationSeparator/>
      </w:r>
    </w:p>
  </w:footnote>
  <w:footnote w:id="1">
    <w:p w14:paraId="1CE30213" w14:textId="6B645525" w:rsidR="006E5E17" w:rsidRDefault="006E5E17">
      <w:pPr>
        <w:pStyle w:val="FootnoteText"/>
      </w:pPr>
      <w:r>
        <w:rPr>
          <w:rStyle w:val="FootnoteReference"/>
        </w:rPr>
        <w:footnoteRef/>
      </w:r>
      <w:r>
        <w:t xml:space="preserve"> </w:t>
      </w:r>
      <w:hyperlink r:id="rId1" w:anchor="_idTextAnchor036" w:history="1">
        <w:r w:rsidRPr="00366BC4">
          <w:rPr>
            <w:rStyle w:val="Hyperlink"/>
          </w:rPr>
          <w:t>http://www.publications.parliament.uk/pa/cm201617/cmselect/cmenvaud/183/18308.htm#_idTextAnchor036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50E3F" w14:textId="77777777" w:rsidR="009737C0" w:rsidRDefault="009737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EF3A6" w14:textId="77777777" w:rsidR="009737C0" w:rsidRDefault="009737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B0C63" w14:textId="77777777" w:rsidR="009737C0" w:rsidRDefault="009737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9C2159E"/>
    <w:multiLevelType w:val="hybridMultilevel"/>
    <w:tmpl w:val="F704EF00"/>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
    <w:nsid w:val="0B5140E9"/>
    <w:multiLevelType w:val="hybridMultilevel"/>
    <w:tmpl w:val="E392D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C13442"/>
    <w:multiLevelType w:val="hybridMultilevel"/>
    <w:tmpl w:val="EB76A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ED4C10"/>
    <w:multiLevelType w:val="hybridMultilevel"/>
    <w:tmpl w:val="0D329908"/>
    <w:lvl w:ilvl="0" w:tplc="88FED8E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576F45"/>
    <w:multiLevelType w:val="hybridMultilevel"/>
    <w:tmpl w:val="F198ED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4621F"/>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586422"/>
    <w:multiLevelType w:val="hybridMultilevel"/>
    <w:tmpl w:val="77661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8473E1"/>
    <w:multiLevelType w:val="hybridMultilevel"/>
    <w:tmpl w:val="C0F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DA3C8B"/>
    <w:multiLevelType w:val="hybridMultilevel"/>
    <w:tmpl w:val="9FD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47B7E"/>
    <w:multiLevelType w:val="hybridMultilevel"/>
    <w:tmpl w:val="23FCCC80"/>
    <w:lvl w:ilvl="0" w:tplc="304ADB64">
      <w:start w:val="10"/>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AA33D3"/>
    <w:multiLevelType w:val="hybridMultilevel"/>
    <w:tmpl w:val="38BC01D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82634"/>
    <w:multiLevelType w:val="hybridMultilevel"/>
    <w:tmpl w:val="A9A24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04143E"/>
    <w:multiLevelType w:val="hybridMultilevel"/>
    <w:tmpl w:val="7A0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A669F"/>
    <w:multiLevelType w:val="hybridMultilevel"/>
    <w:tmpl w:val="FD0A2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1F1692"/>
    <w:multiLevelType w:val="hybridMultilevel"/>
    <w:tmpl w:val="223CB8A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1559E3"/>
    <w:multiLevelType w:val="hybridMultilevel"/>
    <w:tmpl w:val="4F04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1B5245"/>
    <w:multiLevelType w:val="hybridMultilevel"/>
    <w:tmpl w:val="4F8E8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DE57D2"/>
    <w:multiLevelType w:val="hybridMultilevel"/>
    <w:tmpl w:val="C3C6313A"/>
    <w:lvl w:ilvl="0" w:tplc="6CC0753E">
      <w:start w:val="3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887369"/>
    <w:multiLevelType w:val="hybridMultilevel"/>
    <w:tmpl w:val="C12AE59A"/>
    <w:lvl w:ilvl="0" w:tplc="08090001">
      <w:start w:val="1"/>
      <w:numFmt w:val="bullet"/>
      <w:lvlText w:val=""/>
      <w:lvlJc w:val="left"/>
      <w:pPr>
        <w:ind w:left="1778" w:hanging="360"/>
      </w:pPr>
      <w:rPr>
        <w:rFonts w:ascii="Symbol" w:hAnsi="Symbol" w:hint="default"/>
        <w:b w:val="0"/>
      </w:rPr>
    </w:lvl>
    <w:lvl w:ilvl="1" w:tplc="08090001">
      <w:start w:val="1"/>
      <w:numFmt w:val="bullet"/>
      <w:lvlText w:val=""/>
      <w:lvlJc w:val="left"/>
      <w:pPr>
        <w:ind w:left="3425" w:hanging="360"/>
      </w:pPr>
      <w:rPr>
        <w:rFonts w:ascii="Symbol" w:hAnsi="Symbol" w:hint="default"/>
      </w:rPr>
    </w:lvl>
    <w:lvl w:ilvl="2" w:tplc="0809001B">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0">
    <w:nsid w:val="3A7F6214"/>
    <w:multiLevelType w:val="hybridMultilevel"/>
    <w:tmpl w:val="618E03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8A1008"/>
    <w:multiLevelType w:val="hybridMultilevel"/>
    <w:tmpl w:val="6016B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3E302E"/>
    <w:multiLevelType w:val="hybridMultilevel"/>
    <w:tmpl w:val="48844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CA52B2A"/>
    <w:multiLevelType w:val="hybridMultilevel"/>
    <w:tmpl w:val="37B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EB1831"/>
    <w:multiLevelType w:val="hybridMultilevel"/>
    <w:tmpl w:val="7642665C"/>
    <w:lvl w:ilvl="0" w:tplc="304ADB64">
      <w:start w:val="1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747AE5"/>
    <w:multiLevelType w:val="hybridMultilevel"/>
    <w:tmpl w:val="F7AAE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BD76A7"/>
    <w:multiLevelType w:val="hybridMultilevel"/>
    <w:tmpl w:val="865C2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82374"/>
    <w:multiLevelType w:val="hybridMultilevel"/>
    <w:tmpl w:val="B2866306"/>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10171B"/>
    <w:multiLevelType w:val="hybridMultilevel"/>
    <w:tmpl w:val="E38E76AE"/>
    <w:lvl w:ilvl="0" w:tplc="7646E7EA">
      <w:start w:val="2"/>
      <w:numFmt w:val="decimal"/>
      <w:lvlText w:val="%1."/>
      <w:lvlJc w:val="left"/>
      <w:pPr>
        <w:ind w:left="36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6067FD"/>
    <w:multiLevelType w:val="hybridMultilevel"/>
    <w:tmpl w:val="C94E604E"/>
    <w:lvl w:ilvl="0" w:tplc="EC28583A">
      <w:start w:val="18"/>
      <w:numFmt w:val="decimal"/>
      <w:pStyle w:val="algHeading2"/>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562316"/>
    <w:multiLevelType w:val="hybridMultilevel"/>
    <w:tmpl w:val="C980E88A"/>
    <w:lvl w:ilvl="0" w:tplc="8E98DA8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50C6483"/>
    <w:multiLevelType w:val="hybridMultilevel"/>
    <w:tmpl w:val="6AA8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082AEC"/>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8053A4"/>
    <w:multiLevelType w:val="hybridMultilevel"/>
    <w:tmpl w:val="D45EB574"/>
    <w:lvl w:ilvl="0" w:tplc="08090017">
      <w:start w:val="1"/>
      <w:numFmt w:val="lowerLetter"/>
      <w:lvlText w:val="%1)"/>
      <w:lvlJc w:val="left"/>
      <w:pPr>
        <w:ind w:left="360" w:hanging="360"/>
      </w:pPr>
      <w:rPr>
        <w:b w:val="0"/>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0654FB4"/>
    <w:multiLevelType w:val="hybridMultilevel"/>
    <w:tmpl w:val="D24C262A"/>
    <w:lvl w:ilvl="0" w:tplc="A9F46D0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A419DE"/>
    <w:multiLevelType w:val="hybridMultilevel"/>
    <w:tmpl w:val="DA441FE6"/>
    <w:lvl w:ilvl="0" w:tplc="0809000F">
      <w:start w:val="1"/>
      <w:numFmt w:val="decimal"/>
      <w:lvlText w:val="%1."/>
      <w:lvlJc w:val="left"/>
      <w:pPr>
        <w:ind w:left="644" w:hanging="360"/>
      </w:pPr>
      <w:rPr>
        <w:rFonts w:hint="default"/>
        <w:b w:val="0"/>
      </w:rPr>
    </w:lvl>
    <w:lvl w:ilvl="1" w:tplc="08090001">
      <w:start w:val="1"/>
      <w:numFmt w:val="bullet"/>
      <w:lvlText w:val=""/>
      <w:lvlJc w:val="left"/>
      <w:pPr>
        <w:ind w:left="1440" w:hanging="360"/>
      </w:pPr>
      <w:rPr>
        <w:rFonts w:ascii="Symbol" w:hAnsi="Symbol" w:hint="default"/>
      </w:rPr>
    </w:lvl>
    <w:lvl w:ilvl="2" w:tplc="4802CA6A">
      <w:numFmt w:val="bullet"/>
      <w:lvlText w:val="•"/>
      <w:lvlJc w:val="left"/>
      <w:pPr>
        <w:ind w:left="2340" w:hanging="360"/>
      </w:pPr>
      <w:rPr>
        <w:rFonts w:ascii="TimesNewRomanPSMT" w:eastAsia="Times New Roman" w:hAnsi="TimesNewRomanPSMT" w:cs="TimesNewRomanPSMT" w:hint="default"/>
        <w:sz w:val="24"/>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2D1130"/>
    <w:multiLevelType w:val="hybridMultilevel"/>
    <w:tmpl w:val="074E883C"/>
    <w:lvl w:ilvl="0" w:tplc="4DF66456">
      <w:start w:val="1"/>
      <w:numFmt w:val="decimal"/>
      <w:lvlText w:val="%1."/>
      <w:lvlJc w:val="left"/>
      <w:pPr>
        <w:ind w:left="36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C54EDF"/>
    <w:multiLevelType w:val="hybridMultilevel"/>
    <w:tmpl w:val="EAE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444D05"/>
    <w:multiLevelType w:val="hybridMultilevel"/>
    <w:tmpl w:val="E61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64C2C"/>
    <w:multiLevelType w:val="hybridMultilevel"/>
    <w:tmpl w:val="D326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7A07D5"/>
    <w:multiLevelType w:val="hybridMultilevel"/>
    <w:tmpl w:val="CD7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F27E2F"/>
    <w:multiLevelType w:val="multilevel"/>
    <w:tmpl w:val="5C5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459A5"/>
    <w:multiLevelType w:val="hybridMultilevel"/>
    <w:tmpl w:val="DF069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F3C79A6"/>
    <w:multiLevelType w:val="hybridMultilevel"/>
    <w:tmpl w:val="32EC0606"/>
    <w:lvl w:ilvl="0" w:tplc="4DF66456">
      <w:start w:val="1"/>
      <w:numFmt w:val="decimal"/>
      <w:lvlText w:val="%1."/>
      <w:lvlJc w:val="left"/>
      <w:pPr>
        <w:ind w:left="360" w:hanging="360"/>
      </w:pPr>
      <w:rPr>
        <w:b w:val="0"/>
        <w:color w:val="auto"/>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nsid w:val="7F8F6D64"/>
    <w:multiLevelType w:val="hybridMultilevel"/>
    <w:tmpl w:val="9ED6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4"/>
  </w:num>
  <w:num w:numId="3">
    <w:abstractNumId w:val="17"/>
  </w:num>
  <w:num w:numId="4">
    <w:abstractNumId w:val="3"/>
  </w:num>
  <w:num w:numId="5">
    <w:abstractNumId w:val="11"/>
  </w:num>
  <w:num w:numId="6">
    <w:abstractNumId w:val="32"/>
  </w:num>
  <w:num w:numId="7">
    <w:abstractNumId w:val="29"/>
  </w:num>
  <w:num w:numId="8">
    <w:abstractNumId w:val="13"/>
  </w:num>
  <w:num w:numId="9">
    <w:abstractNumId w:val="26"/>
  </w:num>
  <w:num w:numId="10">
    <w:abstractNumId w:val="22"/>
  </w:num>
  <w:num w:numId="11">
    <w:abstractNumId w:val="2"/>
  </w:num>
  <w:num w:numId="12">
    <w:abstractNumId w:val="27"/>
  </w:num>
  <w:num w:numId="13">
    <w:abstractNumId w:val="19"/>
  </w:num>
  <w:num w:numId="14">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33"/>
  </w:num>
  <w:num w:numId="17">
    <w:abstractNumId w:val="7"/>
  </w:num>
  <w:num w:numId="18">
    <w:abstractNumId w:val="15"/>
  </w:num>
  <w:num w:numId="19">
    <w:abstractNumId w:val="5"/>
  </w:num>
  <w:num w:numId="20">
    <w:abstractNumId w:val="28"/>
  </w:num>
  <w:num w:numId="21">
    <w:abstractNumId w:val="9"/>
  </w:num>
  <w:num w:numId="22">
    <w:abstractNumId w:val="41"/>
  </w:num>
  <w:num w:numId="23">
    <w:abstractNumId w:val="16"/>
  </w:num>
  <w:num w:numId="24">
    <w:abstractNumId w:val="24"/>
  </w:num>
  <w:num w:numId="25">
    <w:abstractNumId w:val="39"/>
  </w:num>
  <w:num w:numId="26">
    <w:abstractNumId w:val="40"/>
  </w:num>
  <w:num w:numId="27">
    <w:abstractNumId w:val="31"/>
  </w:num>
  <w:num w:numId="28">
    <w:abstractNumId w:val="34"/>
  </w:num>
  <w:num w:numId="29">
    <w:abstractNumId w:val="35"/>
  </w:num>
  <w:num w:numId="30">
    <w:abstractNumId w:val="18"/>
  </w:num>
  <w:num w:numId="31">
    <w:abstractNumId w:val="1"/>
  </w:num>
  <w:num w:numId="32">
    <w:abstractNumId w:val="4"/>
  </w:num>
  <w:num w:numId="3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0"/>
  </w:num>
  <w:num w:numId="36">
    <w:abstractNumId w:val="25"/>
  </w:num>
  <w:num w:numId="37">
    <w:abstractNumId w:val="30"/>
  </w:num>
  <w:num w:numId="38">
    <w:abstractNumId w:val="45"/>
  </w:num>
  <w:num w:numId="39">
    <w:abstractNumId w:val="42"/>
  </w:num>
  <w:num w:numId="40">
    <w:abstractNumId w:val="14"/>
  </w:num>
  <w:num w:numId="41">
    <w:abstractNumId w:val="37"/>
  </w:num>
  <w:num w:numId="42">
    <w:abstractNumId w:val="38"/>
  </w:num>
  <w:num w:numId="43">
    <w:abstractNumId w:val="6"/>
  </w:num>
  <w:num w:numId="44">
    <w:abstractNumId w:val="8"/>
  </w:num>
  <w:num w:numId="45">
    <w:abstractNumId w:val="12"/>
  </w:num>
  <w:num w:numId="46">
    <w:abstractNumId w:val="36"/>
  </w:num>
  <w:num w:numId="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51EB"/>
    <w:rsid w:val="00017B85"/>
    <w:rsid w:val="00020B09"/>
    <w:rsid w:val="000224BC"/>
    <w:rsid w:val="000228A6"/>
    <w:rsid w:val="000237F6"/>
    <w:rsid w:val="00031A47"/>
    <w:rsid w:val="00032224"/>
    <w:rsid w:val="00033346"/>
    <w:rsid w:val="00034FDD"/>
    <w:rsid w:val="00035AEE"/>
    <w:rsid w:val="00036925"/>
    <w:rsid w:val="00036934"/>
    <w:rsid w:val="00036AC4"/>
    <w:rsid w:val="00037722"/>
    <w:rsid w:val="00040584"/>
    <w:rsid w:val="000423C0"/>
    <w:rsid w:val="00042FF3"/>
    <w:rsid w:val="0004353D"/>
    <w:rsid w:val="000442CD"/>
    <w:rsid w:val="000444D7"/>
    <w:rsid w:val="0004601F"/>
    <w:rsid w:val="000467F8"/>
    <w:rsid w:val="00047EF6"/>
    <w:rsid w:val="00050594"/>
    <w:rsid w:val="00050CE1"/>
    <w:rsid w:val="00052AAF"/>
    <w:rsid w:val="00053CD7"/>
    <w:rsid w:val="00055F0A"/>
    <w:rsid w:val="00057F1A"/>
    <w:rsid w:val="0006081A"/>
    <w:rsid w:val="00060BFA"/>
    <w:rsid w:val="000610DD"/>
    <w:rsid w:val="000627BF"/>
    <w:rsid w:val="000757EE"/>
    <w:rsid w:val="0007702D"/>
    <w:rsid w:val="000771EF"/>
    <w:rsid w:val="000778C2"/>
    <w:rsid w:val="00080327"/>
    <w:rsid w:val="00083582"/>
    <w:rsid w:val="00083EFC"/>
    <w:rsid w:val="00084D85"/>
    <w:rsid w:val="00085946"/>
    <w:rsid w:val="0009021E"/>
    <w:rsid w:val="00093256"/>
    <w:rsid w:val="000938FC"/>
    <w:rsid w:val="00096937"/>
    <w:rsid w:val="00096C18"/>
    <w:rsid w:val="0009751A"/>
    <w:rsid w:val="00097AAF"/>
    <w:rsid w:val="000A033F"/>
    <w:rsid w:val="000A2A01"/>
    <w:rsid w:val="000A2FDF"/>
    <w:rsid w:val="000A3EA6"/>
    <w:rsid w:val="000A4B09"/>
    <w:rsid w:val="000A569C"/>
    <w:rsid w:val="000A6B4E"/>
    <w:rsid w:val="000A756D"/>
    <w:rsid w:val="000A7CC3"/>
    <w:rsid w:val="000A7E09"/>
    <w:rsid w:val="000B0BD6"/>
    <w:rsid w:val="000B21A4"/>
    <w:rsid w:val="000B2C52"/>
    <w:rsid w:val="000B2E1A"/>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2DC5"/>
    <w:rsid w:val="000E391C"/>
    <w:rsid w:val="000E3A8F"/>
    <w:rsid w:val="000E3FA0"/>
    <w:rsid w:val="000E4251"/>
    <w:rsid w:val="000E7F61"/>
    <w:rsid w:val="000F11AE"/>
    <w:rsid w:val="000F1673"/>
    <w:rsid w:val="000F2CE7"/>
    <w:rsid w:val="001011FD"/>
    <w:rsid w:val="00101585"/>
    <w:rsid w:val="00101C1E"/>
    <w:rsid w:val="001020DD"/>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4A00"/>
    <w:rsid w:val="00124CD4"/>
    <w:rsid w:val="00127AAA"/>
    <w:rsid w:val="001315F0"/>
    <w:rsid w:val="0013190B"/>
    <w:rsid w:val="0013264C"/>
    <w:rsid w:val="00133056"/>
    <w:rsid w:val="00133B2A"/>
    <w:rsid w:val="00133E08"/>
    <w:rsid w:val="0013426C"/>
    <w:rsid w:val="00135ECE"/>
    <w:rsid w:val="001363A4"/>
    <w:rsid w:val="00136703"/>
    <w:rsid w:val="00136E86"/>
    <w:rsid w:val="00137F59"/>
    <w:rsid w:val="00143CAE"/>
    <w:rsid w:val="0014549C"/>
    <w:rsid w:val="00146CF4"/>
    <w:rsid w:val="00146E2E"/>
    <w:rsid w:val="001475D2"/>
    <w:rsid w:val="0014776D"/>
    <w:rsid w:val="0015192F"/>
    <w:rsid w:val="00152A85"/>
    <w:rsid w:val="00152FF5"/>
    <w:rsid w:val="001532BF"/>
    <w:rsid w:val="00153671"/>
    <w:rsid w:val="001539C9"/>
    <w:rsid w:val="001546AF"/>
    <w:rsid w:val="00154F4C"/>
    <w:rsid w:val="001556FE"/>
    <w:rsid w:val="00157E7F"/>
    <w:rsid w:val="00162BBB"/>
    <w:rsid w:val="001645FB"/>
    <w:rsid w:val="00165297"/>
    <w:rsid w:val="001654AC"/>
    <w:rsid w:val="001659DC"/>
    <w:rsid w:val="00165E4E"/>
    <w:rsid w:val="00165EB2"/>
    <w:rsid w:val="00166FAA"/>
    <w:rsid w:val="00170670"/>
    <w:rsid w:val="00172125"/>
    <w:rsid w:val="00173566"/>
    <w:rsid w:val="00174717"/>
    <w:rsid w:val="00175D10"/>
    <w:rsid w:val="001761E2"/>
    <w:rsid w:val="00176ED7"/>
    <w:rsid w:val="00181E0C"/>
    <w:rsid w:val="00183146"/>
    <w:rsid w:val="0018481C"/>
    <w:rsid w:val="001857E0"/>
    <w:rsid w:val="00186C4D"/>
    <w:rsid w:val="00187064"/>
    <w:rsid w:val="001874A8"/>
    <w:rsid w:val="00191E12"/>
    <w:rsid w:val="00192FF2"/>
    <w:rsid w:val="001943FA"/>
    <w:rsid w:val="00194897"/>
    <w:rsid w:val="00194DE8"/>
    <w:rsid w:val="00194E78"/>
    <w:rsid w:val="001951FD"/>
    <w:rsid w:val="001955E3"/>
    <w:rsid w:val="0019602D"/>
    <w:rsid w:val="001970B2"/>
    <w:rsid w:val="0019730D"/>
    <w:rsid w:val="00197724"/>
    <w:rsid w:val="001A0256"/>
    <w:rsid w:val="001A08EC"/>
    <w:rsid w:val="001A2D00"/>
    <w:rsid w:val="001A2EA2"/>
    <w:rsid w:val="001A3579"/>
    <w:rsid w:val="001A4612"/>
    <w:rsid w:val="001A5256"/>
    <w:rsid w:val="001B05A2"/>
    <w:rsid w:val="001B0C4B"/>
    <w:rsid w:val="001B1CAB"/>
    <w:rsid w:val="001B2A88"/>
    <w:rsid w:val="001B418A"/>
    <w:rsid w:val="001B4452"/>
    <w:rsid w:val="001B5A22"/>
    <w:rsid w:val="001B6119"/>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306"/>
    <w:rsid w:val="001E046E"/>
    <w:rsid w:val="001E063E"/>
    <w:rsid w:val="001E0B9A"/>
    <w:rsid w:val="001E1867"/>
    <w:rsid w:val="001E1F09"/>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5890"/>
    <w:rsid w:val="001F66D2"/>
    <w:rsid w:val="001F704A"/>
    <w:rsid w:val="00200DF1"/>
    <w:rsid w:val="00200E7B"/>
    <w:rsid w:val="0020104A"/>
    <w:rsid w:val="00201C59"/>
    <w:rsid w:val="00203370"/>
    <w:rsid w:val="0020461B"/>
    <w:rsid w:val="00205A70"/>
    <w:rsid w:val="00205BFF"/>
    <w:rsid w:val="002060E3"/>
    <w:rsid w:val="00206B61"/>
    <w:rsid w:val="00207188"/>
    <w:rsid w:val="00207A40"/>
    <w:rsid w:val="00210383"/>
    <w:rsid w:val="00212449"/>
    <w:rsid w:val="00212D81"/>
    <w:rsid w:val="00214EB3"/>
    <w:rsid w:val="00215C8E"/>
    <w:rsid w:val="00220E6C"/>
    <w:rsid w:val="00221710"/>
    <w:rsid w:val="002218C6"/>
    <w:rsid w:val="00222A55"/>
    <w:rsid w:val="00223473"/>
    <w:rsid w:val="0022373F"/>
    <w:rsid w:val="002238E4"/>
    <w:rsid w:val="002246BC"/>
    <w:rsid w:val="002263FA"/>
    <w:rsid w:val="0022646E"/>
    <w:rsid w:val="002304F2"/>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3DB"/>
    <w:rsid w:val="00261DBD"/>
    <w:rsid w:val="00262491"/>
    <w:rsid w:val="0026321A"/>
    <w:rsid w:val="002634BC"/>
    <w:rsid w:val="00264D9C"/>
    <w:rsid w:val="00264E6B"/>
    <w:rsid w:val="0026685E"/>
    <w:rsid w:val="00267465"/>
    <w:rsid w:val="00270A8A"/>
    <w:rsid w:val="00271CD1"/>
    <w:rsid w:val="00272434"/>
    <w:rsid w:val="00273747"/>
    <w:rsid w:val="002744FA"/>
    <w:rsid w:val="002753C8"/>
    <w:rsid w:val="00275648"/>
    <w:rsid w:val="0027605A"/>
    <w:rsid w:val="0027692E"/>
    <w:rsid w:val="002800AA"/>
    <w:rsid w:val="00284C21"/>
    <w:rsid w:val="002857A0"/>
    <w:rsid w:val="0028644C"/>
    <w:rsid w:val="002878EE"/>
    <w:rsid w:val="002903E8"/>
    <w:rsid w:val="002917D4"/>
    <w:rsid w:val="0029213A"/>
    <w:rsid w:val="00295446"/>
    <w:rsid w:val="002960C6"/>
    <w:rsid w:val="00296DD7"/>
    <w:rsid w:val="0029715A"/>
    <w:rsid w:val="002A1900"/>
    <w:rsid w:val="002A1B2E"/>
    <w:rsid w:val="002A24FE"/>
    <w:rsid w:val="002A2FAA"/>
    <w:rsid w:val="002A3198"/>
    <w:rsid w:val="002A4B23"/>
    <w:rsid w:val="002A5C20"/>
    <w:rsid w:val="002B0CEE"/>
    <w:rsid w:val="002B31BE"/>
    <w:rsid w:val="002B46A1"/>
    <w:rsid w:val="002B6A60"/>
    <w:rsid w:val="002B6BF7"/>
    <w:rsid w:val="002B6E1D"/>
    <w:rsid w:val="002C07E6"/>
    <w:rsid w:val="002C2F3B"/>
    <w:rsid w:val="002C31AF"/>
    <w:rsid w:val="002C322E"/>
    <w:rsid w:val="002C40B5"/>
    <w:rsid w:val="002C416F"/>
    <w:rsid w:val="002C4615"/>
    <w:rsid w:val="002C63B4"/>
    <w:rsid w:val="002C717E"/>
    <w:rsid w:val="002C766D"/>
    <w:rsid w:val="002D02EB"/>
    <w:rsid w:val="002D202C"/>
    <w:rsid w:val="002D218D"/>
    <w:rsid w:val="002D2E73"/>
    <w:rsid w:val="002D370E"/>
    <w:rsid w:val="002D40B3"/>
    <w:rsid w:val="002D494F"/>
    <w:rsid w:val="002D4E5C"/>
    <w:rsid w:val="002D55D3"/>
    <w:rsid w:val="002D5CF9"/>
    <w:rsid w:val="002D614A"/>
    <w:rsid w:val="002D688A"/>
    <w:rsid w:val="002E00FE"/>
    <w:rsid w:val="002E032A"/>
    <w:rsid w:val="002E0A88"/>
    <w:rsid w:val="002E14F8"/>
    <w:rsid w:val="002E26F6"/>
    <w:rsid w:val="002E2B5A"/>
    <w:rsid w:val="002E3826"/>
    <w:rsid w:val="002E6092"/>
    <w:rsid w:val="002F0115"/>
    <w:rsid w:val="002F0E3A"/>
    <w:rsid w:val="002F1CFA"/>
    <w:rsid w:val="002F1FD5"/>
    <w:rsid w:val="002F387E"/>
    <w:rsid w:val="002F3C43"/>
    <w:rsid w:val="002F58E3"/>
    <w:rsid w:val="002F6297"/>
    <w:rsid w:val="002F6F5E"/>
    <w:rsid w:val="00300B42"/>
    <w:rsid w:val="00302172"/>
    <w:rsid w:val="00302465"/>
    <w:rsid w:val="0030368E"/>
    <w:rsid w:val="00304C5A"/>
    <w:rsid w:val="00305286"/>
    <w:rsid w:val="0030619B"/>
    <w:rsid w:val="0030629E"/>
    <w:rsid w:val="003073EE"/>
    <w:rsid w:val="0031030D"/>
    <w:rsid w:val="00310F3E"/>
    <w:rsid w:val="00312569"/>
    <w:rsid w:val="003130C7"/>
    <w:rsid w:val="00315280"/>
    <w:rsid w:val="0031565E"/>
    <w:rsid w:val="0031633C"/>
    <w:rsid w:val="00320901"/>
    <w:rsid w:val="00321D45"/>
    <w:rsid w:val="00324E4C"/>
    <w:rsid w:val="00324F84"/>
    <w:rsid w:val="00327E61"/>
    <w:rsid w:val="00327EBF"/>
    <w:rsid w:val="00330B4C"/>
    <w:rsid w:val="003317F5"/>
    <w:rsid w:val="00333658"/>
    <w:rsid w:val="00333850"/>
    <w:rsid w:val="00333FDD"/>
    <w:rsid w:val="00334012"/>
    <w:rsid w:val="00336245"/>
    <w:rsid w:val="003379BB"/>
    <w:rsid w:val="00340A2F"/>
    <w:rsid w:val="0034331F"/>
    <w:rsid w:val="00344600"/>
    <w:rsid w:val="00346CE4"/>
    <w:rsid w:val="00346EB2"/>
    <w:rsid w:val="003475C7"/>
    <w:rsid w:val="00347F2E"/>
    <w:rsid w:val="00351019"/>
    <w:rsid w:val="003526F8"/>
    <w:rsid w:val="00352939"/>
    <w:rsid w:val="00353AE8"/>
    <w:rsid w:val="0035432A"/>
    <w:rsid w:val="0035583F"/>
    <w:rsid w:val="00355C7A"/>
    <w:rsid w:val="00355FD5"/>
    <w:rsid w:val="00361B96"/>
    <w:rsid w:val="00362DD8"/>
    <w:rsid w:val="00364EF1"/>
    <w:rsid w:val="0036502E"/>
    <w:rsid w:val="0036649B"/>
    <w:rsid w:val="00366613"/>
    <w:rsid w:val="003673BF"/>
    <w:rsid w:val="003674AE"/>
    <w:rsid w:val="003709AF"/>
    <w:rsid w:val="00370AC2"/>
    <w:rsid w:val="0037121D"/>
    <w:rsid w:val="00371FED"/>
    <w:rsid w:val="0037280D"/>
    <w:rsid w:val="00372A09"/>
    <w:rsid w:val="00373AE1"/>
    <w:rsid w:val="0037428E"/>
    <w:rsid w:val="003743D8"/>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509C"/>
    <w:rsid w:val="003A6423"/>
    <w:rsid w:val="003A657B"/>
    <w:rsid w:val="003A692F"/>
    <w:rsid w:val="003A69A0"/>
    <w:rsid w:val="003A7DBB"/>
    <w:rsid w:val="003B0DD6"/>
    <w:rsid w:val="003B2214"/>
    <w:rsid w:val="003B3C98"/>
    <w:rsid w:val="003B5158"/>
    <w:rsid w:val="003B5817"/>
    <w:rsid w:val="003B5847"/>
    <w:rsid w:val="003B63B4"/>
    <w:rsid w:val="003B6E7C"/>
    <w:rsid w:val="003C037F"/>
    <w:rsid w:val="003C0532"/>
    <w:rsid w:val="003C2441"/>
    <w:rsid w:val="003C2870"/>
    <w:rsid w:val="003C2B35"/>
    <w:rsid w:val="003C40F2"/>
    <w:rsid w:val="003C44EF"/>
    <w:rsid w:val="003C51B6"/>
    <w:rsid w:val="003C58BF"/>
    <w:rsid w:val="003D248E"/>
    <w:rsid w:val="003D38F1"/>
    <w:rsid w:val="003D3A26"/>
    <w:rsid w:val="003D581B"/>
    <w:rsid w:val="003D67C7"/>
    <w:rsid w:val="003D7A27"/>
    <w:rsid w:val="003E0709"/>
    <w:rsid w:val="003E0A04"/>
    <w:rsid w:val="003E0D44"/>
    <w:rsid w:val="003E0FE5"/>
    <w:rsid w:val="003E2CE2"/>
    <w:rsid w:val="003E2F65"/>
    <w:rsid w:val="003E36E1"/>
    <w:rsid w:val="003E582D"/>
    <w:rsid w:val="003E584D"/>
    <w:rsid w:val="003E6FF5"/>
    <w:rsid w:val="003F0058"/>
    <w:rsid w:val="003F06C3"/>
    <w:rsid w:val="003F0EE3"/>
    <w:rsid w:val="003F1400"/>
    <w:rsid w:val="003F2AFE"/>
    <w:rsid w:val="003F33AF"/>
    <w:rsid w:val="003F5BA5"/>
    <w:rsid w:val="003F61F0"/>
    <w:rsid w:val="003F66B0"/>
    <w:rsid w:val="003F6ED0"/>
    <w:rsid w:val="003F76E5"/>
    <w:rsid w:val="003F7BFE"/>
    <w:rsid w:val="00400065"/>
    <w:rsid w:val="00400F22"/>
    <w:rsid w:val="00401C73"/>
    <w:rsid w:val="00402B1E"/>
    <w:rsid w:val="00403E7E"/>
    <w:rsid w:val="004046EA"/>
    <w:rsid w:val="00407B91"/>
    <w:rsid w:val="00411E74"/>
    <w:rsid w:val="00413F5C"/>
    <w:rsid w:val="004142B2"/>
    <w:rsid w:val="00416C19"/>
    <w:rsid w:val="00416DBB"/>
    <w:rsid w:val="004178B0"/>
    <w:rsid w:val="00420066"/>
    <w:rsid w:val="00422177"/>
    <w:rsid w:val="00422809"/>
    <w:rsid w:val="00422BB1"/>
    <w:rsid w:val="0042397D"/>
    <w:rsid w:val="00423A5C"/>
    <w:rsid w:val="00423ADE"/>
    <w:rsid w:val="004264C2"/>
    <w:rsid w:val="0042690E"/>
    <w:rsid w:val="004270EA"/>
    <w:rsid w:val="00427C8A"/>
    <w:rsid w:val="0043067B"/>
    <w:rsid w:val="0043069D"/>
    <w:rsid w:val="00433B67"/>
    <w:rsid w:val="0043460A"/>
    <w:rsid w:val="00434952"/>
    <w:rsid w:val="00435F8E"/>
    <w:rsid w:val="004368AB"/>
    <w:rsid w:val="004368C2"/>
    <w:rsid w:val="004370D3"/>
    <w:rsid w:val="004423A5"/>
    <w:rsid w:val="00442C25"/>
    <w:rsid w:val="004437ED"/>
    <w:rsid w:val="00444552"/>
    <w:rsid w:val="00445D14"/>
    <w:rsid w:val="004461FF"/>
    <w:rsid w:val="004513CF"/>
    <w:rsid w:val="00451FDC"/>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76E63"/>
    <w:rsid w:val="00480559"/>
    <w:rsid w:val="00482BD5"/>
    <w:rsid w:val="00483FE2"/>
    <w:rsid w:val="00487A93"/>
    <w:rsid w:val="00491AA6"/>
    <w:rsid w:val="00491D6F"/>
    <w:rsid w:val="0049392A"/>
    <w:rsid w:val="00493FC5"/>
    <w:rsid w:val="0049550E"/>
    <w:rsid w:val="004955A4"/>
    <w:rsid w:val="004A09D5"/>
    <w:rsid w:val="004A1BEC"/>
    <w:rsid w:val="004A364F"/>
    <w:rsid w:val="004A46E2"/>
    <w:rsid w:val="004A4BE8"/>
    <w:rsid w:val="004A4F4C"/>
    <w:rsid w:val="004A7F50"/>
    <w:rsid w:val="004B01AF"/>
    <w:rsid w:val="004B0AC3"/>
    <w:rsid w:val="004B1905"/>
    <w:rsid w:val="004B33D1"/>
    <w:rsid w:val="004B42D1"/>
    <w:rsid w:val="004C0C3C"/>
    <w:rsid w:val="004C0E65"/>
    <w:rsid w:val="004C265C"/>
    <w:rsid w:val="004C3150"/>
    <w:rsid w:val="004C37FB"/>
    <w:rsid w:val="004C4FD8"/>
    <w:rsid w:val="004C6757"/>
    <w:rsid w:val="004C77F8"/>
    <w:rsid w:val="004C7A25"/>
    <w:rsid w:val="004D0EF2"/>
    <w:rsid w:val="004D274D"/>
    <w:rsid w:val="004D2F8F"/>
    <w:rsid w:val="004D3BF9"/>
    <w:rsid w:val="004D4252"/>
    <w:rsid w:val="004D487A"/>
    <w:rsid w:val="004D5A5B"/>
    <w:rsid w:val="004D6321"/>
    <w:rsid w:val="004D68F3"/>
    <w:rsid w:val="004D6CF6"/>
    <w:rsid w:val="004D78DA"/>
    <w:rsid w:val="004E0F53"/>
    <w:rsid w:val="004E2C68"/>
    <w:rsid w:val="004E353E"/>
    <w:rsid w:val="004E409D"/>
    <w:rsid w:val="004E466C"/>
    <w:rsid w:val="004E4A5C"/>
    <w:rsid w:val="004F07A5"/>
    <w:rsid w:val="004F3D26"/>
    <w:rsid w:val="004F402C"/>
    <w:rsid w:val="004F4380"/>
    <w:rsid w:val="004F4DF0"/>
    <w:rsid w:val="004F4FC7"/>
    <w:rsid w:val="004F5ACC"/>
    <w:rsid w:val="004F6B0E"/>
    <w:rsid w:val="00500ECD"/>
    <w:rsid w:val="005030CE"/>
    <w:rsid w:val="00503BDB"/>
    <w:rsid w:val="00504597"/>
    <w:rsid w:val="00504D8B"/>
    <w:rsid w:val="00506CB0"/>
    <w:rsid w:val="00506F90"/>
    <w:rsid w:val="0051042E"/>
    <w:rsid w:val="00511286"/>
    <w:rsid w:val="005116C2"/>
    <w:rsid w:val="005118C9"/>
    <w:rsid w:val="005139DE"/>
    <w:rsid w:val="0051545F"/>
    <w:rsid w:val="00515DD2"/>
    <w:rsid w:val="0052063A"/>
    <w:rsid w:val="005244A8"/>
    <w:rsid w:val="00525817"/>
    <w:rsid w:val="00526821"/>
    <w:rsid w:val="00526DF6"/>
    <w:rsid w:val="00527057"/>
    <w:rsid w:val="005275E2"/>
    <w:rsid w:val="0053299D"/>
    <w:rsid w:val="00533849"/>
    <w:rsid w:val="0053557F"/>
    <w:rsid w:val="00536625"/>
    <w:rsid w:val="00536A9D"/>
    <w:rsid w:val="00536FBE"/>
    <w:rsid w:val="00541D4B"/>
    <w:rsid w:val="0054267E"/>
    <w:rsid w:val="00543717"/>
    <w:rsid w:val="005438D2"/>
    <w:rsid w:val="00543A3B"/>
    <w:rsid w:val="00543F7A"/>
    <w:rsid w:val="005452C2"/>
    <w:rsid w:val="00545864"/>
    <w:rsid w:val="00545BD2"/>
    <w:rsid w:val="00545E7C"/>
    <w:rsid w:val="00547B47"/>
    <w:rsid w:val="00547D0E"/>
    <w:rsid w:val="00550AAA"/>
    <w:rsid w:val="00552C3B"/>
    <w:rsid w:val="00552FD6"/>
    <w:rsid w:val="005543AE"/>
    <w:rsid w:val="00554857"/>
    <w:rsid w:val="00554B59"/>
    <w:rsid w:val="0055532C"/>
    <w:rsid w:val="00555464"/>
    <w:rsid w:val="00555832"/>
    <w:rsid w:val="00555899"/>
    <w:rsid w:val="005558C0"/>
    <w:rsid w:val="00555A99"/>
    <w:rsid w:val="00555C27"/>
    <w:rsid w:val="00557252"/>
    <w:rsid w:val="005610BF"/>
    <w:rsid w:val="005617C3"/>
    <w:rsid w:val="0056262C"/>
    <w:rsid w:val="0056361D"/>
    <w:rsid w:val="00563979"/>
    <w:rsid w:val="00563D97"/>
    <w:rsid w:val="0056489C"/>
    <w:rsid w:val="00564AA2"/>
    <w:rsid w:val="00565AC6"/>
    <w:rsid w:val="005713D7"/>
    <w:rsid w:val="00572CE5"/>
    <w:rsid w:val="00574B15"/>
    <w:rsid w:val="00575FC7"/>
    <w:rsid w:val="00576354"/>
    <w:rsid w:val="005777B1"/>
    <w:rsid w:val="005801AE"/>
    <w:rsid w:val="00581F6C"/>
    <w:rsid w:val="00582251"/>
    <w:rsid w:val="005827F0"/>
    <w:rsid w:val="005832D6"/>
    <w:rsid w:val="00583979"/>
    <w:rsid w:val="00584CBE"/>
    <w:rsid w:val="0058572D"/>
    <w:rsid w:val="00587E7C"/>
    <w:rsid w:val="0059234F"/>
    <w:rsid w:val="00593129"/>
    <w:rsid w:val="0059322F"/>
    <w:rsid w:val="005946CD"/>
    <w:rsid w:val="00596B80"/>
    <w:rsid w:val="005970E5"/>
    <w:rsid w:val="005A20D6"/>
    <w:rsid w:val="005A21E5"/>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5488"/>
    <w:rsid w:val="005C555C"/>
    <w:rsid w:val="005C6E60"/>
    <w:rsid w:val="005D13B3"/>
    <w:rsid w:val="005D1A17"/>
    <w:rsid w:val="005D3260"/>
    <w:rsid w:val="005D418F"/>
    <w:rsid w:val="005D5303"/>
    <w:rsid w:val="005D62E7"/>
    <w:rsid w:val="005D735C"/>
    <w:rsid w:val="005D79B7"/>
    <w:rsid w:val="005E18A3"/>
    <w:rsid w:val="005E32F0"/>
    <w:rsid w:val="005E3826"/>
    <w:rsid w:val="005E3B33"/>
    <w:rsid w:val="005E594B"/>
    <w:rsid w:val="005E5D02"/>
    <w:rsid w:val="005F06A5"/>
    <w:rsid w:val="005F0AF5"/>
    <w:rsid w:val="005F1C20"/>
    <w:rsid w:val="005F1F6C"/>
    <w:rsid w:val="005F2F03"/>
    <w:rsid w:val="005F42DC"/>
    <w:rsid w:val="005F43F5"/>
    <w:rsid w:val="005F524C"/>
    <w:rsid w:val="005F66BA"/>
    <w:rsid w:val="005F6C28"/>
    <w:rsid w:val="005F78E4"/>
    <w:rsid w:val="0060015C"/>
    <w:rsid w:val="00601655"/>
    <w:rsid w:val="0060183D"/>
    <w:rsid w:val="0060197A"/>
    <w:rsid w:val="00601F9E"/>
    <w:rsid w:val="00602C48"/>
    <w:rsid w:val="00602CC7"/>
    <w:rsid w:val="00602F7F"/>
    <w:rsid w:val="00603957"/>
    <w:rsid w:val="00612820"/>
    <w:rsid w:val="00612C49"/>
    <w:rsid w:val="00613200"/>
    <w:rsid w:val="00615765"/>
    <w:rsid w:val="00616B44"/>
    <w:rsid w:val="00617606"/>
    <w:rsid w:val="0061765F"/>
    <w:rsid w:val="006179DB"/>
    <w:rsid w:val="00617B7E"/>
    <w:rsid w:val="006244D6"/>
    <w:rsid w:val="00624846"/>
    <w:rsid w:val="00624D64"/>
    <w:rsid w:val="00630271"/>
    <w:rsid w:val="006304E5"/>
    <w:rsid w:val="00631DAE"/>
    <w:rsid w:val="0063458E"/>
    <w:rsid w:val="00636B97"/>
    <w:rsid w:val="00637FE7"/>
    <w:rsid w:val="006400AB"/>
    <w:rsid w:val="00640437"/>
    <w:rsid w:val="006406F6"/>
    <w:rsid w:val="00641B64"/>
    <w:rsid w:val="006431E9"/>
    <w:rsid w:val="006436C0"/>
    <w:rsid w:val="006445BA"/>
    <w:rsid w:val="00646F33"/>
    <w:rsid w:val="00647630"/>
    <w:rsid w:val="00647D40"/>
    <w:rsid w:val="00653136"/>
    <w:rsid w:val="00654E9C"/>
    <w:rsid w:val="00655369"/>
    <w:rsid w:val="00655400"/>
    <w:rsid w:val="006558BB"/>
    <w:rsid w:val="006558CA"/>
    <w:rsid w:val="00655C67"/>
    <w:rsid w:val="00656767"/>
    <w:rsid w:val="0065706E"/>
    <w:rsid w:val="00657722"/>
    <w:rsid w:val="006609EA"/>
    <w:rsid w:val="00661A69"/>
    <w:rsid w:val="00662035"/>
    <w:rsid w:val="006638C8"/>
    <w:rsid w:val="0066490E"/>
    <w:rsid w:val="006670D6"/>
    <w:rsid w:val="00671844"/>
    <w:rsid w:val="006726BF"/>
    <w:rsid w:val="006737D2"/>
    <w:rsid w:val="00673DF1"/>
    <w:rsid w:val="0067465B"/>
    <w:rsid w:val="00675E39"/>
    <w:rsid w:val="00677E2C"/>
    <w:rsid w:val="00680C2C"/>
    <w:rsid w:val="006813CC"/>
    <w:rsid w:val="006820B8"/>
    <w:rsid w:val="00682613"/>
    <w:rsid w:val="00684E43"/>
    <w:rsid w:val="00686E6C"/>
    <w:rsid w:val="00687A4C"/>
    <w:rsid w:val="00695D3C"/>
    <w:rsid w:val="006962ED"/>
    <w:rsid w:val="006A0529"/>
    <w:rsid w:val="006A1F03"/>
    <w:rsid w:val="006A2569"/>
    <w:rsid w:val="006A2A2E"/>
    <w:rsid w:val="006A3325"/>
    <w:rsid w:val="006A3BF6"/>
    <w:rsid w:val="006A4384"/>
    <w:rsid w:val="006A6A17"/>
    <w:rsid w:val="006B09B4"/>
    <w:rsid w:val="006B1021"/>
    <w:rsid w:val="006B16D0"/>
    <w:rsid w:val="006B275C"/>
    <w:rsid w:val="006B400D"/>
    <w:rsid w:val="006B5E00"/>
    <w:rsid w:val="006B662C"/>
    <w:rsid w:val="006B6E22"/>
    <w:rsid w:val="006B6F12"/>
    <w:rsid w:val="006C03CE"/>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5E17"/>
    <w:rsid w:val="006E7542"/>
    <w:rsid w:val="006F0C55"/>
    <w:rsid w:val="006F2AFF"/>
    <w:rsid w:val="006F391A"/>
    <w:rsid w:val="006F5CB2"/>
    <w:rsid w:val="006F61E0"/>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1DF"/>
    <w:rsid w:val="00711316"/>
    <w:rsid w:val="0071180B"/>
    <w:rsid w:val="00714A3A"/>
    <w:rsid w:val="007151D8"/>
    <w:rsid w:val="00715EC1"/>
    <w:rsid w:val="00716A21"/>
    <w:rsid w:val="00717DD4"/>
    <w:rsid w:val="00717E44"/>
    <w:rsid w:val="00720948"/>
    <w:rsid w:val="00723950"/>
    <w:rsid w:val="00723E89"/>
    <w:rsid w:val="007252A2"/>
    <w:rsid w:val="00726481"/>
    <w:rsid w:val="00726CC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65FA"/>
    <w:rsid w:val="007678B9"/>
    <w:rsid w:val="00771559"/>
    <w:rsid w:val="00772D1D"/>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31C7"/>
    <w:rsid w:val="007A4959"/>
    <w:rsid w:val="007A4CC7"/>
    <w:rsid w:val="007A53B6"/>
    <w:rsid w:val="007A5D18"/>
    <w:rsid w:val="007A61D6"/>
    <w:rsid w:val="007A623C"/>
    <w:rsid w:val="007A72FD"/>
    <w:rsid w:val="007A7661"/>
    <w:rsid w:val="007B0264"/>
    <w:rsid w:val="007B06C5"/>
    <w:rsid w:val="007B0753"/>
    <w:rsid w:val="007B0CCE"/>
    <w:rsid w:val="007B3BED"/>
    <w:rsid w:val="007B4647"/>
    <w:rsid w:val="007B5DE9"/>
    <w:rsid w:val="007B6060"/>
    <w:rsid w:val="007B6887"/>
    <w:rsid w:val="007B7093"/>
    <w:rsid w:val="007C0AD8"/>
    <w:rsid w:val="007C0B14"/>
    <w:rsid w:val="007C2044"/>
    <w:rsid w:val="007C238A"/>
    <w:rsid w:val="007C2E46"/>
    <w:rsid w:val="007C3624"/>
    <w:rsid w:val="007C646B"/>
    <w:rsid w:val="007C7E4D"/>
    <w:rsid w:val="007D20EE"/>
    <w:rsid w:val="007D28E8"/>
    <w:rsid w:val="007D3210"/>
    <w:rsid w:val="007D408B"/>
    <w:rsid w:val="007D4131"/>
    <w:rsid w:val="007D4413"/>
    <w:rsid w:val="007D55B1"/>
    <w:rsid w:val="007D564E"/>
    <w:rsid w:val="007D59E1"/>
    <w:rsid w:val="007E0F33"/>
    <w:rsid w:val="007E3D8D"/>
    <w:rsid w:val="007E53C1"/>
    <w:rsid w:val="007E5894"/>
    <w:rsid w:val="007E68D0"/>
    <w:rsid w:val="007E6DE1"/>
    <w:rsid w:val="007F04F3"/>
    <w:rsid w:val="007F0778"/>
    <w:rsid w:val="007F078E"/>
    <w:rsid w:val="007F268A"/>
    <w:rsid w:val="007F30A1"/>
    <w:rsid w:val="007F38E6"/>
    <w:rsid w:val="007F3BEB"/>
    <w:rsid w:val="007F3C36"/>
    <w:rsid w:val="007F51B3"/>
    <w:rsid w:val="007F6399"/>
    <w:rsid w:val="007F6E1E"/>
    <w:rsid w:val="007F7077"/>
    <w:rsid w:val="008031D4"/>
    <w:rsid w:val="00803C82"/>
    <w:rsid w:val="00804A92"/>
    <w:rsid w:val="00805DEF"/>
    <w:rsid w:val="00805E6C"/>
    <w:rsid w:val="0080638D"/>
    <w:rsid w:val="008066CD"/>
    <w:rsid w:val="00812D82"/>
    <w:rsid w:val="00813796"/>
    <w:rsid w:val="008145FC"/>
    <w:rsid w:val="008149FE"/>
    <w:rsid w:val="00816941"/>
    <w:rsid w:val="00817892"/>
    <w:rsid w:val="0082172B"/>
    <w:rsid w:val="00822369"/>
    <w:rsid w:val="0082340F"/>
    <w:rsid w:val="008236F1"/>
    <w:rsid w:val="00824646"/>
    <w:rsid w:val="008249C3"/>
    <w:rsid w:val="00824F82"/>
    <w:rsid w:val="00826CD3"/>
    <w:rsid w:val="00826DFF"/>
    <w:rsid w:val="0083005B"/>
    <w:rsid w:val="008306C8"/>
    <w:rsid w:val="00830BB6"/>
    <w:rsid w:val="00830F3A"/>
    <w:rsid w:val="00830F3F"/>
    <w:rsid w:val="00832B09"/>
    <w:rsid w:val="00834CF5"/>
    <w:rsid w:val="00834D58"/>
    <w:rsid w:val="00834D73"/>
    <w:rsid w:val="00835106"/>
    <w:rsid w:val="00835FAC"/>
    <w:rsid w:val="00835FB1"/>
    <w:rsid w:val="00837AC9"/>
    <w:rsid w:val="00840620"/>
    <w:rsid w:val="00840F7F"/>
    <w:rsid w:val="008415AC"/>
    <w:rsid w:val="008418D9"/>
    <w:rsid w:val="00842082"/>
    <w:rsid w:val="00843D58"/>
    <w:rsid w:val="00845430"/>
    <w:rsid w:val="008457A9"/>
    <w:rsid w:val="00846C9B"/>
    <w:rsid w:val="00847D78"/>
    <w:rsid w:val="00850A41"/>
    <w:rsid w:val="008510FD"/>
    <w:rsid w:val="00854698"/>
    <w:rsid w:val="00854F40"/>
    <w:rsid w:val="00855831"/>
    <w:rsid w:val="00855F7C"/>
    <w:rsid w:val="00856C1B"/>
    <w:rsid w:val="00856F70"/>
    <w:rsid w:val="00857960"/>
    <w:rsid w:val="00861A42"/>
    <w:rsid w:val="00862FE7"/>
    <w:rsid w:val="0086316D"/>
    <w:rsid w:val="00864754"/>
    <w:rsid w:val="008669FC"/>
    <w:rsid w:val="008706A3"/>
    <w:rsid w:val="00871997"/>
    <w:rsid w:val="00871C4A"/>
    <w:rsid w:val="00873826"/>
    <w:rsid w:val="008742C6"/>
    <w:rsid w:val="00875A2E"/>
    <w:rsid w:val="00876CD0"/>
    <w:rsid w:val="0088044E"/>
    <w:rsid w:val="0088207C"/>
    <w:rsid w:val="008821BE"/>
    <w:rsid w:val="00882889"/>
    <w:rsid w:val="00883103"/>
    <w:rsid w:val="008832FB"/>
    <w:rsid w:val="00883498"/>
    <w:rsid w:val="008848C2"/>
    <w:rsid w:val="00885B58"/>
    <w:rsid w:val="00886F48"/>
    <w:rsid w:val="00887598"/>
    <w:rsid w:val="008875F8"/>
    <w:rsid w:val="0088761F"/>
    <w:rsid w:val="00887AE6"/>
    <w:rsid w:val="00887EC5"/>
    <w:rsid w:val="00890EF4"/>
    <w:rsid w:val="008918AF"/>
    <w:rsid w:val="00891AEE"/>
    <w:rsid w:val="00891E4D"/>
    <w:rsid w:val="00891F6B"/>
    <w:rsid w:val="00891FC6"/>
    <w:rsid w:val="00892618"/>
    <w:rsid w:val="00892F2E"/>
    <w:rsid w:val="00894C92"/>
    <w:rsid w:val="008A11A7"/>
    <w:rsid w:val="008A2804"/>
    <w:rsid w:val="008A4707"/>
    <w:rsid w:val="008A4D59"/>
    <w:rsid w:val="008A75A8"/>
    <w:rsid w:val="008B1E4A"/>
    <w:rsid w:val="008B2102"/>
    <w:rsid w:val="008B46B8"/>
    <w:rsid w:val="008B4CDB"/>
    <w:rsid w:val="008B58EA"/>
    <w:rsid w:val="008C0393"/>
    <w:rsid w:val="008C07AD"/>
    <w:rsid w:val="008C2D42"/>
    <w:rsid w:val="008C341B"/>
    <w:rsid w:val="008C6147"/>
    <w:rsid w:val="008C6A16"/>
    <w:rsid w:val="008D192B"/>
    <w:rsid w:val="008D3375"/>
    <w:rsid w:val="008D5550"/>
    <w:rsid w:val="008D5EB5"/>
    <w:rsid w:val="008D63C6"/>
    <w:rsid w:val="008D7043"/>
    <w:rsid w:val="008E000A"/>
    <w:rsid w:val="008E416E"/>
    <w:rsid w:val="008E4C1A"/>
    <w:rsid w:val="008E50D6"/>
    <w:rsid w:val="008E5B66"/>
    <w:rsid w:val="008E5C4E"/>
    <w:rsid w:val="008F29DF"/>
    <w:rsid w:val="008F45E9"/>
    <w:rsid w:val="008F5572"/>
    <w:rsid w:val="008F67EA"/>
    <w:rsid w:val="008F7F9A"/>
    <w:rsid w:val="00902D9A"/>
    <w:rsid w:val="00903CD3"/>
    <w:rsid w:val="009052E3"/>
    <w:rsid w:val="0090682D"/>
    <w:rsid w:val="0090716D"/>
    <w:rsid w:val="00907B53"/>
    <w:rsid w:val="00907EC4"/>
    <w:rsid w:val="0091024E"/>
    <w:rsid w:val="009103BD"/>
    <w:rsid w:val="009107AA"/>
    <w:rsid w:val="00912BDD"/>
    <w:rsid w:val="0091327D"/>
    <w:rsid w:val="00915877"/>
    <w:rsid w:val="00917380"/>
    <w:rsid w:val="00920D3D"/>
    <w:rsid w:val="00921121"/>
    <w:rsid w:val="009212E3"/>
    <w:rsid w:val="00924F00"/>
    <w:rsid w:val="00925C7E"/>
    <w:rsid w:val="00926919"/>
    <w:rsid w:val="00926E12"/>
    <w:rsid w:val="0093002A"/>
    <w:rsid w:val="00933F39"/>
    <w:rsid w:val="009343C8"/>
    <w:rsid w:val="00934D66"/>
    <w:rsid w:val="00935B9A"/>
    <w:rsid w:val="00936416"/>
    <w:rsid w:val="0093771A"/>
    <w:rsid w:val="0093783E"/>
    <w:rsid w:val="00940B06"/>
    <w:rsid w:val="0094206F"/>
    <w:rsid w:val="0094208E"/>
    <w:rsid w:val="00942782"/>
    <w:rsid w:val="00942DDF"/>
    <w:rsid w:val="009433AD"/>
    <w:rsid w:val="0094376D"/>
    <w:rsid w:val="009443FD"/>
    <w:rsid w:val="00945502"/>
    <w:rsid w:val="00945DDF"/>
    <w:rsid w:val="0094664B"/>
    <w:rsid w:val="00946838"/>
    <w:rsid w:val="00947A08"/>
    <w:rsid w:val="009535BF"/>
    <w:rsid w:val="00953847"/>
    <w:rsid w:val="00954AA1"/>
    <w:rsid w:val="009562AE"/>
    <w:rsid w:val="00957708"/>
    <w:rsid w:val="00957E3F"/>
    <w:rsid w:val="0096052B"/>
    <w:rsid w:val="00960C32"/>
    <w:rsid w:val="00961B30"/>
    <w:rsid w:val="00963AE4"/>
    <w:rsid w:val="00963F32"/>
    <w:rsid w:val="00964AC2"/>
    <w:rsid w:val="00971C26"/>
    <w:rsid w:val="009722EE"/>
    <w:rsid w:val="009731AA"/>
    <w:rsid w:val="009732B9"/>
    <w:rsid w:val="009733AE"/>
    <w:rsid w:val="009737C0"/>
    <w:rsid w:val="0097460B"/>
    <w:rsid w:val="009748FD"/>
    <w:rsid w:val="009766FF"/>
    <w:rsid w:val="009771C3"/>
    <w:rsid w:val="00977396"/>
    <w:rsid w:val="009807D3"/>
    <w:rsid w:val="00982B4A"/>
    <w:rsid w:val="00986DAA"/>
    <w:rsid w:val="00987F38"/>
    <w:rsid w:val="0099024E"/>
    <w:rsid w:val="009905D0"/>
    <w:rsid w:val="0099316A"/>
    <w:rsid w:val="00994356"/>
    <w:rsid w:val="00994A57"/>
    <w:rsid w:val="00996838"/>
    <w:rsid w:val="009A1877"/>
    <w:rsid w:val="009A27C2"/>
    <w:rsid w:val="009A3364"/>
    <w:rsid w:val="009A3E19"/>
    <w:rsid w:val="009A69D2"/>
    <w:rsid w:val="009A6D32"/>
    <w:rsid w:val="009A7065"/>
    <w:rsid w:val="009B1184"/>
    <w:rsid w:val="009B6273"/>
    <w:rsid w:val="009B6A80"/>
    <w:rsid w:val="009B6F70"/>
    <w:rsid w:val="009B6F7C"/>
    <w:rsid w:val="009B7070"/>
    <w:rsid w:val="009C07E2"/>
    <w:rsid w:val="009C1063"/>
    <w:rsid w:val="009C10C3"/>
    <w:rsid w:val="009C26C2"/>
    <w:rsid w:val="009C2DF8"/>
    <w:rsid w:val="009C352B"/>
    <w:rsid w:val="009C412C"/>
    <w:rsid w:val="009C534A"/>
    <w:rsid w:val="009C5F8A"/>
    <w:rsid w:val="009C7A85"/>
    <w:rsid w:val="009D053D"/>
    <w:rsid w:val="009D0A15"/>
    <w:rsid w:val="009D1BF7"/>
    <w:rsid w:val="009D21C2"/>
    <w:rsid w:val="009D30FD"/>
    <w:rsid w:val="009D33FC"/>
    <w:rsid w:val="009D3EE1"/>
    <w:rsid w:val="009D4625"/>
    <w:rsid w:val="009D4C9E"/>
    <w:rsid w:val="009D4EB8"/>
    <w:rsid w:val="009D5CB8"/>
    <w:rsid w:val="009D5EB3"/>
    <w:rsid w:val="009D6DEC"/>
    <w:rsid w:val="009D71A2"/>
    <w:rsid w:val="009D7345"/>
    <w:rsid w:val="009D7F60"/>
    <w:rsid w:val="009E02EE"/>
    <w:rsid w:val="009E0555"/>
    <w:rsid w:val="009E0822"/>
    <w:rsid w:val="009E1143"/>
    <w:rsid w:val="009E4475"/>
    <w:rsid w:val="009E5628"/>
    <w:rsid w:val="009E5640"/>
    <w:rsid w:val="009E6AA9"/>
    <w:rsid w:val="009E6EFC"/>
    <w:rsid w:val="009F19A2"/>
    <w:rsid w:val="009F541F"/>
    <w:rsid w:val="009F56E9"/>
    <w:rsid w:val="009F64D8"/>
    <w:rsid w:val="009F669A"/>
    <w:rsid w:val="00A02238"/>
    <w:rsid w:val="00A12D92"/>
    <w:rsid w:val="00A147D4"/>
    <w:rsid w:val="00A1785F"/>
    <w:rsid w:val="00A2019B"/>
    <w:rsid w:val="00A2023D"/>
    <w:rsid w:val="00A20865"/>
    <w:rsid w:val="00A22392"/>
    <w:rsid w:val="00A22C13"/>
    <w:rsid w:val="00A23686"/>
    <w:rsid w:val="00A23CDD"/>
    <w:rsid w:val="00A25A1E"/>
    <w:rsid w:val="00A260A3"/>
    <w:rsid w:val="00A324FA"/>
    <w:rsid w:val="00A3326D"/>
    <w:rsid w:val="00A35034"/>
    <w:rsid w:val="00A357C3"/>
    <w:rsid w:val="00A35C0A"/>
    <w:rsid w:val="00A40973"/>
    <w:rsid w:val="00A42BBE"/>
    <w:rsid w:val="00A4355E"/>
    <w:rsid w:val="00A450E3"/>
    <w:rsid w:val="00A45272"/>
    <w:rsid w:val="00A461AF"/>
    <w:rsid w:val="00A47CEF"/>
    <w:rsid w:val="00A51604"/>
    <w:rsid w:val="00A54DE8"/>
    <w:rsid w:val="00A55084"/>
    <w:rsid w:val="00A55713"/>
    <w:rsid w:val="00A559BD"/>
    <w:rsid w:val="00A55B61"/>
    <w:rsid w:val="00A56030"/>
    <w:rsid w:val="00A562FD"/>
    <w:rsid w:val="00A57E3B"/>
    <w:rsid w:val="00A600EF"/>
    <w:rsid w:val="00A6145A"/>
    <w:rsid w:val="00A6145C"/>
    <w:rsid w:val="00A619CD"/>
    <w:rsid w:val="00A61CDC"/>
    <w:rsid w:val="00A628CD"/>
    <w:rsid w:val="00A63D1D"/>
    <w:rsid w:val="00A641A0"/>
    <w:rsid w:val="00A6475A"/>
    <w:rsid w:val="00A64883"/>
    <w:rsid w:val="00A660F6"/>
    <w:rsid w:val="00A6639D"/>
    <w:rsid w:val="00A671BF"/>
    <w:rsid w:val="00A673E7"/>
    <w:rsid w:val="00A676CD"/>
    <w:rsid w:val="00A67B03"/>
    <w:rsid w:val="00A705AC"/>
    <w:rsid w:val="00A708BF"/>
    <w:rsid w:val="00A71453"/>
    <w:rsid w:val="00A7278E"/>
    <w:rsid w:val="00A7284D"/>
    <w:rsid w:val="00A73C48"/>
    <w:rsid w:val="00A73C5C"/>
    <w:rsid w:val="00A7464C"/>
    <w:rsid w:val="00A756E0"/>
    <w:rsid w:val="00A80FDB"/>
    <w:rsid w:val="00A8111F"/>
    <w:rsid w:val="00A81360"/>
    <w:rsid w:val="00A8180E"/>
    <w:rsid w:val="00A8296A"/>
    <w:rsid w:val="00A84068"/>
    <w:rsid w:val="00A85663"/>
    <w:rsid w:val="00A86697"/>
    <w:rsid w:val="00A86C37"/>
    <w:rsid w:val="00A918B6"/>
    <w:rsid w:val="00A9238A"/>
    <w:rsid w:val="00A92F2B"/>
    <w:rsid w:val="00A94AD1"/>
    <w:rsid w:val="00A9510B"/>
    <w:rsid w:val="00A954A0"/>
    <w:rsid w:val="00A95811"/>
    <w:rsid w:val="00A95DD2"/>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55D"/>
    <w:rsid w:val="00AC0443"/>
    <w:rsid w:val="00AC15AB"/>
    <w:rsid w:val="00AC2CE9"/>
    <w:rsid w:val="00AC46AA"/>
    <w:rsid w:val="00AC5629"/>
    <w:rsid w:val="00AC6E77"/>
    <w:rsid w:val="00AD0595"/>
    <w:rsid w:val="00AD2349"/>
    <w:rsid w:val="00AD48DD"/>
    <w:rsid w:val="00AD54C1"/>
    <w:rsid w:val="00AD6EAF"/>
    <w:rsid w:val="00AE052B"/>
    <w:rsid w:val="00AE084C"/>
    <w:rsid w:val="00AE16DF"/>
    <w:rsid w:val="00AE19A7"/>
    <w:rsid w:val="00AE2AB2"/>
    <w:rsid w:val="00AE3480"/>
    <w:rsid w:val="00AE3F08"/>
    <w:rsid w:val="00AE49D2"/>
    <w:rsid w:val="00AE7999"/>
    <w:rsid w:val="00AF0E5D"/>
    <w:rsid w:val="00AF11FB"/>
    <w:rsid w:val="00AF23F3"/>
    <w:rsid w:val="00AF28EE"/>
    <w:rsid w:val="00AF34A2"/>
    <w:rsid w:val="00AF4248"/>
    <w:rsid w:val="00AF4934"/>
    <w:rsid w:val="00AF537D"/>
    <w:rsid w:val="00AF5AF8"/>
    <w:rsid w:val="00AF5CF2"/>
    <w:rsid w:val="00AF6211"/>
    <w:rsid w:val="00AF64C9"/>
    <w:rsid w:val="00AF704C"/>
    <w:rsid w:val="00AF7A45"/>
    <w:rsid w:val="00B00026"/>
    <w:rsid w:val="00B00660"/>
    <w:rsid w:val="00B0092E"/>
    <w:rsid w:val="00B01AEF"/>
    <w:rsid w:val="00B03459"/>
    <w:rsid w:val="00B03B23"/>
    <w:rsid w:val="00B047C6"/>
    <w:rsid w:val="00B05BD4"/>
    <w:rsid w:val="00B061E8"/>
    <w:rsid w:val="00B06E67"/>
    <w:rsid w:val="00B0784C"/>
    <w:rsid w:val="00B10189"/>
    <w:rsid w:val="00B11563"/>
    <w:rsid w:val="00B13E6C"/>
    <w:rsid w:val="00B1638C"/>
    <w:rsid w:val="00B16929"/>
    <w:rsid w:val="00B16AA7"/>
    <w:rsid w:val="00B16AC9"/>
    <w:rsid w:val="00B17287"/>
    <w:rsid w:val="00B172A3"/>
    <w:rsid w:val="00B2091F"/>
    <w:rsid w:val="00B21564"/>
    <w:rsid w:val="00B22696"/>
    <w:rsid w:val="00B2272A"/>
    <w:rsid w:val="00B234C7"/>
    <w:rsid w:val="00B23BF7"/>
    <w:rsid w:val="00B2439D"/>
    <w:rsid w:val="00B252D6"/>
    <w:rsid w:val="00B25501"/>
    <w:rsid w:val="00B25653"/>
    <w:rsid w:val="00B2599B"/>
    <w:rsid w:val="00B321B6"/>
    <w:rsid w:val="00B3399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062B"/>
    <w:rsid w:val="00B61AAD"/>
    <w:rsid w:val="00B62070"/>
    <w:rsid w:val="00B6226E"/>
    <w:rsid w:val="00B62AA9"/>
    <w:rsid w:val="00B63C24"/>
    <w:rsid w:val="00B63CE6"/>
    <w:rsid w:val="00B642B7"/>
    <w:rsid w:val="00B667F0"/>
    <w:rsid w:val="00B6797B"/>
    <w:rsid w:val="00B67C6C"/>
    <w:rsid w:val="00B7387F"/>
    <w:rsid w:val="00B7427F"/>
    <w:rsid w:val="00B751AD"/>
    <w:rsid w:val="00B768CB"/>
    <w:rsid w:val="00B7775B"/>
    <w:rsid w:val="00B81B16"/>
    <w:rsid w:val="00B82590"/>
    <w:rsid w:val="00B838A3"/>
    <w:rsid w:val="00B84E83"/>
    <w:rsid w:val="00B84EF9"/>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4E84"/>
    <w:rsid w:val="00BA6C8D"/>
    <w:rsid w:val="00BA747A"/>
    <w:rsid w:val="00BA7487"/>
    <w:rsid w:val="00BB1335"/>
    <w:rsid w:val="00BB1676"/>
    <w:rsid w:val="00BB1D12"/>
    <w:rsid w:val="00BB3F84"/>
    <w:rsid w:val="00BB5391"/>
    <w:rsid w:val="00BB6BF4"/>
    <w:rsid w:val="00BB7BD7"/>
    <w:rsid w:val="00BC206F"/>
    <w:rsid w:val="00BC3861"/>
    <w:rsid w:val="00BC3925"/>
    <w:rsid w:val="00BC4A5E"/>
    <w:rsid w:val="00BC5152"/>
    <w:rsid w:val="00BC5671"/>
    <w:rsid w:val="00BC76DB"/>
    <w:rsid w:val="00BD02FD"/>
    <w:rsid w:val="00BD0FD1"/>
    <w:rsid w:val="00BD1185"/>
    <w:rsid w:val="00BD3E52"/>
    <w:rsid w:val="00BD4509"/>
    <w:rsid w:val="00BD4B69"/>
    <w:rsid w:val="00BD4E16"/>
    <w:rsid w:val="00BD50B9"/>
    <w:rsid w:val="00BD5AF7"/>
    <w:rsid w:val="00BD6817"/>
    <w:rsid w:val="00BD76D0"/>
    <w:rsid w:val="00BE0F4D"/>
    <w:rsid w:val="00BE22C9"/>
    <w:rsid w:val="00BE24E5"/>
    <w:rsid w:val="00BE34D3"/>
    <w:rsid w:val="00BE4EB3"/>
    <w:rsid w:val="00BE5CAB"/>
    <w:rsid w:val="00BE6883"/>
    <w:rsid w:val="00BE7805"/>
    <w:rsid w:val="00BE7D91"/>
    <w:rsid w:val="00BF1359"/>
    <w:rsid w:val="00BF4567"/>
    <w:rsid w:val="00BF49C3"/>
    <w:rsid w:val="00BF4CA6"/>
    <w:rsid w:val="00BF4F45"/>
    <w:rsid w:val="00BF5408"/>
    <w:rsid w:val="00BF694A"/>
    <w:rsid w:val="00BF7D97"/>
    <w:rsid w:val="00C00F2C"/>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5861"/>
    <w:rsid w:val="00C25AC0"/>
    <w:rsid w:val="00C268C5"/>
    <w:rsid w:val="00C26AD7"/>
    <w:rsid w:val="00C3020A"/>
    <w:rsid w:val="00C31598"/>
    <w:rsid w:val="00C31A8A"/>
    <w:rsid w:val="00C32429"/>
    <w:rsid w:val="00C33E7D"/>
    <w:rsid w:val="00C33FCC"/>
    <w:rsid w:val="00C34087"/>
    <w:rsid w:val="00C34444"/>
    <w:rsid w:val="00C34D9B"/>
    <w:rsid w:val="00C37144"/>
    <w:rsid w:val="00C41E61"/>
    <w:rsid w:val="00C42EB6"/>
    <w:rsid w:val="00C43788"/>
    <w:rsid w:val="00C43903"/>
    <w:rsid w:val="00C44AF0"/>
    <w:rsid w:val="00C45C1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4406"/>
    <w:rsid w:val="00C7590D"/>
    <w:rsid w:val="00C76A3A"/>
    <w:rsid w:val="00C82F39"/>
    <w:rsid w:val="00C841CF"/>
    <w:rsid w:val="00C84475"/>
    <w:rsid w:val="00C865C0"/>
    <w:rsid w:val="00C872FD"/>
    <w:rsid w:val="00C87381"/>
    <w:rsid w:val="00C90AB3"/>
    <w:rsid w:val="00C91318"/>
    <w:rsid w:val="00C94AD1"/>
    <w:rsid w:val="00C95433"/>
    <w:rsid w:val="00C95667"/>
    <w:rsid w:val="00C97AA4"/>
    <w:rsid w:val="00C97BC4"/>
    <w:rsid w:val="00CA0C2C"/>
    <w:rsid w:val="00CA0EEB"/>
    <w:rsid w:val="00CA17C8"/>
    <w:rsid w:val="00CA27D5"/>
    <w:rsid w:val="00CA2D0F"/>
    <w:rsid w:val="00CA4E57"/>
    <w:rsid w:val="00CA5D9B"/>
    <w:rsid w:val="00CA5E0E"/>
    <w:rsid w:val="00CA60EF"/>
    <w:rsid w:val="00CB15E2"/>
    <w:rsid w:val="00CB1744"/>
    <w:rsid w:val="00CB21B9"/>
    <w:rsid w:val="00CB22FD"/>
    <w:rsid w:val="00CB24A5"/>
    <w:rsid w:val="00CB2816"/>
    <w:rsid w:val="00CB2B3F"/>
    <w:rsid w:val="00CB2DE0"/>
    <w:rsid w:val="00CB3345"/>
    <w:rsid w:val="00CB4614"/>
    <w:rsid w:val="00CB4E45"/>
    <w:rsid w:val="00CB52A2"/>
    <w:rsid w:val="00CB534A"/>
    <w:rsid w:val="00CB5F43"/>
    <w:rsid w:val="00CB60ED"/>
    <w:rsid w:val="00CB688D"/>
    <w:rsid w:val="00CB6E58"/>
    <w:rsid w:val="00CC1CC2"/>
    <w:rsid w:val="00CC2285"/>
    <w:rsid w:val="00CC41D3"/>
    <w:rsid w:val="00CC4420"/>
    <w:rsid w:val="00CD05F1"/>
    <w:rsid w:val="00CD07DB"/>
    <w:rsid w:val="00CD0D80"/>
    <w:rsid w:val="00CD5ED7"/>
    <w:rsid w:val="00CE069D"/>
    <w:rsid w:val="00CE1B09"/>
    <w:rsid w:val="00CE2B7C"/>
    <w:rsid w:val="00CE2FA8"/>
    <w:rsid w:val="00CE5630"/>
    <w:rsid w:val="00CE5C93"/>
    <w:rsid w:val="00CE5CAC"/>
    <w:rsid w:val="00CE612E"/>
    <w:rsid w:val="00CE62D6"/>
    <w:rsid w:val="00CF1271"/>
    <w:rsid w:val="00CF12E4"/>
    <w:rsid w:val="00CF3F8D"/>
    <w:rsid w:val="00CF425D"/>
    <w:rsid w:val="00CF6512"/>
    <w:rsid w:val="00CF7378"/>
    <w:rsid w:val="00CF7618"/>
    <w:rsid w:val="00D00AC8"/>
    <w:rsid w:val="00D01D20"/>
    <w:rsid w:val="00D05575"/>
    <w:rsid w:val="00D06FAD"/>
    <w:rsid w:val="00D07BEC"/>
    <w:rsid w:val="00D07ED6"/>
    <w:rsid w:val="00D11534"/>
    <w:rsid w:val="00D11D95"/>
    <w:rsid w:val="00D167D5"/>
    <w:rsid w:val="00D207A6"/>
    <w:rsid w:val="00D21E25"/>
    <w:rsid w:val="00D22FBE"/>
    <w:rsid w:val="00D235E0"/>
    <w:rsid w:val="00D23838"/>
    <w:rsid w:val="00D2700F"/>
    <w:rsid w:val="00D2742A"/>
    <w:rsid w:val="00D30A4C"/>
    <w:rsid w:val="00D3179A"/>
    <w:rsid w:val="00D328A3"/>
    <w:rsid w:val="00D33C42"/>
    <w:rsid w:val="00D343F6"/>
    <w:rsid w:val="00D35D8D"/>
    <w:rsid w:val="00D37476"/>
    <w:rsid w:val="00D4133C"/>
    <w:rsid w:val="00D41410"/>
    <w:rsid w:val="00D42857"/>
    <w:rsid w:val="00D4683A"/>
    <w:rsid w:val="00D50A00"/>
    <w:rsid w:val="00D51E1C"/>
    <w:rsid w:val="00D52B74"/>
    <w:rsid w:val="00D53E7A"/>
    <w:rsid w:val="00D549D4"/>
    <w:rsid w:val="00D5708A"/>
    <w:rsid w:val="00D6342E"/>
    <w:rsid w:val="00D65B32"/>
    <w:rsid w:val="00D67B97"/>
    <w:rsid w:val="00D67DE1"/>
    <w:rsid w:val="00D70452"/>
    <w:rsid w:val="00D749FA"/>
    <w:rsid w:val="00D7608E"/>
    <w:rsid w:val="00D773F5"/>
    <w:rsid w:val="00D80B1F"/>
    <w:rsid w:val="00D82F91"/>
    <w:rsid w:val="00D83DD4"/>
    <w:rsid w:val="00D83EFA"/>
    <w:rsid w:val="00D84DE1"/>
    <w:rsid w:val="00D85270"/>
    <w:rsid w:val="00D86396"/>
    <w:rsid w:val="00D8645A"/>
    <w:rsid w:val="00D868D8"/>
    <w:rsid w:val="00D9071B"/>
    <w:rsid w:val="00D90C07"/>
    <w:rsid w:val="00D92E47"/>
    <w:rsid w:val="00D94DB5"/>
    <w:rsid w:val="00D94FB1"/>
    <w:rsid w:val="00D95B12"/>
    <w:rsid w:val="00D9781D"/>
    <w:rsid w:val="00D9784C"/>
    <w:rsid w:val="00D97BC6"/>
    <w:rsid w:val="00DA1CFB"/>
    <w:rsid w:val="00DA1CFF"/>
    <w:rsid w:val="00DA2123"/>
    <w:rsid w:val="00DA53DC"/>
    <w:rsid w:val="00DA57A2"/>
    <w:rsid w:val="00DA6CA3"/>
    <w:rsid w:val="00DA77F9"/>
    <w:rsid w:val="00DB08CB"/>
    <w:rsid w:val="00DB0D9A"/>
    <w:rsid w:val="00DB154D"/>
    <w:rsid w:val="00DB227C"/>
    <w:rsid w:val="00DB2457"/>
    <w:rsid w:val="00DB4B22"/>
    <w:rsid w:val="00DB5220"/>
    <w:rsid w:val="00DB5CB6"/>
    <w:rsid w:val="00DB5ECD"/>
    <w:rsid w:val="00DB60AC"/>
    <w:rsid w:val="00DB6C9E"/>
    <w:rsid w:val="00DB72E8"/>
    <w:rsid w:val="00DB7714"/>
    <w:rsid w:val="00DC2D1C"/>
    <w:rsid w:val="00DC3CB9"/>
    <w:rsid w:val="00DC3D0B"/>
    <w:rsid w:val="00DC44B1"/>
    <w:rsid w:val="00DC4E02"/>
    <w:rsid w:val="00DC5EE8"/>
    <w:rsid w:val="00DC679E"/>
    <w:rsid w:val="00DD2D9E"/>
    <w:rsid w:val="00DD58B2"/>
    <w:rsid w:val="00DD60CE"/>
    <w:rsid w:val="00DD61C9"/>
    <w:rsid w:val="00DD6E63"/>
    <w:rsid w:val="00DE0CB9"/>
    <w:rsid w:val="00DE15C7"/>
    <w:rsid w:val="00DE28C6"/>
    <w:rsid w:val="00DE3A1E"/>
    <w:rsid w:val="00DE6486"/>
    <w:rsid w:val="00DE7706"/>
    <w:rsid w:val="00DE7DB8"/>
    <w:rsid w:val="00DF250B"/>
    <w:rsid w:val="00DF2857"/>
    <w:rsid w:val="00DF2B40"/>
    <w:rsid w:val="00DF320C"/>
    <w:rsid w:val="00DF6576"/>
    <w:rsid w:val="00DF692A"/>
    <w:rsid w:val="00DF6A5E"/>
    <w:rsid w:val="00DF6AEB"/>
    <w:rsid w:val="00E00266"/>
    <w:rsid w:val="00E00F8F"/>
    <w:rsid w:val="00E011B0"/>
    <w:rsid w:val="00E02A10"/>
    <w:rsid w:val="00E03633"/>
    <w:rsid w:val="00E03C9C"/>
    <w:rsid w:val="00E03D14"/>
    <w:rsid w:val="00E069D6"/>
    <w:rsid w:val="00E06E30"/>
    <w:rsid w:val="00E102F2"/>
    <w:rsid w:val="00E104CA"/>
    <w:rsid w:val="00E10861"/>
    <w:rsid w:val="00E10FDC"/>
    <w:rsid w:val="00E1146C"/>
    <w:rsid w:val="00E11C5C"/>
    <w:rsid w:val="00E12571"/>
    <w:rsid w:val="00E13DFF"/>
    <w:rsid w:val="00E14BD1"/>
    <w:rsid w:val="00E15778"/>
    <w:rsid w:val="00E15809"/>
    <w:rsid w:val="00E15ED2"/>
    <w:rsid w:val="00E1655C"/>
    <w:rsid w:val="00E25694"/>
    <w:rsid w:val="00E25B37"/>
    <w:rsid w:val="00E27983"/>
    <w:rsid w:val="00E27EEE"/>
    <w:rsid w:val="00E30AA6"/>
    <w:rsid w:val="00E30E42"/>
    <w:rsid w:val="00E31497"/>
    <w:rsid w:val="00E32052"/>
    <w:rsid w:val="00E323B1"/>
    <w:rsid w:val="00E34ED6"/>
    <w:rsid w:val="00E36FCD"/>
    <w:rsid w:val="00E3736F"/>
    <w:rsid w:val="00E378E9"/>
    <w:rsid w:val="00E400D7"/>
    <w:rsid w:val="00E41E8E"/>
    <w:rsid w:val="00E455F4"/>
    <w:rsid w:val="00E45D78"/>
    <w:rsid w:val="00E45DC2"/>
    <w:rsid w:val="00E46709"/>
    <w:rsid w:val="00E47FCD"/>
    <w:rsid w:val="00E51174"/>
    <w:rsid w:val="00E51766"/>
    <w:rsid w:val="00E527B1"/>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3D15"/>
    <w:rsid w:val="00E74088"/>
    <w:rsid w:val="00E750BF"/>
    <w:rsid w:val="00E77899"/>
    <w:rsid w:val="00E778B8"/>
    <w:rsid w:val="00E81427"/>
    <w:rsid w:val="00E81660"/>
    <w:rsid w:val="00E816CC"/>
    <w:rsid w:val="00E82B9C"/>
    <w:rsid w:val="00E840E6"/>
    <w:rsid w:val="00E8431B"/>
    <w:rsid w:val="00E84DCA"/>
    <w:rsid w:val="00E8549F"/>
    <w:rsid w:val="00E8611B"/>
    <w:rsid w:val="00E86ACD"/>
    <w:rsid w:val="00E91DE2"/>
    <w:rsid w:val="00E91F92"/>
    <w:rsid w:val="00E93C33"/>
    <w:rsid w:val="00E946DA"/>
    <w:rsid w:val="00E94930"/>
    <w:rsid w:val="00E94DE4"/>
    <w:rsid w:val="00E95C1A"/>
    <w:rsid w:val="00E96248"/>
    <w:rsid w:val="00E97BFB"/>
    <w:rsid w:val="00EA01F5"/>
    <w:rsid w:val="00EA0AC8"/>
    <w:rsid w:val="00EA12F6"/>
    <w:rsid w:val="00EA190A"/>
    <w:rsid w:val="00EA2558"/>
    <w:rsid w:val="00EA3680"/>
    <w:rsid w:val="00EA3D91"/>
    <w:rsid w:val="00EA5086"/>
    <w:rsid w:val="00EA52CA"/>
    <w:rsid w:val="00EA58A6"/>
    <w:rsid w:val="00EA60AA"/>
    <w:rsid w:val="00EA622E"/>
    <w:rsid w:val="00EB00A7"/>
    <w:rsid w:val="00EB018F"/>
    <w:rsid w:val="00EB05D5"/>
    <w:rsid w:val="00EB0A52"/>
    <w:rsid w:val="00EB212D"/>
    <w:rsid w:val="00EB2EE6"/>
    <w:rsid w:val="00EB4D3B"/>
    <w:rsid w:val="00EB55CE"/>
    <w:rsid w:val="00EC4208"/>
    <w:rsid w:val="00EC59B2"/>
    <w:rsid w:val="00EC5C1D"/>
    <w:rsid w:val="00EC64BF"/>
    <w:rsid w:val="00EC6D4C"/>
    <w:rsid w:val="00EC7BD3"/>
    <w:rsid w:val="00ED2943"/>
    <w:rsid w:val="00ED43B5"/>
    <w:rsid w:val="00ED4503"/>
    <w:rsid w:val="00ED45B9"/>
    <w:rsid w:val="00ED6DD6"/>
    <w:rsid w:val="00EE01E7"/>
    <w:rsid w:val="00EE11D3"/>
    <w:rsid w:val="00EE29FA"/>
    <w:rsid w:val="00EE30D8"/>
    <w:rsid w:val="00EE6088"/>
    <w:rsid w:val="00EE695E"/>
    <w:rsid w:val="00EE6D3A"/>
    <w:rsid w:val="00EE72CE"/>
    <w:rsid w:val="00EE7BFD"/>
    <w:rsid w:val="00EF1439"/>
    <w:rsid w:val="00EF2307"/>
    <w:rsid w:val="00EF3380"/>
    <w:rsid w:val="00EF3E10"/>
    <w:rsid w:val="00EF4826"/>
    <w:rsid w:val="00EF547B"/>
    <w:rsid w:val="00F004CA"/>
    <w:rsid w:val="00F027FE"/>
    <w:rsid w:val="00F0284C"/>
    <w:rsid w:val="00F037E8"/>
    <w:rsid w:val="00F04416"/>
    <w:rsid w:val="00F04F97"/>
    <w:rsid w:val="00F055E7"/>
    <w:rsid w:val="00F05A8C"/>
    <w:rsid w:val="00F10CE0"/>
    <w:rsid w:val="00F117F8"/>
    <w:rsid w:val="00F119FC"/>
    <w:rsid w:val="00F12328"/>
    <w:rsid w:val="00F1239E"/>
    <w:rsid w:val="00F1480F"/>
    <w:rsid w:val="00F14EC7"/>
    <w:rsid w:val="00F17787"/>
    <w:rsid w:val="00F2049E"/>
    <w:rsid w:val="00F207B5"/>
    <w:rsid w:val="00F219D8"/>
    <w:rsid w:val="00F22479"/>
    <w:rsid w:val="00F23431"/>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4EF"/>
    <w:rsid w:val="00F5667D"/>
    <w:rsid w:val="00F56770"/>
    <w:rsid w:val="00F56ABB"/>
    <w:rsid w:val="00F56B18"/>
    <w:rsid w:val="00F57875"/>
    <w:rsid w:val="00F615F0"/>
    <w:rsid w:val="00F61FAC"/>
    <w:rsid w:val="00F620EC"/>
    <w:rsid w:val="00F668F1"/>
    <w:rsid w:val="00F7475F"/>
    <w:rsid w:val="00F76DC6"/>
    <w:rsid w:val="00F81861"/>
    <w:rsid w:val="00F832CB"/>
    <w:rsid w:val="00F83D32"/>
    <w:rsid w:val="00F84FE0"/>
    <w:rsid w:val="00F850F1"/>
    <w:rsid w:val="00F85432"/>
    <w:rsid w:val="00F878FF"/>
    <w:rsid w:val="00F900BB"/>
    <w:rsid w:val="00F91BD0"/>
    <w:rsid w:val="00F947A3"/>
    <w:rsid w:val="00F95005"/>
    <w:rsid w:val="00F953AD"/>
    <w:rsid w:val="00F97731"/>
    <w:rsid w:val="00FA0515"/>
    <w:rsid w:val="00FA061A"/>
    <w:rsid w:val="00FA0FE9"/>
    <w:rsid w:val="00FA6423"/>
    <w:rsid w:val="00FA6B53"/>
    <w:rsid w:val="00FB038B"/>
    <w:rsid w:val="00FB0805"/>
    <w:rsid w:val="00FB19A9"/>
    <w:rsid w:val="00FB215F"/>
    <w:rsid w:val="00FB2520"/>
    <w:rsid w:val="00FB2E58"/>
    <w:rsid w:val="00FB43A9"/>
    <w:rsid w:val="00FB4767"/>
    <w:rsid w:val="00FB599D"/>
    <w:rsid w:val="00FB6E37"/>
    <w:rsid w:val="00FB761B"/>
    <w:rsid w:val="00FC00B9"/>
    <w:rsid w:val="00FC1582"/>
    <w:rsid w:val="00FC2596"/>
    <w:rsid w:val="00FC4CAF"/>
    <w:rsid w:val="00FD09B9"/>
    <w:rsid w:val="00FD35AE"/>
    <w:rsid w:val="00FD5AB4"/>
    <w:rsid w:val="00FD7948"/>
    <w:rsid w:val="00FE18E4"/>
    <w:rsid w:val="00FE2FF3"/>
    <w:rsid w:val="00FE423D"/>
    <w:rsid w:val="00FE5347"/>
    <w:rsid w:val="00FE53AB"/>
    <w:rsid w:val="00FF284D"/>
    <w:rsid w:val="00FF289B"/>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58BF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uiPriority w:val="59"/>
    <w:rsid w:val="000F11AE"/>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BE0F4D"/>
    <w:pPr>
      <w:numPr>
        <w:numId w:val="37"/>
      </w:numPr>
      <w:spacing w:after="240"/>
    </w:pPr>
    <w:rPr>
      <w:rFonts w:cs="Arial"/>
      <w:noProof/>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 w:type="paragraph" w:customStyle="1" w:styleId="Default">
    <w:name w:val="Default"/>
    <w:basedOn w:val="Normal"/>
    <w:rsid w:val="00C43903"/>
    <w:pPr>
      <w:autoSpaceDE w:val="0"/>
      <w:autoSpaceDN w:val="0"/>
    </w:pPr>
    <w:rPr>
      <w:rFonts w:eastAsiaTheme="minorHAns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138499059">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473640365">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0669401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87915">
      <w:bodyDiv w:val="1"/>
      <w:marLeft w:val="0"/>
      <w:marRight w:val="0"/>
      <w:marTop w:val="0"/>
      <w:marBottom w:val="0"/>
      <w:divBdr>
        <w:top w:val="none" w:sz="0" w:space="0" w:color="auto"/>
        <w:left w:val="none" w:sz="0" w:space="0" w:color="auto"/>
        <w:bottom w:val="none" w:sz="0" w:space="0" w:color="auto"/>
        <w:right w:val="none" w:sz="0" w:space="0" w:color="auto"/>
      </w:divBdr>
    </w:div>
    <w:div w:id="718894459">
      <w:bodyDiv w:val="1"/>
      <w:marLeft w:val="0"/>
      <w:marRight w:val="0"/>
      <w:marTop w:val="0"/>
      <w:marBottom w:val="0"/>
      <w:divBdr>
        <w:top w:val="none" w:sz="0" w:space="0" w:color="auto"/>
        <w:left w:val="none" w:sz="0" w:space="0" w:color="auto"/>
        <w:bottom w:val="none" w:sz="0" w:space="0" w:color="auto"/>
        <w:right w:val="none" w:sz="0" w:space="0" w:color="auto"/>
      </w:divBdr>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782267067">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1074275356">
                          <w:marLeft w:val="0"/>
                          <w:marRight w:val="0"/>
                          <w:marTop w:val="0"/>
                          <w:marBottom w:val="0"/>
                          <w:divBdr>
                            <w:top w:val="none" w:sz="0" w:space="0" w:color="auto"/>
                            <w:left w:val="none" w:sz="0" w:space="0" w:color="auto"/>
                            <w:bottom w:val="none" w:sz="0" w:space="0" w:color="auto"/>
                            <w:right w:val="none" w:sz="0" w:space="0" w:color="auto"/>
                          </w:divBdr>
                        </w:div>
                        <w:div w:id="21273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8288">
      <w:bodyDiv w:val="1"/>
      <w:marLeft w:val="0"/>
      <w:marRight w:val="0"/>
      <w:marTop w:val="0"/>
      <w:marBottom w:val="0"/>
      <w:divBdr>
        <w:top w:val="none" w:sz="0" w:space="0" w:color="auto"/>
        <w:left w:val="none" w:sz="0" w:space="0" w:color="auto"/>
        <w:bottom w:val="none" w:sz="0" w:space="0" w:color="auto"/>
        <w:right w:val="none" w:sz="0" w:space="0" w:color="auto"/>
      </w:divBdr>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077021742">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189637924">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180972">
      <w:bodyDiv w:val="1"/>
      <w:marLeft w:val="0"/>
      <w:marRight w:val="0"/>
      <w:marTop w:val="0"/>
      <w:marBottom w:val="0"/>
      <w:divBdr>
        <w:top w:val="none" w:sz="0" w:space="0" w:color="auto"/>
        <w:left w:val="none" w:sz="0" w:space="0" w:color="auto"/>
        <w:bottom w:val="none" w:sz="0" w:space="0" w:color="auto"/>
        <w:right w:val="none" w:sz="0" w:space="0" w:color="auto"/>
      </w:divBdr>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0075069">
      <w:bodyDiv w:val="1"/>
      <w:marLeft w:val="0"/>
      <w:marRight w:val="0"/>
      <w:marTop w:val="0"/>
      <w:marBottom w:val="0"/>
      <w:divBdr>
        <w:top w:val="none" w:sz="0" w:space="0" w:color="auto"/>
        <w:left w:val="none" w:sz="0" w:space="0" w:color="auto"/>
        <w:bottom w:val="none" w:sz="0" w:space="0" w:color="auto"/>
        <w:right w:val="none" w:sz="0" w:space="0" w:color="auto"/>
      </w:divBdr>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2719">
      <w:bodyDiv w:val="1"/>
      <w:marLeft w:val="0"/>
      <w:marRight w:val="0"/>
      <w:marTop w:val="0"/>
      <w:marBottom w:val="0"/>
      <w:divBdr>
        <w:top w:val="none" w:sz="0" w:space="0" w:color="auto"/>
        <w:left w:val="none" w:sz="0" w:space="0" w:color="auto"/>
        <w:bottom w:val="none" w:sz="0" w:space="0" w:color="auto"/>
        <w:right w:val="none" w:sz="0" w:space="0" w:color="auto"/>
      </w:divBdr>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19904305">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publications.parliament.uk/pa/cm201617/cmselect/cmenvaud/183/183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39544-D2B4-4D02-ACFD-09A110AD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BC551B45</Template>
  <TotalTime>1</TotalTime>
  <Pages>4</Pages>
  <Words>1550</Words>
  <Characters>8574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10104</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2</cp:revision>
  <cp:lastPrinted>2016-03-08T10:58:00Z</cp:lastPrinted>
  <dcterms:created xsi:type="dcterms:W3CDTF">2016-07-07T15:37:00Z</dcterms:created>
  <dcterms:modified xsi:type="dcterms:W3CDTF">2016-07-07T15:37:00Z</dcterms:modified>
</cp:coreProperties>
</file>