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59" w:rsidRPr="006D4A4F" w:rsidRDefault="00AC60CE" w:rsidP="00D7615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43C7F2F3" wp14:editId="68C033E2">
            <wp:simplePos x="0" y="0"/>
            <wp:positionH relativeFrom="column">
              <wp:posOffset>4166235</wp:posOffset>
            </wp:positionH>
            <wp:positionV relativeFrom="paragraph">
              <wp:posOffset>-360680</wp:posOffset>
            </wp:positionV>
            <wp:extent cx="1734185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355" y="21335"/>
                <wp:lineTo x="21355" y="0"/>
                <wp:lineTo x="0" y="0"/>
              </wp:wrapPolygon>
            </wp:wrapTight>
            <wp:docPr id="6" name="Picture 6" descr="smaller_London Counci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aller_London Councils_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159" w:rsidRPr="006D4A4F" w:rsidRDefault="00D76159" w:rsidP="00D76159">
      <w:pPr>
        <w:rPr>
          <w:rFonts w:ascii="Arial" w:hAnsi="Arial" w:cs="Arial"/>
        </w:rPr>
      </w:pPr>
    </w:p>
    <w:p w:rsidR="00D76159" w:rsidRPr="006D4A4F" w:rsidRDefault="00D76159" w:rsidP="00D76159">
      <w:pPr>
        <w:jc w:val="right"/>
        <w:rPr>
          <w:rFonts w:ascii="Arial" w:hAnsi="Arial" w:cs="Arial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42"/>
        <w:gridCol w:w="857"/>
        <w:gridCol w:w="457"/>
        <w:gridCol w:w="951"/>
        <w:gridCol w:w="1800"/>
        <w:gridCol w:w="1218"/>
      </w:tblGrid>
      <w:tr w:rsidR="00D76159" w:rsidRPr="006D4A4F" w:rsidTr="008D75D0">
        <w:trPr>
          <w:cantSplit/>
        </w:trPr>
        <w:tc>
          <w:tcPr>
            <w:tcW w:w="9394" w:type="dxa"/>
            <w:gridSpan w:val="8"/>
            <w:tcBorders>
              <w:top w:val="nil"/>
              <w:bottom w:val="nil"/>
            </w:tcBorders>
          </w:tcPr>
          <w:p w:rsidR="00D76159" w:rsidRPr="006D4A4F" w:rsidRDefault="00D76159" w:rsidP="00AB642F">
            <w:pPr>
              <w:pStyle w:val="algHeading1"/>
              <w:rPr>
                <w:rFonts w:ascii="Arial" w:hAnsi="Arial" w:cs="Arial"/>
                <w:szCs w:val="48"/>
              </w:rPr>
            </w:pPr>
            <w:r w:rsidRPr="006D4A4F">
              <w:rPr>
                <w:rFonts w:ascii="Arial" w:hAnsi="Arial" w:cs="Arial"/>
                <w:szCs w:val="48"/>
              </w:rPr>
              <w:t xml:space="preserve">London Councils’ </w:t>
            </w:r>
            <w:r w:rsidR="00AB642F">
              <w:rPr>
                <w:rFonts w:ascii="Arial" w:hAnsi="Arial" w:cs="Arial"/>
                <w:szCs w:val="48"/>
              </w:rPr>
              <w:t>Transport and</w:t>
            </w:r>
            <w:r w:rsidR="00AB642F" w:rsidRPr="001C75DC">
              <w:rPr>
                <w:rFonts w:ascii="Arial" w:hAnsi="Arial" w:cs="Arial"/>
                <w:szCs w:val="48"/>
              </w:rPr>
              <w:t xml:space="preserve"> Environment Committee </w:t>
            </w:r>
          </w:p>
        </w:tc>
      </w:tr>
      <w:tr w:rsidR="00D76159" w:rsidRPr="006D4A4F" w:rsidTr="008D75D0">
        <w:trPr>
          <w:cantSplit/>
        </w:trPr>
        <w:tc>
          <w:tcPr>
            <w:tcW w:w="9394" w:type="dxa"/>
            <w:gridSpan w:val="8"/>
            <w:tcBorders>
              <w:top w:val="nil"/>
              <w:bottom w:val="nil"/>
            </w:tcBorders>
          </w:tcPr>
          <w:p w:rsidR="00D76159" w:rsidRPr="006D4A4F" w:rsidRDefault="00D76159" w:rsidP="008D75D0">
            <w:pPr>
              <w:pStyle w:val="Spac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76159" w:rsidRPr="006D4A4F" w:rsidTr="008D75D0">
        <w:trPr>
          <w:cantSplit/>
        </w:trPr>
        <w:tc>
          <w:tcPr>
            <w:tcW w:w="6376" w:type="dxa"/>
            <w:gridSpan w:val="6"/>
            <w:tcBorders>
              <w:top w:val="nil"/>
              <w:bottom w:val="nil"/>
            </w:tcBorders>
          </w:tcPr>
          <w:p w:rsidR="00D76159" w:rsidRPr="00781566" w:rsidRDefault="008067D5" w:rsidP="0078156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 w:rsidRPr="00781566">
              <w:rPr>
                <w:rFonts w:ascii="Arial" w:hAnsi="Arial" w:cs="Arial"/>
                <w:sz w:val="40"/>
                <w:szCs w:val="40"/>
              </w:rPr>
              <w:t xml:space="preserve">Freedom Pass </w:t>
            </w:r>
            <w:r w:rsidR="00D901C9" w:rsidRPr="00781566">
              <w:rPr>
                <w:rFonts w:ascii="Arial" w:hAnsi="Arial" w:cs="Arial"/>
                <w:sz w:val="40"/>
                <w:szCs w:val="40"/>
              </w:rPr>
              <w:t>Progress Report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76159" w:rsidRPr="008429C7" w:rsidRDefault="00D76159" w:rsidP="008429C7">
            <w:pPr>
              <w:pStyle w:val="NoSpacing"/>
              <w:rPr>
                <w:sz w:val="40"/>
                <w:szCs w:val="40"/>
              </w:rPr>
            </w:pPr>
            <w:r w:rsidRPr="008429C7">
              <w:rPr>
                <w:rFonts w:ascii="Arial" w:hAnsi="Arial" w:cs="Arial"/>
                <w:sz w:val="40"/>
                <w:szCs w:val="40"/>
              </w:rPr>
              <w:t>Item No: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D76159" w:rsidRPr="008429C7" w:rsidRDefault="0028635E" w:rsidP="008429C7">
            <w:pPr>
              <w:pStyle w:val="NoSpacing"/>
              <w:rPr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</w:t>
            </w:r>
            <w:r w:rsidR="00CB6122" w:rsidRPr="008429C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30FDC" w:rsidRPr="008429C7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D76159" w:rsidRPr="006D4A4F" w:rsidTr="008D75D0">
        <w:trPr>
          <w:cantSplit/>
        </w:trPr>
        <w:tc>
          <w:tcPr>
            <w:tcW w:w="9394" w:type="dxa"/>
            <w:gridSpan w:val="8"/>
            <w:tcBorders>
              <w:top w:val="nil"/>
              <w:bottom w:val="nil"/>
            </w:tcBorders>
          </w:tcPr>
          <w:p w:rsidR="00D76159" w:rsidRPr="006D4A4F" w:rsidRDefault="00D76159" w:rsidP="008D75D0">
            <w:pPr>
              <w:pStyle w:val="Spacer"/>
              <w:rPr>
                <w:rFonts w:ascii="Arial" w:hAnsi="Arial" w:cs="Arial"/>
                <w:sz w:val="18"/>
              </w:rPr>
            </w:pPr>
          </w:p>
        </w:tc>
      </w:tr>
      <w:tr w:rsidR="00D76159" w:rsidRPr="004E2D6F" w:rsidTr="008D75D0">
        <w:trPr>
          <w:cantSplit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D76159" w:rsidRPr="004E2D6F" w:rsidRDefault="00D76159" w:rsidP="008D75D0">
            <w:pPr>
              <w:pStyle w:val="algFormBold"/>
              <w:rPr>
                <w:rFonts w:ascii="Arial" w:hAnsi="Arial" w:cs="Arial"/>
                <w:sz w:val="22"/>
                <w:szCs w:val="22"/>
              </w:rPr>
            </w:pPr>
            <w:r w:rsidRPr="004E2D6F">
              <w:rPr>
                <w:rFonts w:ascii="Arial" w:hAnsi="Arial" w:cs="Arial"/>
                <w:sz w:val="22"/>
                <w:szCs w:val="22"/>
              </w:rPr>
              <w:t>Report by: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159" w:rsidRPr="004E2D6F" w:rsidRDefault="004A1254" w:rsidP="00701C97">
            <w:pPr>
              <w:pStyle w:val="alg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Stephen Boon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159" w:rsidRPr="004E2D6F" w:rsidRDefault="00D76159" w:rsidP="008D75D0">
            <w:pPr>
              <w:pStyle w:val="algFormBold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E2D6F">
              <w:rPr>
                <w:rFonts w:ascii="Arial" w:hAnsi="Arial" w:cs="Arial"/>
                <w:sz w:val="22"/>
                <w:szCs w:val="22"/>
              </w:rPr>
              <w:t>Job title</w:t>
            </w:r>
            <w:r w:rsidR="00787CA0">
              <w:rPr>
                <w:rFonts w:ascii="Arial" w:hAnsi="Arial" w:cs="Arial"/>
                <w:sz w:val="22"/>
                <w:szCs w:val="22"/>
              </w:rPr>
              <w:t>s</w:t>
            </w:r>
            <w:r w:rsidRPr="004E2D6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</w:tcBorders>
          </w:tcPr>
          <w:p w:rsidR="00D76159" w:rsidRPr="004E2D6F" w:rsidRDefault="004A1254" w:rsidP="00701C97">
            <w:pPr>
              <w:pStyle w:val="alg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Chief Contracts Officer </w:t>
            </w:r>
            <w:r w:rsidR="00EB65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76159" w:rsidRPr="004E2D6F" w:rsidTr="008D75D0">
        <w:trPr>
          <w:cantSplit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D76159" w:rsidRPr="004E2D6F" w:rsidRDefault="00D76159" w:rsidP="008D75D0">
            <w:pPr>
              <w:pStyle w:val="algFormBold"/>
              <w:rPr>
                <w:rFonts w:ascii="Arial" w:hAnsi="Arial" w:cs="Arial"/>
                <w:sz w:val="22"/>
                <w:szCs w:val="22"/>
              </w:rPr>
            </w:pPr>
            <w:r w:rsidRPr="004E2D6F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7409" w:type="dxa"/>
            <w:gridSpan w:val="7"/>
            <w:tcBorders>
              <w:top w:val="nil"/>
              <w:left w:val="nil"/>
              <w:bottom w:val="nil"/>
            </w:tcBorders>
          </w:tcPr>
          <w:p w:rsidR="00D76159" w:rsidRPr="004E2D6F" w:rsidRDefault="006C39E2" w:rsidP="00670CED">
            <w:pPr>
              <w:pStyle w:val="alg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June</w:t>
            </w:r>
            <w:r w:rsidR="00670C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0CED" w:rsidRPr="004E2D6F">
              <w:rPr>
                <w:rFonts w:ascii="Arial" w:hAnsi="Arial" w:cs="Arial"/>
                <w:sz w:val="22"/>
                <w:szCs w:val="22"/>
              </w:rPr>
              <w:t>201</w:t>
            </w:r>
            <w:r w:rsidR="00670CED">
              <w:rPr>
                <w:rFonts w:ascii="Arial" w:hAnsi="Arial" w:cs="Arial"/>
                <w:sz w:val="22"/>
                <w:szCs w:val="22"/>
              </w:rPr>
              <w:t>6</w:t>
            </w:r>
            <w:r w:rsidR="00670CED" w:rsidRPr="004E2D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76159" w:rsidRPr="004E2D6F" w:rsidTr="008D75D0">
        <w:trPr>
          <w:cantSplit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D76159" w:rsidRPr="004E2D6F" w:rsidRDefault="00D76159" w:rsidP="008D75D0">
            <w:pPr>
              <w:pStyle w:val="algFormBold"/>
              <w:rPr>
                <w:rFonts w:ascii="Arial" w:hAnsi="Arial" w:cs="Arial"/>
                <w:sz w:val="22"/>
                <w:szCs w:val="22"/>
              </w:rPr>
            </w:pPr>
            <w:r w:rsidRPr="004E2D6F">
              <w:rPr>
                <w:rFonts w:ascii="Arial" w:hAnsi="Arial" w:cs="Arial"/>
                <w:sz w:val="22"/>
                <w:szCs w:val="22"/>
              </w:rPr>
              <w:t>Contact Officer:</w:t>
            </w:r>
          </w:p>
        </w:tc>
        <w:tc>
          <w:tcPr>
            <w:tcW w:w="7409" w:type="dxa"/>
            <w:gridSpan w:val="7"/>
            <w:tcBorders>
              <w:top w:val="nil"/>
              <w:left w:val="nil"/>
              <w:bottom w:val="nil"/>
            </w:tcBorders>
          </w:tcPr>
          <w:p w:rsidR="00D76159" w:rsidRPr="004E2D6F" w:rsidRDefault="00701C97" w:rsidP="008D75D0">
            <w:pPr>
              <w:pStyle w:val="alg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Stephen Boon</w:t>
            </w:r>
          </w:p>
        </w:tc>
      </w:tr>
      <w:tr w:rsidR="00D76159" w:rsidRPr="004E2D6F" w:rsidTr="008D75D0">
        <w:trPr>
          <w:cantSplit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D76159" w:rsidRPr="004E2D6F" w:rsidRDefault="00D76159" w:rsidP="008D75D0">
            <w:pPr>
              <w:pStyle w:val="algFormBold"/>
              <w:rPr>
                <w:rFonts w:ascii="Arial" w:hAnsi="Arial" w:cs="Arial"/>
                <w:sz w:val="22"/>
                <w:szCs w:val="22"/>
              </w:rPr>
            </w:pPr>
            <w:r w:rsidRPr="004E2D6F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76159" w:rsidRPr="004E2D6F" w:rsidRDefault="00FB6B3E" w:rsidP="00701C97">
            <w:pPr>
              <w:pStyle w:val="algForm"/>
              <w:rPr>
                <w:rFonts w:ascii="Arial" w:hAnsi="Arial" w:cs="Arial"/>
                <w:sz w:val="22"/>
                <w:szCs w:val="22"/>
              </w:rPr>
            </w:pPr>
            <w:r w:rsidRPr="004E2D6F">
              <w:rPr>
                <w:rFonts w:ascii="Arial" w:hAnsi="Arial" w:cs="Arial"/>
                <w:sz w:val="22"/>
                <w:szCs w:val="22"/>
              </w:rPr>
              <w:t>020</w:t>
            </w:r>
            <w:r w:rsidR="00B41D56" w:rsidRPr="004E2D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2D6F">
              <w:rPr>
                <w:rFonts w:ascii="Arial" w:hAnsi="Arial" w:cs="Arial"/>
                <w:sz w:val="22"/>
                <w:szCs w:val="22"/>
              </w:rPr>
              <w:t>7</w:t>
            </w:r>
            <w:r w:rsidR="00D76159" w:rsidRPr="004E2D6F">
              <w:rPr>
                <w:rFonts w:ascii="Arial" w:hAnsi="Arial" w:cs="Arial"/>
                <w:sz w:val="22"/>
                <w:szCs w:val="22"/>
              </w:rPr>
              <w:t xml:space="preserve">934 </w:t>
            </w:r>
            <w:r w:rsidR="00701C97">
              <w:rPr>
                <w:rFonts w:ascii="Arial" w:hAnsi="Arial" w:cs="Arial"/>
                <w:sz w:val="22"/>
                <w:szCs w:val="22"/>
              </w:rPr>
              <w:t>9951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159" w:rsidRPr="004E2D6F" w:rsidRDefault="00D76159" w:rsidP="008D75D0">
            <w:pPr>
              <w:pStyle w:val="algFormBold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E2D6F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426" w:type="dxa"/>
            <w:gridSpan w:val="4"/>
            <w:tcBorders>
              <w:top w:val="nil"/>
              <w:left w:val="nil"/>
              <w:bottom w:val="nil"/>
            </w:tcBorders>
          </w:tcPr>
          <w:p w:rsidR="004A1254" w:rsidRDefault="00D12827" w:rsidP="004A1254">
            <w:pPr>
              <w:autoSpaceDE w:val="0"/>
              <w:autoSpaceDN w:val="0"/>
              <w:rPr>
                <w:rFonts w:ascii="Arial" w:hAnsi="Arial" w:cs="Arial"/>
                <w:color w:val="0070C0"/>
                <w:sz w:val="20"/>
                <w:lang w:eastAsia="en-GB"/>
              </w:rPr>
            </w:pPr>
            <w:hyperlink r:id="rId10" w:history="1">
              <w:r w:rsidR="00701C97">
                <w:rPr>
                  <w:rStyle w:val="Hyperlink"/>
                  <w:rFonts w:ascii="Arial" w:hAnsi="Arial" w:cs="Arial"/>
                  <w:sz w:val="20"/>
                  <w:lang w:eastAsia="en-GB"/>
                </w:rPr>
                <w:t>stephen.boon@londoncouncils.gov.uk</w:t>
              </w:r>
            </w:hyperlink>
          </w:p>
          <w:p w:rsidR="00D76159" w:rsidRPr="004E2D6F" w:rsidRDefault="00D76159" w:rsidP="008D75D0">
            <w:pPr>
              <w:pStyle w:val="algFor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159" w:rsidRPr="004E2D6F" w:rsidTr="008D75D0">
        <w:trPr>
          <w:cantSplit/>
        </w:trPr>
        <w:tc>
          <w:tcPr>
            <w:tcW w:w="9394" w:type="dxa"/>
            <w:gridSpan w:val="8"/>
            <w:tcBorders>
              <w:top w:val="nil"/>
              <w:bottom w:val="single" w:sz="4" w:space="0" w:color="auto"/>
            </w:tcBorders>
          </w:tcPr>
          <w:p w:rsidR="00D76159" w:rsidRPr="004E2D6F" w:rsidRDefault="00D76159" w:rsidP="008D75D0">
            <w:pPr>
              <w:pStyle w:val="Spac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159" w:rsidRPr="004E2D6F" w:rsidRDefault="00D76159" w:rsidP="00D76159">
      <w:pPr>
        <w:pStyle w:val="Spacer"/>
        <w:rPr>
          <w:rFonts w:ascii="Arial" w:hAnsi="Arial" w:cs="Arial"/>
          <w:noProof/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D76159" w:rsidRPr="00F92A2B" w:rsidTr="00027AD6">
        <w:tc>
          <w:tcPr>
            <w:tcW w:w="2268" w:type="dxa"/>
            <w:tcBorders>
              <w:bottom w:val="nil"/>
            </w:tcBorders>
          </w:tcPr>
          <w:p w:rsidR="00D76159" w:rsidRPr="00F92A2B" w:rsidRDefault="00D76159" w:rsidP="008D75D0">
            <w:pPr>
              <w:pStyle w:val="algFormBold"/>
              <w:rPr>
                <w:rFonts w:ascii="Arial" w:hAnsi="Arial" w:cs="Arial"/>
                <w:sz w:val="22"/>
                <w:szCs w:val="22"/>
              </w:rPr>
            </w:pPr>
            <w:r w:rsidRPr="00F92A2B">
              <w:rPr>
                <w:rFonts w:ascii="Arial" w:hAnsi="Arial" w:cs="Arial"/>
                <w:sz w:val="22"/>
                <w:szCs w:val="22"/>
              </w:rPr>
              <w:t>Summary:</w:t>
            </w:r>
          </w:p>
        </w:tc>
        <w:tc>
          <w:tcPr>
            <w:tcW w:w="7088" w:type="dxa"/>
            <w:tcBorders>
              <w:bottom w:val="nil"/>
            </w:tcBorders>
          </w:tcPr>
          <w:p w:rsidR="00A83950" w:rsidRPr="00F92A2B" w:rsidRDefault="00A83950" w:rsidP="006838B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4AA" w:rsidRPr="00F92A2B" w:rsidRDefault="00273EB1" w:rsidP="006838B7">
            <w:pPr>
              <w:rPr>
                <w:rFonts w:ascii="Arial" w:hAnsi="Arial" w:cs="Arial"/>
                <w:sz w:val="22"/>
                <w:szCs w:val="22"/>
              </w:rPr>
            </w:pPr>
            <w:r w:rsidRPr="00F92A2B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4A1254">
              <w:rPr>
                <w:rFonts w:ascii="Arial" w:hAnsi="Arial" w:cs="Arial"/>
                <w:sz w:val="22"/>
                <w:szCs w:val="22"/>
              </w:rPr>
              <w:t xml:space="preserve">report provides Members with a general progress </w:t>
            </w:r>
            <w:r w:rsidRPr="00F92A2B">
              <w:rPr>
                <w:rFonts w:ascii="Arial" w:hAnsi="Arial" w:cs="Arial"/>
                <w:sz w:val="22"/>
                <w:szCs w:val="22"/>
              </w:rPr>
              <w:t xml:space="preserve">update </w:t>
            </w:r>
            <w:r w:rsidR="00126CA6">
              <w:rPr>
                <w:rFonts w:ascii="Arial" w:hAnsi="Arial" w:cs="Arial"/>
                <w:sz w:val="22"/>
                <w:szCs w:val="22"/>
              </w:rPr>
              <w:t>on</w:t>
            </w:r>
            <w:r w:rsidRPr="00F92A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64AA" w:rsidRPr="00F92A2B">
              <w:rPr>
                <w:rFonts w:ascii="Arial" w:hAnsi="Arial" w:cs="Arial"/>
                <w:sz w:val="22"/>
                <w:szCs w:val="22"/>
              </w:rPr>
              <w:t>the</w:t>
            </w:r>
            <w:r w:rsidR="00E71F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1254">
              <w:rPr>
                <w:rFonts w:ascii="Arial" w:hAnsi="Arial" w:cs="Arial"/>
                <w:sz w:val="22"/>
                <w:szCs w:val="22"/>
              </w:rPr>
              <w:t>Freedom Pass scheme</w:t>
            </w:r>
            <w:r w:rsidR="006C39E2">
              <w:rPr>
                <w:rFonts w:ascii="Arial" w:hAnsi="Arial" w:cs="Arial"/>
                <w:sz w:val="22"/>
                <w:szCs w:val="22"/>
              </w:rPr>
              <w:t>.</w:t>
            </w:r>
            <w:r w:rsidR="003C31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1038" w:rsidRPr="00F92A2B" w:rsidRDefault="00E71F83" w:rsidP="00E71F8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72905" w:rsidRPr="00F92A2B" w:rsidRDefault="00A72905" w:rsidP="00716B32">
            <w:pPr>
              <w:ind w:left="7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159" w:rsidRPr="00F92A2B" w:rsidTr="002F2B96">
        <w:trPr>
          <w:trHeight w:val="1974"/>
        </w:trPr>
        <w:tc>
          <w:tcPr>
            <w:tcW w:w="2268" w:type="dxa"/>
            <w:tcBorders>
              <w:top w:val="nil"/>
              <w:bottom w:val="nil"/>
            </w:tcBorders>
          </w:tcPr>
          <w:p w:rsidR="00D76159" w:rsidRPr="00F92A2B" w:rsidRDefault="00D76159" w:rsidP="008D75D0">
            <w:pPr>
              <w:pStyle w:val="algFormBold"/>
              <w:rPr>
                <w:rFonts w:ascii="Arial" w:hAnsi="Arial" w:cs="Arial"/>
                <w:sz w:val="22"/>
                <w:szCs w:val="22"/>
              </w:rPr>
            </w:pPr>
            <w:r w:rsidRPr="00F92A2B">
              <w:rPr>
                <w:rFonts w:ascii="Arial" w:hAnsi="Arial" w:cs="Arial"/>
                <w:sz w:val="22"/>
                <w:szCs w:val="22"/>
              </w:rPr>
              <w:t>Recommendations: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2F2B96" w:rsidRDefault="00BD27C3" w:rsidP="002F2B96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2A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F2B96" w:rsidRPr="002F2B96" w:rsidRDefault="00273EB1" w:rsidP="002F2B96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2A2B">
              <w:rPr>
                <w:rFonts w:ascii="Arial" w:hAnsi="Arial" w:cs="Arial"/>
                <w:sz w:val="22"/>
                <w:szCs w:val="22"/>
              </w:rPr>
              <w:t>Members are asked to:</w:t>
            </w:r>
          </w:p>
          <w:p w:rsidR="002F2B96" w:rsidRDefault="002F2B96" w:rsidP="002F2B9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8350A" w:rsidRPr="0068350A" w:rsidRDefault="000B7C23" w:rsidP="002F2B9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68350A">
              <w:rPr>
                <w:rFonts w:ascii="Arial" w:hAnsi="Arial" w:cs="Arial"/>
                <w:sz w:val="22"/>
                <w:szCs w:val="22"/>
              </w:rPr>
              <w:t xml:space="preserve">ote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8350A">
              <w:rPr>
                <w:rFonts w:ascii="Arial" w:hAnsi="Arial" w:cs="Arial"/>
                <w:sz w:val="22"/>
                <w:szCs w:val="22"/>
              </w:rPr>
              <w:t xml:space="preserve">progress </w:t>
            </w:r>
            <w:r w:rsidR="002F2B96">
              <w:rPr>
                <w:rFonts w:ascii="Arial" w:hAnsi="Arial" w:cs="Arial"/>
                <w:sz w:val="22"/>
                <w:szCs w:val="22"/>
              </w:rPr>
              <w:t>update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50A">
              <w:rPr>
                <w:rFonts w:ascii="Arial" w:hAnsi="Arial" w:cs="Arial"/>
                <w:sz w:val="22"/>
                <w:szCs w:val="22"/>
              </w:rPr>
              <w:t xml:space="preserve">the Freedom Pass </w:t>
            </w:r>
            <w:r w:rsidR="002F2B96">
              <w:rPr>
                <w:rFonts w:ascii="Arial" w:hAnsi="Arial" w:cs="Arial"/>
                <w:sz w:val="22"/>
                <w:szCs w:val="22"/>
              </w:rPr>
              <w:t>scheme, including the 2016 re-issue and new customer service improvements.</w:t>
            </w:r>
          </w:p>
          <w:p w:rsidR="00D16AF5" w:rsidRPr="00F92A2B" w:rsidRDefault="00D16AF5" w:rsidP="00F73733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3EB1" w:rsidRPr="00FB0593" w:rsidRDefault="006E6345" w:rsidP="00D73F4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</w:t>
      </w:r>
    </w:p>
    <w:p w:rsidR="00606BD7" w:rsidRPr="00FB0593" w:rsidRDefault="00606BD7" w:rsidP="00896D98">
      <w:pPr>
        <w:jc w:val="both"/>
        <w:rPr>
          <w:rFonts w:ascii="Arial" w:hAnsi="Arial" w:cs="Arial"/>
          <w:b/>
          <w:sz w:val="22"/>
          <w:szCs w:val="22"/>
        </w:rPr>
      </w:pPr>
    </w:p>
    <w:p w:rsidR="00E96C7C" w:rsidRPr="006C39E2" w:rsidRDefault="007E6C3A" w:rsidP="00F70F0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report provides members with an update on the 2016 Freedom Pass re-issue</w:t>
      </w:r>
      <w:r w:rsidR="006C39E2">
        <w:rPr>
          <w:rFonts w:ascii="Arial" w:hAnsi="Arial" w:cs="Arial"/>
          <w:sz w:val="22"/>
          <w:szCs w:val="22"/>
        </w:rPr>
        <w:t>, as well as some customer service improvements that will be launched in late summer / early autumn</w:t>
      </w:r>
      <w:r>
        <w:rPr>
          <w:rFonts w:ascii="Arial" w:hAnsi="Arial" w:cs="Arial"/>
          <w:sz w:val="22"/>
          <w:szCs w:val="22"/>
        </w:rPr>
        <w:t>.</w:t>
      </w:r>
    </w:p>
    <w:p w:rsidR="00FC1485" w:rsidRPr="00B160F8" w:rsidRDefault="00FC1485" w:rsidP="00FC1485">
      <w:pPr>
        <w:ind w:left="426"/>
        <w:rPr>
          <w:rFonts w:ascii="Arial" w:hAnsi="Arial" w:cs="Arial"/>
          <w:sz w:val="22"/>
          <w:szCs w:val="22"/>
        </w:rPr>
      </w:pPr>
    </w:p>
    <w:p w:rsidR="00DE4CFF" w:rsidRPr="00DE4CFF" w:rsidRDefault="00DE4CFF" w:rsidP="00DE4CFF">
      <w:pPr>
        <w:rPr>
          <w:rFonts w:ascii="Arial" w:hAnsi="Arial" w:cs="Arial"/>
          <w:b/>
          <w:sz w:val="22"/>
          <w:szCs w:val="22"/>
        </w:rPr>
      </w:pPr>
      <w:r w:rsidRPr="00DE4CFF">
        <w:rPr>
          <w:rFonts w:ascii="Arial" w:hAnsi="Arial" w:cs="Arial"/>
          <w:b/>
          <w:sz w:val="22"/>
          <w:szCs w:val="22"/>
        </w:rPr>
        <w:t>2016 Re-issue</w:t>
      </w:r>
      <w:r w:rsidR="00E85BE9">
        <w:rPr>
          <w:rFonts w:ascii="Arial" w:hAnsi="Arial" w:cs="Arial"/>
          <w:b/>
          <w:sz w:val="22"/>
          <w:szCs w:val="22"/>
        </w:rPr>
        <w:t xml:space="preserve"> Progress Update</w:t>
      </w:r>
    </w:p>
    <w:p w:rsidR="00B34987" w:rsidRPr="000822FA" w:rsidRDefault="00B34987" w:rsidP="000822FA">
      <w:pPr>
        <w:rPr>
          <w:rFonts w:ascii="Arial" w:hAnsi="Arial" w:cs="Arial"/>
          <w:b/>
          <w:sz w:val="22"/>
          <w:szCs w:val="22"/>
        </w:rPr>
      </w:pPr>
    </w:p>
    <w:p w:rsidR="00B34987" w:rsidRPr="00B34987" w:rsidRDefault="00B34987" w:rsidP="00B34987">
      <w:pPr>
        <w:ind w:left="426"/>
        <w:rPr>
          <w:rFonts w:ascii="Arial" w:hAnsi="Arial" w:cs="Arial"/>
          <w:b/>
          <w:sz w:val="22"/>
          <w:szCs w:val="22"/>
        </w:rPr>
      </w:pPr>
      <w:r w:rsidRPr="00B34987">
        <w:rPr>
          <w:rFonts w:ascii="Arial" w:hAnsi="Arial" w:cs="Arial"/>
          <w:b/>
          <w:sz w:val="22"/>
          <w:szCs w:val="22"/>
        </w:rPr>
        <w:t>Introduction</w:t>
      </w:r>
    </w:p>
    <w:p w:rsidR="006C39E2" w:rsidRPr="00B34987" w:rsidRDefault="006C39E2" w:rsidP="00F70F0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section provides a progress update on the 2016 Freedom Pass re-issue as of 22 May 2016. </w:t>
      </w:r>
      <w:r w:rsidRPr="00B34987">
        <w:rPr>
          <w:rFonts w:ascii="Arial" w:hAnsi="Arial" w:cs="Arial"/>
          <w:sz w:val="22"/>
          <w:szCs w:val="22"/>
        </w:rPr>
        <w:t>On 31 March 2016 1</w:t>
      </w:r>
      <w:r>
        <w:rPr>
          <w:rFonts w:ascii="Arial" w:hAnsi="Arial" w:cs="Arial"/>
          <w:sz w:val="22"/>
          <w:szCs w:val="22"/>
        </w:rPr>
        <w:t>39</w:t>
      </w:r>
      <w:r w:rsidRPr="00B3498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517</w:t>
      </w:r>
      <w:r w:rsidRPr="00B34987">
        <w:rPr>
          <w:rFonts w:ascii="Arial" w:hAnsi="Arial" w:cs="Arial"/>
          <w:sz w:val="22"/>
          <w:szCs w:val="22"/>
        </w:rPr>
        <w:t xml:space="preserve"> Older Person, 29,049 Disabled Person and 1,102 Discretionary Disabled Person Freedom Passes </w:t>
      </w:r>
      <w:r>
        <w:rPr>
          <w:rFonts w:ascii="Arial" w:hAnsi="Arial" w:cs="Arial"/>
          <w:sz w:val="22"/>
          <w:szCs w:val="22"/>
        </w:rPr>
        <w:t>expired</w:t>
      </w:r>
      <w:r w:rsidRPr="00B3498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Older </w:t>
      </w:r>
      <w:proofErr w:type="spellStart"/>
      <w:r w:rsidR="00163A39">
        <w:rPr>
          <w:rFonts w:ascii="Arial" w:hAnsi="Arial" w:cs="Arial"/>
          <w:sz w:val="22"/>
          <w:szCs w:val="22"/>
        </w:rPr>
        <w:t>passholders</w:t>
      </w:r>
      <w:proofErr w:type="spellEnd"/>
      <w:r w:rsidR="00163A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received a letter asking them to renew either on line or by post. Disabled </w:t>
      </w:r>
      <w:proofErr w:type="spellStart"/>
      <w:r w:rsidR="007B5B6F" w:rsidRPr="007B5B6F">
        <w:rPr>
          <w:rFonts w:ascii="Arial" w:hAnsi="Arial" w:cs="Arial"/>
          <w:sz w:val="22"/>
          <w:szCs w:val="22"/>
        </w:rPr>
        <w:t>passholders</w:t>
      </w:r>
      <w:proofErr w:type="spellEnd"/>
      <w:r w:rsidR="007B5B6F" w:rsidRPr="007B5B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discretionary disabled persons pass holders were reassessed by boroughs and if </w:t>
      </w:r>
      <w:r w:rsidR="007B5B6F">
        <w:rPr>
          <w:rFonts w:ascii="Arial" w:hAnsi="Arial" w:cs="Arial"/>
          <w:sz w:val="22"/>
          <w:szCs w:val="22"/>
        </w:rPr>
        <w:t xml:space="preserve">still </w:t>
      </w:r>
      <w:r>
        <w:rPr>
          <w:rFonts w:ascii="Arial" w:hAnsi="Arial" w:cs="Arial"/>
          <w:sz w:val="22"/>
          <w:szCs w:val="22"/>
        </w:rPr>
        <w:t xml:space="preserve">eligible received </w:t>
      </w:r>
      <w:r w:rsidR="007B5B6F">
        <w:rPr>
          <w:rFonts w:ascii="Arial" w:hAnsi="Arial" w:cs="Arial"/>
          <w:sz w:val="22"/>
          <w:szCs w:val="22"/>
        </w:rPr>
        <w:t xml:space="preserve">their 2021 </w:t>
      </w:r>
      <w:r>
        <w:rPr>
          <w:rFonts w:ascii="Arial" w:hAnsi="Arial" w:cs="Arial"/>
          <w:sz w:val="22"/>
          <w:szCs w:val="22"/>
        </w:rPr>
        <w:t>passes without having to</w:t>
      </w:r>
      <w:r w:rsidR="007B5B6F">
        <w:rPr>
          <w:rFonts w:ascii="Arial" w:hAnsi="Arial" w:cs="Arial"/>
          <w:sz w:val="22"/>
          <w:szCs w:val="22"/>
        </w:rPr>
        <w:t xml:space="preserve"> complete a </w:t>
      </w:r>
      <w:r>
        <w:rPr>
          <w:rFonts w:ascii="Arial" w:hAnsi="Arial" w:cs="Arial"/>
          <w:sz w:val="22"/>
          <w:szCs w:val="22"/>
        </w:rPr>
        <w:t>renew</w:t>
      </w:r>
      <w:r w:rsidR="007B5B6F">
        <w:rPr>
          <w:rFonts w:ascii="Arial" w:hAnsi="Arial" w:cs="Arial"/>
          <w:sz w:val="22"/>
          <w:szCs w:val="22"/>
        </w:rPr>
        <w:t>al process</w:t>
      </w:r>
      <w:r w:rsidRPr="00B34987">
        <w:rPr>
          <w:rFonts w:ascii="Arial" w:hAnsi="Arial" w:cs="Arial"/>
          <w:sz w:val="22"/>
          <w:szCs w:val="22"/>
        </w:rPr>
        <w:t xml:space="preserve">. </w:t>
      </w:r>
    </w:p>
    <w:p w:rsidR="006C39E2" w:rsidRDefault="006C39E2" w:rsidP="006C39E2">
      <w:pPr>
        <w:ind w:left="426"/>
        <w:rPr>
          <w:rFonts w:ascii="Arial" w:hAnsi="Arial" w:cs="Arial"/>
          <w:sz w:val="22"/>
          <w:szCs w:val="22"/>
        </w:rPr>
      </w:pPr>
    </w:p>
    <w:p w:rsidR="006C39E2" w:rsidRDefault="006C39E2" w:rsidP="00F70F05">
      <w:pPr>
        <w:numPr>
          <w:ilvl w:val="0"/>
          <w:numId w:val="32"/>
        </w:numPr>
        <w:ind w:left="426" w:hanging="426"/>
        <w:rPr>
          <w:rFonts w:ascii="Arial" w:hAnsi="Arial" w:cs="Arial"/>
          <w:sz w:val="22"/>
          <w:szCs w:val="22"/>
        </w:rPr>
      </w:pPr>
      <w:r w:rsidRPr="00B34987">
        <w:rPr>
          <w:rFonts w:ascii="Arial" w:hAnsi="Arial" w:cs="Arial"/>
          <w:sz w:val="22"/>
          <w:szCs w:val="22"/>
        </w:rPr>
        <w:t xml:space="preserve">The </w:t>
      </w:r>
      <w:r w:rsidR="007B5B6F">
        <w:rPr>
          <w:rFonts w:ascii="Arial" w:hAnsi="Arial" w:cs="Arial"/>
          <w:sz w:val="22"/>
          <w:szCs w:val="22"/>
        </w:rPr>
        <w:t xml:space="preserve">Renewal </w:t>
      </w:r>
      <w:r>
        <w:rPr>
          <w:rFonts w:ascii="Arial" w:hAnsi="Arial" w:cs="Arial"/>
          <w:sz w:val="22"/>
          <w:szCs w:val="22"/>
        </w:rPr>
        <w:t>is overseen by a</w:t>
      </w:r>
      <w:r w:rsidRPr="00B34987">
        <w:rPr>
          <w:rFonts w:ascii="Arial" w:hAnsi="Arial" w:cs="Arial"/>
          <w:sz w:val="22"/>
          <w:szCs w:val="22"/>
        </w:rPr>
        <w:t xml:space="preserve"> </w:t>
      </w:r>
      <w:r w:rsidR="007B5B6F" w:rsidRPr="00B34987">
        <w:rPr>
          <w:rFonts w:ascii="Arial" w:hAnsi="Arial" w:cs="Arial"/>
          <w:sz w:val="22"/>
          <w:szCs w:val="22"/>
        </w:rPr>
        <w:t>project</w:t>
      </w:r>
      <w:r w:rsidR="007B5B6F">
        <w:rPr>
          <w:rFonts w:ascii="Arial" w:hAnsi="Arial" w:cs="Arial"/>
          <w:sz w:val="22"/>
          <w:szCs w:val="22"/>
        </w:rPr>
        <w:t xml:space="preserve"> </w:t>
      </w:r>
      <w:r w:rsidRPr="00B34987">
        <w:rPr>
          <w:rFonts w:ascii="Arial" w:hAnsi="Arial" w:cs="Arial"/>
          <w:sz w:val="22"/>
          <w:szCs w:val="22"/>
        </w:rPr>
        <w:t>board</w:t>
      </w:r>
      <w:r>
        <w:rPr>
          <w:rFonts w:ascii="Arial" w:hAnsi="Arial" w:cs="Arial"/>
          <w:sz w:val="22"/>
          <w:szCs w:val="22"/>
        </w:rPr>
        <w:t xml:space="preserve"> that has met monthly since September 2015. The board is made up of</w:t>
      </w:r>
      <w:r w:rsidRPr="00B34987">
        <w:rPr>
          <w:rFonts w:ascii="Arial" w:hAnsi="Arial" w:cs="Arial"/>
          <w:sz w:val="22"/>
          <w:szCs w:val="22"/>
        </w:rPr>
        <w:t xml:space="preserve"> representatives from</w:t>
      </w:r>
      <w:r>
        <w:rPr>
          <w:rFonts w:ascii="Arial" w:hAnsi="Arial" w:cs="Arial"/>
          <w:sz w:val="22"/>
          <w:szCs w:val="22"/>
        </w:rPr>
        <w:t>:</w:t>
      </w:r>
      <w:r w:rsidRPr="00B34987">
        <w:rPr>
          <w:rFonts w:ascii="Arial" w:hAnsi="Arial" w:cs="Arial"/>
          <w:sz w:val="22"/>
          <w:szCs w:val="22"/>
        </w:rPr>
        <w:t xml:space="preserve"> </w:t>
      </w:r>
    </w:p>
    <w:p w:rsidR="006C39E2" w:rsidRDefault="006C39E2" w:rsidP="006C39E2">
      <w:pPr>
        <w:pStyle w:val="ListParagraph"/>
        <w:rPr>
          <w:rFonts w:cs="Arial"/>
        </w:rPr>
      </w:pPr>
    </w:p>
    <w:p w:rsidR="006C39E2" w:rsidRDefault="006C39E2" w:rsidP="00F70F05">
      <w:pPr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London boroughs;</w:t>
      </w:r>
      <w:r w:rsidRPr="00B34987">
        <w:rPr>
          <w:rFonts w:ascii="Arial" w:hAnsi="Arial" w:cs="Arial"/>
          <w:sz w:val="22"/>
          <w:szCs w:val="22"/>
        </w:rPr>
        <w:t xml:space="preserve"> </w:t>
      </w:r>
    </w:p>
    <w:p w:rsidR="006C39E2" w:rsidRDefault="006C39E2" w:rsidP="00F70F05">
      <w:pPr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B34987">
        <w:rPr>
          <w:rFonts w:ascii="Arial" w:hAnsi="Arial" w:cs="Arial"/>
          <w:sz w:val="22"/>
          <w:szCs w:val="22"/>
        </w:rPr>
        <w:t>London Councils</w:t>
      </w:r>
      <w:r>
        <w:rPr>
          <w:rFonts w:ascii="Arial" w:hAnsi="Arial" w:cs="Arial"/>
          <w:sz w:val="22"/>
          <w:szCs w:val="22"/>
        </w:rPr>
        <w:t>’</w:t>
      </w:r>
      <w:r w:rsidRPr="00B34987">
        <w:rPr>
          <w:rFonts w:ascii="Arial" w:hAnsi="Arial" w:cs="Arial"/>
          <w:sz w:val="22"/>
          <w:szCs w:val="22"/>
        </w:rPr>
        <w:t xml:space="preserve"> transport and mobility </w:t>
      </w:r>
      <w:r>
        <w:rPr>
          <w:rFonts w:ascii="Arial" w:hAnsi="Arial" w:cs="Arial"/>
          <w:sz w:val="22"/>
          <w:szCs w:val="22"/>
        </w:rPr>
        <w:t>and</w:t>
      </w:r>
      <w:r w:rsidRPr="00B34987">
        <w:rPr>
          <w:rFonts w:ascii="Arial" w:hAnsi="Arial" w:cs="Arial"/>
          <w:sz w:val="22"/>
          <w:szCs w:val="22"/>
        </w:rPr>
        <w:t xml:space="preserve"> communications team</w:t>
      </w:r>
      <w:r>
        <w:rPr>
          <w:rFonts w:ascii="Arial" w:hAnsi="Arial" w:cs="Arial"/>
          <w:sz w:val="22"/>
          <w:szCs w:val="22"/>
        </w:rPr>
        <w:t>s;</w:t>
      </w:r>
      <w:r w:rsidRPr="00B34987">
        <w:rPr>
          <w:rFonts w:ascii="Arial" w:hAnsi="Arial" w:cs="Arial"/>
          <w:sz w:val="22"/>
          <w:szCs w:val="22"/>
        </w:rPr>
        <w:t xml:space="preserve"> </w:t>
      </w:r>
    </w:p>
    <w:p w:rsidR="006C39E2" w:rsidRDefault="006C39E2" w:rsidP="00F70F05">
      <w:pPr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 for London (TfL);</w:t>
      </w:r>
      <w:r w:rsidRPr="00B34987">
        <w:rPr>
          <w:rFonts w:ascii="Arial" w:hAnsi="Arial" w:cs="Arial"/>
          <w:sz w:val="22"/>
          <w:szCs w:val="22"/>
        </w:rPr>
        <w:t xml:space="preserve"> </w:t>
      </w:r>
    </w:p>
    <w:p w:rsidR="006C39E2" w:rsidRDefault="006C39E2" w:rsidP="00F70F05">
      <w:pPr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B34987">
        <w:rPr>
          <w:rFonts w:ascii="Arial" w:hAnsi="Arial" w:cs="Arial"/>
          <w:sz w:val="22"/>
          <w:szCs w:val="22"/>
        </w:rPr>
        <w:t>Associati</w:t>
      </w:r>
      <w:r>
        <w:rPr>
          <w:rFonts w:ascii="Arial" w:hAnsi="Arial" w:cs="Arial"/>
          <w:sz w:val="22"/>
          <w:szCs w:val="22"/>
        </w:rPr>
        <w:t>on of Train Operating Companies (ATOC);</w:t>
      </w:r>
      <w:r w:rsidRPr="00B34987">
        <w:rPr>
          <w:rFonts w:ascii="Arial" w:hAnsi="Arial" w:cs="Arial"/>
          <w:sz w:val="22"/>
          <w:szCs w:val="22"/>
        </w:rPr>
        <w:t xml:space="preserve"> </w:t>
      </w:r>
    </w:p>
    <w:p w:rsidR="006C39E2" w:rsidRDefault="006C39E2" w:rsidP="00F70F05">
      <w:pPr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Association of Chief Librarians;</w:t>
      </w:r>
      <w:r w:rsidRPr="00B34987">
        <w:rPr>
          <w:rFonts w:ascii="Arial" w:hAnsi="Arial" w:cs="Arial"/>
          <w:sz w:val="22"/>
          <w:szCs w:val="22"/>
        </w:rPr>
        <w:t xml:space="preserve"> </w:t>
      </w:r>
    </w:p>
    <w:p w:rsidR="006C39E2" w:rsidRDefault="006C39E2" w:rsidP="00F70F05">
      <w:pPr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 for All;</w:t>
      </w:r>
      <w:r w:rsidRPr="00B34987">
        <w:rPr>
          <w:rFonts w:ascii="Arial" w:hAnsi="Arial" w:cs="Arial"/>
          <w:sz w:val="22"/>
          <w:szCs w:val="22"/>
        </w:rPr>
        <w:t xml:space="preserve"> </w:t>
      </w:r>
    </w:p>
    <w:p w:rsidR="006C39E2" w:rsidRDefault="006C39E2" w:rsidP="00F70F05">
      <w:pPr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 UK London;</w:t>
      </w:r>
      <w:r w:rsidRPr="00B349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</w:p>
    <w:p w:rsidR="006C39E2" w:rsidRDefault="006C39E2" w:rsidP="00F70F05">
      <w:pPr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B34987">
        <w:rPr>
          <w:rFonts w:ascii="Arial" w:hAnsi="Arial" w:cs="Arial"/>
          <w:sz w:val="22"/>
          <w:szCs w:val="22"/>
        </w:rPr>
        <w:t xml:space="preserve">ESP </w:t>
      </w:r>
      <w:proofErr w:type="spellStart"/>
      <w:r w:rsidRPr="00B34987">
        <w:rPr>
          <w:rFonts w:ascii="Arial" w:hAnsi="Arial" w:cs="Arial"/>
          <w:sz w:val="22"/>
          <w:szCs w:val="22"/>
        </w:rPr>
        <w:t>Systex</w:t>
      </w:r>
      <w:proofErr w:type="spellEnd"/>
      <w:r w:rsidRPr="00B3498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34987">
        <w:rPr>
          <w:rFonts w:ascii="Arial" w:hAnsi="Arial" w:cs="Arial"/>
          <w:sz w:val="22"/>
          <w:szCs w:val="22"/>
        </w:rPr>
        <w:t>Journeycall</w:t>
      </w:r>
      <w:proofErr w:type="spellEnd"/>
      <w:r w:rsidRPr="00B34987">
        <w:rPr>
          <w:rFonts w:ascii="Arial" w:hAnsi="Arial" w:cs="Arial"/>
          <w:sz w:val="22"/>
          <w:szCs w:val="22"/>
        </w:rPr>
        <w:t>.</w:t>
      </w:r>
    </w:p>
    <w:p w:rsidR="006C39E2" w:rsidRDefault="006C39E2" w:rsidP="006C39E2">
      <w:pPr>
        <w:rPr>
          <w:rFonts w:ascii="Arial" w:hAnsi="Arial" w:cs="Arial"/>
          <w:sz w:val="22"/>
          <w:szCs w:val="22"/>
        </w:rPr>
      </w:pPr>
    </w:p>
    <w:p w:rsidR="006C39E2" w:rsidRDefault="006C39E2" w:rsidP="00F70F05">
      <w:pPr>
        <w:numPr>
          <w:ilvl w:val="0"/>
          <w:numId w:val="3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 board meeting will be held in June to review successes of the re-issue and lessons learned in order to improve future re-issues.</w:t>
      </w:r>
    </w:p>
    <w:p w:rsidR="006C39E2" w:rsidRPr="00B34987" w:rsidRDefault="006C39E2" w:rsidP="006C39E2">
      <w:pPr>
        <w:ind w:left="426"/>
        <w:rPr>
          <w:rFonts w:ascii="Arial" w:hAnsi="Arial" w:cs="Arial"/>
          <w:sz w:val="22"/>
          <w:szCs w:val="22"/>
        </w:rPr>
      </w:pPr>
    </w:p>
    <w:p w:rsidR="006C39E2" w:rsidRPr="00B34987" w:rsidRDefault="006C39E2" w:rsidP="006C39E2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Older Persons Freedom Pass Renewal </w:t>
      </w:r>
    </w:p>
    <w:p w:rsidR="006C39E2" w:rsidRPr="00B34987" w:rsidRDefault="006C39E2" w:rsidP="006C39E2">
      <w:pPr>
        <w:ind w:left="426"/>
        <w:rPr>
          <w:rFonts w:ascii="Arial" w:hAnsi="Arial" w:cs="Arial"/>
          <w:sz w:val="22"/>
          <w:szCs w:val="22"/>
        </w:rPr>
      </w:pPr>
    </w:p>
    <w:p w:rsidR="006C39E2" w:rsidRPr="00F70F05" w:rsidRDefault="006C39E2" w:rsidP="00F70F05">
      <w:pPr>
        <w:numPr>
          <w:ilvl w:val="0"/>
          <w:numId w:val="32"/>
        </w:numPr>
        <w:ind w:left="426" w:hanging="426"/>
        <w:rPr>
          <w:rFonts w:ascii="Arial" w:hAnsi="Arial" w:cs="Arial"/>
          <w:sz w:val="22"/>
          <w:szCs w:val="22"/>
        </w:rPr>
      </w:pPr>
      <w:r w:rsidRPr="00F70F05">
        <w:rPr>
          <w:rFonts w:ascii="Arial" w:hAnsi="Arial" w:cs="Arial"/>
          <w:sz w:val="22"/>
          <w:szCs w:val="22"/>
        </w:rPr>
        <w:t>The older person’s renewal progressed well with 78% completing their renewal by 31 March 2016. This is four per cent lower than at the same time in 2015. As of 22 May 2016 a further four per cent have renewed</w:t>
      </w:r>
      <w:r w:rsidR="004E1E6E" w:rsidRPr="00F70F05">
        <w:rPr>
          <w:rFonts w:ascii="Arial" w:hAnsi="Arial" w:cs="Arial"/>
          <w:sz w:val="22"/>
          <w:szCs w:val="22"/>
        </w:rPr>
        <w:t xml:space="preserve"> (</w:t>
      </w:r>
      <w:r w:rsidR="007B5B6F" w:rsidRPr="00F70F05">
        <w:rPr>
          <w:rFonts w:ascii="Arial" w:hAnsi="Arial" w:cs="Arial"/>
          <w:sz w:val="22"/>
          <w:szCs w:val="22"/>
        </w:rPr>
        <w:t>82</w:t>
      </w:r>
      <w:r w:rsidR="004E1E6E" w:rsidRPr="00F70F05">
        <w:rPr>
          <w:rFonts w:ascii="Arial" w:hAnsi="Arial" w:cs="Arial"/>
          <w:sz w:val="22"/>
          <w:szCs w:val="22"/>
        </w:rPr>
        <w:t>%)</w:t>
      </w:r>
      <w:r w:rsidR="00F70F05">
        <w:rPr>
          <w:rFonts w:ascii="Arial" w:hAnsi="Arial" w:cs="Arial"/>
          <w:sz w:val="22"/>
          <w:szCs w:val="22"/>
        </w:rPr>
        <w:t>.</w:t>
      </w:r>
      <w:r w:rsidRPr="00F70F05">
        <w:rPr>
          <w:rFonts w:ascii="Arial" w:hAnsi="Arial" w:cs="Arial"/>
          <w:sz w:val="22"/>
          <w:szCs w:val="22"/>
        </w:rPr>
        <w:t xml:space="preserve"> 79% have renewed on line and 21% using paper application forms. </w:t>
      </w:r>
    </w:p>
    <w:p w:rsidR="006C39E2" w:rsidRDefault="006C39E2" w:rsidP="006C39E2">
      <w:pPr>
        <w:ind w:left="426"/>
        <w:rPr>
          <w:rFonts w:ascii="Arial" w:hAnsi="Arial" w:cs="Arial"/>
          <w:sz w:val="22"/>
          <w:szCs w:val="22"/>
        </w:rPr>
      </w:pPr>
    </w:p>
    <w:p w:rsidR="006C39E2" w:rsidRDefault="006C39E2" w:rsidP="00F70F05">
      <w:pPr>
        <w:numPr>
          <w:ilvl w:val="0"/>
          <w:numId w:val="3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Appendix 1 sets out progress to date in graphical format and Appendix 2 sets out progress in each of the boroughs. Members are asked to note two matters highlighted by these documents. </w:t>
      </w:r>
    </w:p>
    <w:p w:rsidR="006C39E2" w:rsidRDefault="006C39E2" w:rsidP="006C39E2">
      <w:pPr>
        <w:pStyle w:val="ListParagraph"/>
        <w:rPr>
          <w:rFonts w:cs="Arial"/>
        </w:rPr>
      </w:pPr>
    </w:p>
    <w:p w:rsidR="006C39E2" w:rsidRDefault="006C39E2" w:rsidP="00F70F05">
      <w:pPr>
        <w:numPr>
          <w:ilvl w:val="0"/>
          <w:numId w:val="3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First, the number of renewals completed means that c 22,000 have not renewed. Officers believe that this may be a result of the fact that more time has elapsed since the last mid-term review</w:t>
      </w:r>
      <w:r w:rsidR="00F70F0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a higher proportion will have moved </w:t>
      </w:r>
      <w:r w:rsidR="00BE4024">
        <w:rPr>
          <w:rFonts w:ascii="Arial" w:hAnsi="Arial" w:cs="Arial"/>
          <w:sz w:val="22"/>
          <w:szCs w:val="22"/>
        </w:rPr>
        <w:t>out of London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C39E2" w:rsidRDefault="006C39E2" w:rsidP="006C39E2">
      <w:pPr>
        <w:pStyle w:val="ListParagraph"/>
        <w:rPr>
          <w:rFonts w:cs="Arial"/>
        </w:rPr>
      </w:pPr>
    </w:p>
    <w:p w:rsidR="006C39E2" w:rsidRDefault="006C39E2" w:rsidP="00F70F05">
      <w:pPr>
        <w:numPr>
          <w:ilvl w:val="0"/>
          <w:numId w:val="3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Second, and connected to the issue above, renewal rates vary significantly between boroughs. Of the non-own application boroughs, Havering has the highest renewal rate (88%) and the City of Westminster, the lowest (75%). This mirrors patterns seen in 2015, where inner London boroughs, that tend to have higher levels of population churn, had lower renewal rates.</w:t>
      </w:r>
    </w:p>
    <w:p w:rsidR="006C39E2" w:rsidRDefault="006C39E2" w:rsidP="006C39E2">
      <w:pPr>
        <w:pStyle w:val="ListParagraph"/>
        <w:rPr>
          <w:rFonts w:cs="Arial"/>
        </w:rPr>
      </w:pPr>
    </w:p>
    <w:p w:rsidR="006C39E2" w:rsidRPr="0044227A" w:rsidRDefault="006C39E2" w:rsidP="00F70F05">
      <w:pPr>
        <w:numPr>
          <w:ilvl w:val="0"/>
          <w:numId w:val="32"/>
        </w:numPr>
        <w:ind w:left="426" w:hanging="426"/>
        <w:rPr>
          <w:rFonts w:cs="Arial"/>
        </w:rPr>
      </w:pPr>
      <w:r>
        <w:rPr>
          <w:rFonts w:ascii="Arial" w:hAnsi="Arial" w:cs="Arial"/>
          <w:sz w:val="22"/>
          <w:szCs w:val="22"/>
        </w:rPr>
        <w:t>Officers worked with boroughs</w:t>
      </w:r>
      <w:r w:rsidR="00BE4024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Head</w:t>
      </w:r>
      <w:r w:rsidR="00BE402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Communications to increase the renewal rate in </w:t>
      </w:r>
      <w:r w:rsidR="00BE4024">
        <w:rPr>
          <w:rFonts w:ascii="Arial" w:hAnsi="Arial" w:cs="Arial"/>
          <w:sz w:val="22"/>
          <w:szCs w:val="22"/>
        </w:rPr>
        <w:t xml:space="preserve">those boroughs with the </w:t>
      </w:r>
      <w:r>
        <w:rPr>
          <w:rFonts w:ascii="Arial" w:hAnsi="Arial" w:cs="Arial"/>
          <w:sz w:val="22"/>
          <w:szCs w:val="22"/>
        </w:rPr>
        <w:t xml:space="preserve">lowest </w:t>
      </w:r>
      <w:r w:rsidR="00BE4024">
        <w:rPr>
          <w:rFonts w:ascii="Arial" w:hAnsi="Arial" w:cs="Arial"/>
          <w:sz w:val="22"/>
          <w:szCs w:val="22"/>
        </w:rPr>
        <w:t xml:space="preserve">response </w:t>
      </w:r>
      <w:r>
        <w:rPr>
          <w:rFonts w:ascii="Arial" w:hAnsi="Arial" w:cs="Arial"/>
          <w:sz w:val="22"/>
          <w:szCs w:val="22"/>
        </w:rPr>
        <w:t xml:space="preserve">to ensure that those who did not renew, but were still eligible, were not unduly </w:t>
      </w:r>
      <w:r w:rsidR="00BE4024">
        <w:rPr>
          <w:rFonts w:ascii="Arial" w:hAnsi="Arial" w:cs="Arial"/>
          <w:sz w:val="22"/>
          <w:szCs w:val="22"/>
        </w:rPr>
        <w:t xml:space="preserve">adversely </w:t>
      </w:r>
      <w:r>
        <w:rPr>
          <w:rFonts w:ascii="Arial" w:hAnsi="Arial" w:cs="Arial"/>
          <w:sz w:val="22"/>
          <w:szCs w:val="22"/>
        </w:rPr>
        <w:t>affected.</w:t>
      </w:r>
      <w:r>
        <w:rPr>
          <w:rFonts w:cs="Arial"/>
        </w:rPr>
        <w:t xml:space="preserve"> </w:t>
      </w:r>
      <w:r w:rsidRPr="007079EB">
        <w:rPr>
          <w:rFonts w:ascii="Arial" w:hAnsi="Arial" w:cs="Arial"/>
          <w:sz w:val="22"/>
          <w:szCs w:val="22"/>
        </w:rPr>
        <w:t>London Councils agreed with TfL and ATOC to provide a grace period until mid-May during which time, 2016 pass holders c</w:t>
      </w:r>
      <w:r>
        <w:rPr>
          <w:rFonts w:ascii="Arial" w:hAnsi="Arial" w:cs="Arial"/>
          <w:sz w:val="22"/>
          <w:szCs w:val="22"/>
        </w:rPr>
        <w:t>ould</w:t>
      </w:r>
      <w:r w:rsidRPr="007079EB">
        <w:rPr>
          <w:rFonts w:ascii="Arial" w:hAnsi="Arial" w:cs="Arial"/>
          <w:sz w:val="22"/>
          <w:szCs w:val="22"/>
        </w:rPr>
        <w:t xml:space="preserve"> continue to travel if they present</w:t>
      </w:r>
      <w:r>
        <w:rPr>
          <w:rFonts w:ascii="Arial" w:hAnsi="Arial" w:cs="Arial"/>
          <w:sz w:val="22"/>
          <w:szCs w:val="22"/>
        </w:rPr>
        <w:t>ed</w:t>
      </w:r>
      <w:r w:rsidRPr="007079EB">
        <w:rPr>
          <w:rFonts w:ascii="Arial" w:hAnsi="Arial" w:cs="Arial"/>
          <w:sz w:val="22"/>
          <w:szCs w:val="22"/>
        </w:rPr>
        <w:t xml:space="preserve"> their card for visual inspection on buses and at station gates.</w:t>
      </w:r>
    </w:p>
    <w:p w:rsidR="006C39E2" w:rsidRPr="0044227A" w:rsidRDefault="006C39E2" w:rsidP="006C39E2">
      <w:pPr>
        <w:pStyle w:val="ListParagraph"/>
        <w:rPr>
          <w:rFonts w:cs="Arial"/>
          <w:sz w:val="20"/>
        </w:rPr>
      </w:pPr>
    </w:p>
    <w:p w:rsidR="006C39E2" w:rsidRPr="0044227A" w:rsidRDefault="006C39E2" w:rsidP="00F70F05">
      <w:pPr>
        <w:numPr>
          <w:ilvl w:val="0"/>
          <w:numId w:val="32"/>
        </w:numPr>
        <w:ind w:left="426" w:hanging="426"/>
        <w:rPr>
          <w:rFonts w:ascii="Arial" w:hAnsi="Arial" w:cs="Arial"/>
          <w:sz w:val="22"/>
        </w:rPr>
      </w:pPr>
      <w:r w:rsidRPr="0044227A">
        <w:rPr>
          <w:rFonts w:ascii="Arial" w:hAnsi="Arial" w:cs="Arial"/>
          <w:sz w:val="22"/>
        </w:rPr>
        <w:t>Pass holders who have not yet renewed have until the end of June to renew their pass on-line or by post. From July pass holders will need to submit a</w:t>
      </w:r>
      <w:r w:rsidR="00BE4024">
        <w:rPr>
          <w:rFonts w:ascii="Arial" w:hAnsi="Arial" w:cs="Arial"/>
          <w:sz w:val="22"/>
        </w:rPr>
        <w:t>n</w:t>
      </w:r>
      <w:r w:rsidRPr="0044227A">
        <w:rPr>
          <w:rFonts w:ascii="Arial" w:hAnsi="Arial" w:cs="Arial"/>
          <w:sz w:val="22"/>
        </w:rPr>
        <w:t xml:space="preserve"> application</w:t>
      </w:r>
      <w:r>
        <w:rPr>
          <w:rFonts w:ascii="Arial" w:hAnsi="Arial" w:cs="Arial"/>
          <w:sz w:val="22"/>
        </w:rPr>
        <w:t xml:space="preserve"> for a new pass</w:t>
      </w:r>
      <w:r w:rsidRPr="0044227A">
        <w:rPr>
          <w:rFonts w:ascii="Arial" w:hAnsi="Arial" w:cs="Arial"/>
          <w:sz w:val="22"/>
        </w:rPr>
        <w:t>.</w:t>
      </w:r>
    </w:p>
    <w:p w:rsidR="006C39E2" w:rsidRDefault="006C39E2" w:rsidP="006C39E2">
      <w:pPr>
        <w:pStyle w:val="ListParagraph"/>
        <w:rPr>
          <w:rFonts w:cs="Arial"/>
        </w:rPr>
      </w:pPr>
    </w:p>
    <w:p w:rsidR="006C39E2" w:rsidRPr="00B34987" w:rsidRDefault="006C39E2" w:rsidP="006C39E2">
      <w:pPr>
        <w:rPr>
          <w:rFonts w:ascii="Arial" w:hAnsi="Arial" w:cs="Arial"/>
          <w:sz w:val="22"/>
          <w:szCs w:val="22"/>
        </w:rPr>
      </w:pPr>
    </w:p>
    <w:p w:rsidR="004E1E6E" w:rsidRDefault="004E1E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C39E2" w:rsidRDefault="006C39E2" w:rsidP="006C39E2">
      <w:pPr>
        <w:ind w:left="426"/>
        <w:rPr>
          <w:rFonts w:ascii="Arial" w:hAnsi="Arial" w:cs="Arial"/>
          <w:b/>
          <w:sz w:val="22"/>
          <w:szCs w:val="22"/>
        </w:rPr>
      </w:pPr>
      <w:r w:rsidRPr="00B34987">
        <w:rPr>
          <w:rFonts w:ascii="Arial" w:hAnsi="Arial" w:cs="Arial"/>
          <w:b/>
          <w:sz w:val="22"/>
          <w:szCs w:val="22"/>
        </w:rPr>
        <w:lastRenderedPageBreak/>
        <w:t>Own application boroughs update</w:t>
      </w:r>
    </w:p>
    <w:p w:rsidR="006C39E2" w:rsidRPr="00B34987" w:rsidRDefault="006C39E2" w:rsidP="006C39E2">
      <w:pPr>
        <w:ind w:left="426"/>
        <w:rPr>
          <w:rFonts w:ascii="Arial" w:hAnsi="Arial" w:cs="Arial"/>
          <w:b/>
          <w:sz w:val="22"/>
          <w:szCs w:val="22"/>
        </w:rPr>
      </w:pPr>
    </w:p>
    <w:p w:rsidR="006C39E2" w:rsidRDefault="006C39E2" w:rsidP="00F70F05">
      <w:pPr>
        <w:numPr>
          <w:ilvl w:val="0"/>
          <w:numId w:val="32"/>
        </w:numPr>
        <w:ind w:left="426" w:hanging="426"/>
        <w:rPr>
          <w:rFonts w:ascii="Arial" w:hAnsi="Arial" w:cs="Arial"/>
          <w:sz w:val="22"/>
          <w:szCs w:val="22"/>
        </w:rPr>
      </w:pPr>
      <w:r w:rsidRPr="00B34987">
        <w:rPr>
          <w:rFonts w:ascii="Arial" w:hAnsi="Arial" w:cs="Arial"/>
          <w:sz w:val="22"/>
          <w:szCs w:val="22"/>
        </w:rPr>
        <w:t xml:space="preserve">As with the previous renewal, the London Borough of Sutton </w:t>
      </w:r>
      <w:r>
        <w:rPr>
          <w:rFonts w:ascii="Arial" w:hAnsi="Arial" w:cs="Arial"/>
          <w:sz w:val="22"/>
          <w:szCs w:val="22"/>
        </w:rPr>
        <w:t>has</w:t>
      </w:r>
      <w:r w:rsidRPr="00B34987">
        <w:rPr>
          <w:rFonts w:ascii="Arial" w:hAnsi="Arial" w:cs="Arial"/>
          <w:sz w:val="22"/>
          <w:szCs w:val="22"/>
        </w:rPr>
        <w:t xml:space="preserve"> offer</w:t>
      </w:r>
      <w:r>
        <w:rPr>
          <w:rFonts w:ascii="Arial" w:hAnsi="Arial" w:cs="Arial"/>
          <w:sz w:val="22"/>
          <w:szCs w:val="22"/>
        </w:rPr>
        <w:t>ed</w:t>
      </w:r>
      <w:r w:rsidRPr="00B34987">
        <w:rPr>
          <w:rFonts w:ascii="Arial" w:hAnsi="Arial" w:cs="Arial"/>
          <w:sz w:val="22"/>
          <w:szCs w:val="22"/>
        </w:rPr>
        <w:t xml:space="preserve"> an on</w:t>
      </w:r>
      <w:r>
        <w:rPr>
          <w:rFonts w:ascii="Arial" w:hAnsi="Arial" w:cs="Arial"/>
          <w:sz w:val="22"/>
          <w:szCs w:val="22"/>
        </w:rPr>
        <w:t>-</w:t>
      </w:r>
      <w:r w:rsidRPr="00B34987">
        <w:rPr>
          <w:rFonts w:ascii="Arial" w:hAnsi="Arial" w:cs="Arial"/>
          <w:sz w:val="22"/>
          <w:szCs w:val="22"/>
        </w:rPr>
        <w:t xml:space="preserve">line only option to pass holders. </w:t>
      </w:r>
      <w:r>
        <w:rPr>
          <w:rFonts w:ascii="Arial" w:hAnsi="Arial" w:cs="Arial"/>
          <w:sz w:val="22"/>
          <w:szCs w:val="22"/>
        </w:rPr>
        <w:t>This does not seem to have adversely affected renewal rates: Sutton’s figure is 82%.</w:t>
      </w:r>
    </w:p>
    <w:p w:rsidR="006C39E2" w:rsidRPr="00B34987" w:rsidRDefault="006C39E2" w:rsidP="006C39E2">
      <w:pPr>
        <w:ind w:left="426"/>
        <w:rPr>
          <w:rFonts w:ascii="Arial" w:hAnsi="Arial" w:cs="Arial"/>
          <w:sz w:val="22"/>
          <w:szCs w:val="22"/>
        </w:rPr>
      </w:pPr>
    </w:p>
    <w:p w:rsidR="006C39E2" w:rsidRPr="00B34987" w:rsidRDefault="006C39E2" w:rsidP="00F70F05">
      <w:pPr>
        <w:numPr>
          <w:ilvl w:val="0"/>
          <w:numId w:val="32"/>
        </w:numPr>
        <w:ind w:left="426" w:hanging="426"/>
        <w:rPr>
          <w:rFonts w:ascii="Arial" w:hAnsi="Arial" w:cs="Arial"/>
          <w:sz w:val="22"/>
          <w:szCs w:val="22"/>
        </w:rPr>
      </w:pPr>
      <w:r w:rsidRPr="00B34987">
        <w:rPr>
          <w:rFonts w:ascii="Arial" w:hAnsi="Arial" w:cs="Arial"/>
          <w:sz w:val="22"/>
          <w:szCs w:val="22"/>
        </w:rPr>
        <w:t>The London Borough of Camden undert</w:t>
      </w:r>
      <w:r>
        <w:rPr>
          <w:rFonts w:ascii="Arial" w:hAnsi="Arial" w:cs="Arial"/>
          <w:sz w:val="22"/>
          <w:szCs w:val="22"/>
        </w:rPr>
        <w:t>ook</w:t>
      </w:r>
      <w:r w:rsidRPr="00B34987">
        <w:rPr>
          <w:rFonts w:ascii="Arial" w:hAnsi="Arial" w:cs="Arial"/>
          <w:sz w:val="22"/>
          <w:szCs w:val="22"/>
        </w:rPr>
        <w:t xml:space="preserve"> internal verification of residency details and automatically reissu</w:t>
      </w:r>
      <w:r>
        <w:rPr>
          <w:rFonts w:ascii="Arial" w:hAnsi="Arial" w:cs="Arial"/>
          <w:sz w:val="22"/>
          <w:szCs w:val="22"/>
        </w:rPr>
        <w:t>ed</w:t>
      </w:r>
      <w:r w:rsidRPr="00B34987">
        <w:rPr>
          <w:rFonts w:ascii="Arial" w:hAnsi="Arial" w:cs="Arial"/>
          <w:sz w:val="22"/>
          <w:szCs w:val="22"/>
        </w:rPr>
        <w:t xml:space="preserve"> passes to people that pass</w:t>
      </w:r>
      <w:r>
        <w:rPr>
          <w:rFonts w:ascii="Arial" w:hAnsi="Arial" w:cs="Arial"/>
          <w:sz w:val="22"/>
          <w:szCs w:val="22"/>
        </w:rPr>
        <w:t>ed</w:t>
      </w:r>
      <w:r w:rsidRPr="00B34987">
        <w:rPr>
          <w:rFonts w:ascii="Arial" w:hAnsi="Arial" w:cs="Arial"/>
          <w:sz w:val="22"/>
          <w:szCs w:val="22"/>
        </w:rPr>
        <w:t xml:space="preserve"> verification</w:t>
      </w:r>
      <w:r>
        <w:rPr>
          <w:rFonts w:ascii="Arial" w:hAnsi="Arial" w:cs="Arial"/>
          <w:sz w:val="22"/>
          <w:szCs w:val="22"/>
        </w:rPr>
        <w:t>. The renewal rate in Camden is 88%.</w:t>
      </w:r>
      <w:r w:rsidRPr="00B34987">
        <w:rPr>
          <w:rFonts w:ascii="Arial" w:hAnsi="Arial" w:cs="Arial"/>
          <w:sz w:val="22"/>
          <w:szCs w:val="22"/>
        </w:rPr>
        <w:t xml:space="preserve"> </w:t>
      </w:r>
    </w:p>
    <w:p w:rsidR="006C39E2" w:rsidRPr="00B34987" w:rsidRDefault="006C39E2" w:rsidP="006C39E2">
      <w:pPr>
        <w:ind w:left="426"/>
        <w:rPr>
          <w:rFonts w:ascii="Arial" w:hAnsi="Arial" w:cs="Arial"/>
          <w:sz w:val="22"/>
          <w:szCs w:val="22"/>
        </w:rPr>
      </w:pPr>
    </w:p>
    <w:p w:rsidR="006C39E2" w:rsidRDefault="006C39E2" w:rsidP="006C39E2">
      <w:pPr>
        <w:ind w:left="426"/>
        <w:rPr>
          <w:rFonts w:ascii="Arial" w:hAnsi="Arial" w:cs="Arial"/>
          <w:b/>
          <w:sz w:val="22"/>
          <w:szCs w:val="22"/>
        </w:rPr>
      </w:pPr>
      <w:r w:rsidRPr="00B34987">
        <w:rPr>
          <w:rFonts w:ascii="Arial" w:hAnsi="Arial" w:cs="Arial"/>
          <w:b/>
          <w:sz w:val="22"/>
          <w:szCs w:val="22"/>
        </w:rPr>
        <w:t>Disabled Persons Freedom Pass renewal</w:t>
      </w:r>
    </w:p>
    <w:p w:rsidR="006C39E2" w:rsidRPr="00B34987" w:rsidRDefault="006C39E2" w:rsidP="006C39E2">
      <w:pPr>
        <w:ind w:left="426"/>
        <w:rPr>
          <w:rFonts w:ascii="Arial" w:hAnsi="Arial" w:cs="Arial"/>
          <w:b/>
          <w:sz w:val="22"/>
          <w:szCs w:val="22"/>
        </w:rPr>
      </w:pPr>
    </w:p>
    <w:p w:rsidR="006C39E2" w:rsidRDefault="006C39E2" w:rsidP="00F70F05">
      <w:pPr>
        <w:numPr>
          <w:ilvl w:val="0"/>
          <w:numId w:val="32"/>
        </w:numPr>
        <w:ind w:left="426" w:hanging="426"/>
        <w:rPr>
          <w:rFonts w:ascii="Arial" w:hAnsi="Arial" w:cs="Arial"/>
          <w:sz w:val="22"/>
          <w:szCs w:val="22"/>
        </w:rPr>
      </w:pPr>
      <w:r w:rsidRPr="007079EB">
        <w:rPr>
          <w:rFonts w:ascii="Arial" w:hAnsi="Arial" w:cs="Arial"/>
          <w:sz w:val="22"/>
          <w:szCs w:val="22"/>
        </w:rPr>
        <w:t>The renewal of Disabled Person Freedom Pass holders is the responsibility of the local authority.</w:t>
      </w:r>
      <w:r>
        <w:rPr>
          <w:rFonts w:ascii="Arial" w:hAnsi="Arial" w:cs="Arial"/>
          <w:sz w:val="22"/>
          <w:szCs w:val="22"/>
        </w:rPr>
        <w:t xml:space="preserve"> </w:t>
      </w:r>
      <w:r w:rsidRPr="007079EB">
        <w:rPr>
          <w:rFonts w:ascii="Arial" w:hAnsi="Arial" w:cs="Arial"/>
          <w:sz w:val="22"/>
          <w:szCs w:val="22"/>
        </w:rPr>
        <w:t>Local authorities checked residency and confirmed continued eligibility of their pass holders against the Transport Act 2000</w:t>
      </w:r>
      <w:r w:rsidR="00BE4024">
        <w:rPr>
          <w:rFonts w:ascii="Arial" w:hAnsi="Arial" w:cs="Arial"/>
          <w:sz w:val="22"/>
          <w:szCs w:val="22"/>
        </w:rPr>
        <w:t xml:space="preserve"> criteria</w:t>
      </w:r>
      <w:r>
        <w:rPr>
          <w:rFonts w:ascii="Arial" w:hAnsi="Arial" w:cs="Arial"/>
          <w:sz w:val="22"/>
          <w:szCs w:val="22"/>
        </w:rPr>
        <w:t>.</w:t>
      </w:r>
      <w:r w:rsidRPr="007079EB">
        <w:rPr>
          <w:rFonts w:ascii="Arial" w:hAnsi="Arial" w:cs="Arial"/>
          <w:sz w:val="22"/>
          <w:szCs w:val="22"/>
        </w:rPr>
        <w:t xml:space="preserve"> A total of 18,875 have been re-issued</w:t>
      </w:r>
      <w:r w:rsidR="00BE4024">
        <w:rPr>
          <w:rFonts w:ascii="Arial" w:hAnsi="Arial" w:cs="Arial"/>
          <w:sz w:val="22"/>
          <w:szCs w:val="22"/>
        </w:rPr>
        <w:t xml:space="preserve"> (62.6%)</w:t>
      </w:r>
      <w:r w:rsidRPr="007079EB">
        <w:rPr>
          <w:rFonts w:ascii="Arial" w:hAnsi="Arial" w:cs="Arial"/>
          <w:sz w:val="22"/>
          <w:szCs w:val="22"/>
        </w:rPr>
        <w:t xml:space="preserve">. </w:t>
      </w:r>
      <w:r w:rsidR="00F9657E">
        <w:rPr>
          <w:rFonts w:ascii="Arial" w:hAnsi="Arial" w:cs="Arial"/>
          <w:sz w:val="22"/>
          <w:szCs w:val="22"/>
        </w:rPr>
        <w:t xml:space="preserve">The renewal rate is lower, as boroughs have re-assessed eligibility and some </w:t>
      </w:r>
      <w:proofErr w:type="spellStart"/>
      <w:r w:rsidR="00F9657E">
        <w:rPr>
          <w:rFonts w:ascii="Arial" w:hAnsi="Arial" w:cs="Arial"/>
          <w:sz w:val="22"/>
          <w:szCs w:val="22"/>
        </w:rPr>
        <w:t>passholders</w:t>
      </w:r>
      <w:proofErr w:type="spellEnd"/>
      <w:r w:rsidR="00F9657E">
        <w:rPr>
          <w:rFonts w:ascii="Arial" w:hAnsi="Arial" w:cs="Arial"/>
          <w:sz w:val="22"/>
          <w:szCs w:val="22"/>
        </w:rPr>
        <w:t xml:space="preserve"> have been deemed no longer to be eligible.</w:t>
      </w:r>
    </w:p>
    <w:p w:rsidR="004A5206" w:rsidRDefault="004A5206" w:rsidP="004A5206">
      <w:pPr>
        <w:ind w:left="142"/>
        <w:rPr>
          <w:rFonts w:cs="Arial"/>
          <w:b/>
        </w:rPr>
      </w:pPr>
    </w:p>
    <w:p w:rsidR="004A5206" w:rsidRPr="004A5206" w:rsidRDefault="004A5206" w:rsidP="004A5206">
      <w:pPr>
        <w:ind w:left="142" w:firstLine="284"/>
        <w:rPr>
          <w:rFonts w:ascii="Arial" w:hAnsi="Arial" w:cs="Arial"/>
          <w:b/>
          <w:sz w:val="22"/>
          <w:szCs w:val="22"/>
        </w:rPr>
      </w:pPr>
      <w:r w:rsidRPr="004A5206">
        <w:rPr>
          <w:rFonts w:ascii="Arial" w:hAnsi="Arial" w:cs="Arial"/>
          <w:b/>
          <w:sz w:val="22"/>
          <w:szCs w:val="22"/>
        </w:rPr>
        <w:t>Costs of the 2016 re-issue</w:t>
      </w:r>
    </w:p>
    <w:p w:rsidR="004A5206" w:rsidRDefault="004A5206" w:rsidP="004A5206">
      <w:pPr>
        <w:rPr>
          <w:rFonts w:ascii="Arial" w:hAnsi="Arial" w:cs="Arial"/>
          <w:sz w:val="22"/>
          <w:szCs w:val="22"/>
        </w:rPr>
      </w:pPr>
    </w:p>
    <w:p w:rsidR="004A5206" w:rsidRDefault="004A5206" w:rsidP="00F70F05">
      <w:pPr>
        <w:numPr>
          <w:ilvl w:val="0"/>
          <w:numId w:val="32"/>
        </w:numPr>
        <w:ind w:left="426" w:hanging="426"/>
        <w:rPr>
          <w:rFonts w:ascii="Arial" w:hAnsi="Arial" w:cs="Arial"/>
          <w:sz w:val="22"/>
          <w:szCs w:val="22"/>
        </w:rPr>
      </w:pPr>
      <w:r w:rsidRPr="00F70F05">
        <w:rPr>
          <w:rFonts w:ascii="Arial" w:hAnsi="Arial" w:cs="Arial"/>
          <w:sz w:val="22"/>
          <w:szCs w:val="22"/>
        </w:rPr>
        <w:t xml:space="preserve">The </w:t>
      </w:r>
      <w:r w:rsidR="006B2C26">
        <w:rPr>
          <w:rFonts w:ascii="Arial" w:hAnsi="Arial" w:cs="Arial"/>
          <w:sz w:val="22"/>
          <w:szCs w:val="22"/>
        </w:rPr>
        <w:t xml:space="preserve">total forecast </w:t>
      </w:r>
      <w:r w:rsidRPr="00F70F05">
        <w:rPr>
          <w:rFonts w:ascii="Arial" w:hAnsi="Arial" w:cs="Arial"/>
          <w:sz w:val="22"/>
          <w:szCs w:val="22"/>
        </w:rPr>
        <w:t xml:space="preserve">costs of the 2016 re-issue </w:t>
      </w:r>
      <w:r w:rsidR="006B2C26">
        <w:rPr>
          <w:rFonts w:ascii="Arial" w:hAnsi="Arial" w:cs="Arial"/>
          <w:sz w:val="22"/>
          <w:szCs w:val="22"/>
        </w:rPr>
        <w:t>is £413,000. This is lower</w:t>
      </w:r>
      <w:r w:rsidRPr="00F70F05">
        <w:rPr>
          <w:rFonts w:ascii="Arial" w:hAnsi="Arial" w:cs="Arial"/>
          <w:sz w:val="22"/>
          <w:szCs w:val="22"/>
        </w:rPr>
        <w:t xml:space="preserve"> </w:t>
      </w:r>
      <w:r w:rsidR="006B2C26">
        <w:rPr>
          <w:rFonts w:ascii="Arial" w:hAnsi="Arial" w:cs="Arial"/>
          <w:sz w:val="22"/>
          <w:szCs w:val="22"/>
        </w:rPr>
        <w:t xml:space="preserve">than the original £500,000 estimate because </w:t>
      </w:r>
      <w:r w:rsidRPr="00F70F05">
        <w:rPr>
          <w:rFonts w:ascii="Arial" w:hAnsi="Arial" w:cs="Arial"/>
          <w:sz w:val="22"/>
          <w:szCs w:val="22"/>
        </w:rPr>
        <w:t>of lower than estimated renewal rates (the</w:t>
      </w:r>
      <w:r w:rsidRPr="004A5206">
        <w:rPr>
          <w:rFonts w:ascii="Arial" w:hAnsi="Arial" w:cs="Arial"/>
          <w:sz w:val="22"/>
          <w:szCs w:val="22"/>
        </w:rPr>
        <w:t xml:space="preserve"> </w:t>
      </w:r>
      <w:r w:rsidRPr="00F70F05">
        <w:rPr>
          <w:rFonts w:ascii="Arial" w:hAnsi="Arial" w:cs="Arial"/>
          <w:sz w:val="22"/>
          <w:szCs w:val="22"/>
        </w:rPr>
        <w:t xml:space="preserve">budget was based on a conservative estimate of 90% pass holders renewing). Final outturn will be known in </w:t>
      </w:r>
      <w:r>
        <w:rPr>
          <w:rFonts w:ascii="Arial" w:hAnsi="Arial" w:cs="Arial"/>
          <w:sz w:val="22"/>
          <w:szCs w:val="22"/>
        </w:rPr>
        <w:t>July once the portal closes on 30 June 2016.</w:t>
      </w:r>
    </w:p>
    <w:p w:rsidR="0068350A" w:rsidRDefault="0068350A" w:rsidP="0068350A">
      <w:pPr>
        <w:ind w:left="426"/>
        <w:rPr>
          <w:rFonts w:ascii="Arial" w:hAnsi="Arial" w:cs="Arial"/>
          <w:sz w:val="22"/>
          <w:szCs w:val="22"/>
        </w:rPr>
      </w:pPr>
    </w:p>
    <w:p w:rsidR="006C39E2" w:rsidRPr="00DE4CFF" w:rsidRDefault="006C39E2" w:rsidP="004A5206">
      <w:pPr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Customer Service Improvements</w:t>
      </w:r>
    </w:p>
    <w:p w:rsidR="00DE4CFF" w:rsidRPr="005C2923" w:rsidRDefault="00DE4CFF" w:rsidP="00DE4CFF">
      <w:pPr>
        <w:pStyle w:val="PlainText"/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:rsidR="006C39E2" w:rsidRDefault="006C39E2" w:rsidP="00F70F05">
      <w:pPr>
        <w:numPr>
          <w:ilvl w:val="0"/>
          <w:numId w:val="3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June 2015, London Councils introduced on-line applications for first time applicants. This innovation has proved very popular, with almost 80% of first time applicants now applying in this way. Feedback suggests that users f</w:t>
      </w:r>
      <w:r w:rsidR="00B04808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d the process</w:t>
      </w:r>
      <w:r w:rsidR="00B04808">
        <w:rPr>
          <w:rFonts w:ascii="Arial" w:hAnsi="Arial" w:cs="Arial"/>
          <w:sz w:val="22"/>
          <w:szCs w:val="22"/>
        </w:rPr>
        <w:t xml:space="preserve"> both</w:t>
      </w:r>
      <w:r>
        <w:rPr>
          <w:rFonts w:ascii="Arial" w:hAnsi="Arial" w:cs="Arial"/>
          <w:sz w:val="22"/>
          <w:szCs w:val="22"/>
        </w:rPr>
        <w:t xml:space="preserve"> intuitive and straightforward.</w:t>
      </w:r>
    </w:p>
    <w:p w:rsidR="006C39E2" w:rsidRDefault="006C39E2" w:rsidP="006C39E2">
      <w:pPr>
        <w:ind w:left="426"/>
        <w:rPr>
          <w:rFonts w:ascii="Arial" w:hAnsi="Arial" w:cs="Arial"/>
          <w:sz w:val="22"/>
          <w:szCs w:val="22"/>
        </w:rPr>
      </w:pPr>
    </w:p>
    <w:p w:rsidR="00B04808" w:rsidRDefault="00B04808" w:rsidP="00F70F05">
      <w:pPr>
        <w:numPr>
          <w:ilvl w:val="0"/>
          <w:numId w:val="3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the 2016 renewal all but over, London Councils will now embark on the next phase of customer service improvements. These will see </w:t>
      </w:r>
      <w:proofErr w:type="spellStart"/>
      <w:r w:rsidR="00F70F05">
        <w:rPr>
          <w:rFonts w:ascii="Arial" w:hAnsi="Arial" w:cs="Arial"/>
          <w:sz w:val="22"/>
          <w:szCs w:val="22"/>
        </w:rPr>
        <w:t>passholders</w:t>
      </w:r>
      <w:proofErr w:type="spellEnd"/>
      <w:r w:rsidR="00F70F05">
        <w:rPr>
          <w:rFonts w:ascii="Arial" w:hAnsi="Arial" w:cs="Arial"/>
          <w:sz w:val="22"/>
          <w:szCs w:val="22"/>
        </w:rPr>
        <w:t xml:space="preserve"> being able to</w:t>
      </w:r>
      <w:r>
        <w:rPr>
          <w:rFonts w:ascii="Arial" w:hAnsi="Arial" w:cs="Arial"/>
          <w:sz w:val="22"/>
          <w:szCs w:val="22"/>
        </w:rPr>
        <w:t xml:space="preserve"> creat</w:t>
      </w:r>
      <w:r w:rsidR="00F70F0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D86165">
        <w:rPr>
          <w:rFonts w:ascii="Arial" w:hAnsi="Arial" w:cs="Arial"/>
          <w:sz w:val="22"/>
          <w:szCs w:val="22"/>
        </w:rPr>
        <w:t xml:space="preserve">on-line </w:t>
      </w:r>
      <w:r w:rsidR="00F70F05">
        <w:rPr>
          <w:rFonts w:ascii="Arial" w:hAnsi="Arial" w:cs="Arial"/>
          <w:sz w:val="22"/>
          <w:szCs w:val="22"/>
        </w:rPr>
        <w:t>accounts</w:t>
      </w:r>
      <w:r>
        <w:rPr>
          <w:rFonts w:ascii="Arial" w:hAnsi="Arial" w:cs="Arial"/>
          <w:sz w:val="22"/>
          <w:szCs w:val="22"/>
        </w:rPr>
        <w:t xml:space="preserve"> and</w:t>
      </w:r>
      <w:r w:rsidR="00D86165">
        <w:rPr>
          <w:rFonts w:ascii="Arial" w:hAnsi="Arial" w:cs="Arial"/>
          <w:sz w:val="22"/>
          <w:szCs w:val="22"/>
        </w:rPr>
        <w:t xml:space="preserve"> make</w:t>
      </w:r>
      <w:r>
        <w:rPr>
          <w:rFonts w:ascii="Arial" w:hAnsi="Arial" w:cs="Arial"/>
          <w:sz w:val="22"/>
          <w:szCs w:val="22"/>
        </w:rPr>
        <w:t xml:space="preserve"> on-line payments for replacement Freedom Passes.</w:t>
      </w:r>
    </w:p>
    <w:p w:rsidR="00B04808" w:rsidRDefault="00B04808" w:rsidP="00B04808">
      <w:pPr>
        <w:pStyle w:val="ListParagraph"/>
        <w:rPr>
          <w:rFonts w:cs="Arial"/>
        </w:rPr>
      </w:pPr>
    </w:p>
    <w:p w:rsidR="00B04808" w:rsidRDefault="00B04808" w:rsidP="00F70F05">
      <w:pPr>
        <w:numPr>
          <w:ilvl w:val="0"/>
          <w:numId w:val="3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improvements will bring a number of benefits. They will enable existing Freedom Pass holders that applied with a paper application form </w:t>
      </w:r>
      <w:r w:rsidR="00BE22F2">
        <w:rPr>
          <w:rFonts w:ascii="Arial" w:hAnsi="Arial" w:cs="Arial"/>
          <w:sz w:val="22"/>
          <w:szCs w:val="22"/>
        </w:rPr>
        <w:t xml:space="preserve">or who applied online without using an e-mail address </w:t>
      </w:r>
      <w:r>
        <w:rPr>
          <w:rFonts w:ascii="Arial" w:hAnsi="Arial" w:cs="Arial"/>
          <w:sz w:val="22"/>
          <w:szCs w:val="22"/>
        </w:rPr>
        <w:t>to create an on-line account. This will mean that</w:t>
      </w:r>
      <w:r w:rsidRPr="00B04808">
        <w:rPr>
          <w:rFonts w:ascii="Arial" w:hAnsi="Arial" w:cs="Arial"/>
          <w:sz w:val="22"/>
          <w:szCs w:val="22"/>
        </w:rPr>
        <w:t xml:space="preserve"> they will be able to transact with London Councils on-line when they </w:t>
      </w:r>
      <w:r>
        <w:rPr>
          <w:rFonts w:ascii="Arial" w:hAnsi="Arial" w:cs="Arial"/>
          <w:sz w:val="22"/>
          <w:szCs w:val="22"/>
        </w:rPr>
        <w:t>need to update their details e.g. change address.</w:t>
      </w:r>
    </w:p>
    <w:p w:rsidR="00B04808" w:rsidRDefault="00B04808" w:rsidP="00B04808">
      <w:pPr>
        <w:pStyle w:val="ListParagraph"/>
        <w:rPr>
          <w:rFonts w:cs="Arial"/>
        </w:rPr>
      </w:pPr>
    </w:p>
    <w:p w:rsidR="00BB503B" w:rsidRDefault="00B04808" w:rsidP="00F70F05">
      <w:pPr>
        <w:numPr>
          <w:ilvl w:val="0"/>
          <w:numId w:val="3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improvements will also have benefits for London Councils. Once someone has created an account, </w:t>
      </w:r>
      <w:r w:rsidR="00BB503B">
        <w:rPr>
          <w:rFonts w:ascii="Arial" w:hAnsi="Arial" w:cs="Arial"/>
          <w:sz w:val="22"/>
          <w:szCs w:val="22"/>
        </w:rPr>
        <w:t>it will be possible for London Councils to correspond electronically with them</w:t>
      </w:r>
      <w:r w:rsidR="00F509F9">
        <w:rPr>
          <w:rFonts w:ascii="Arial" w:hAnsi="Arial" w:cs="Arial"/>
          <w:sz w:val="22"/>
          <w:szCs w:val="22"/>
        </w:rPr>
        <w:t xml:space="preserve"> (where they state this is their preferred method of contact)</w:t>
      </w:r>
      <w:r w:rsidR="00BB503B">
        <w:rPr>
          <w:rFonts w:ascii="Arial" w:hAnsi="Arial" w:cs="Arial"/>
          <w:sz w:val="22"/>
          <w:szCs w:val="22"/>
        </w:rPr>
        <w:t xml:space="preserve">, reducing the costs. Furthermore, those people replacing passes on-line </w:t>
      </w:r>
      <w:r w:rsidR="00CD54D4">
        <w:rPr>
          <w:rFonts w:ascii="Arial" w:hAnsi="Arial" w:cs="Arial"/>
          <w:sz w:val="22"/>
          <w:szCs w:val="22"/>
        </w:rPr>
        <w:t>should</w:t>
      </w:r>
      <w:r w:rsidR="00BB503B">
        <w:rPr>
          <w:rFonts w:ascii="Arial" w:hAnsi="Arial" w:cs="Arial"/>
          <w:sz w:val="22"/>
          <w:szCs w:val="22"/>
        </w:rPr>
        <w:t xml:space="preserve"> no longer call the contact centre</w:t>
      </w:r>
      <w:r w:rsidR="00CD54D4">
        <w:rPr>
          <w:rFonts w:ascii="Arial" w:hAnsi="Arial" w:cs="Arial"/>
          <w:sz w:val="22"/>
          <w:szCs w:val="22"/>
        </w:rPr>
        <w:t xml:space="preserve"> to do so</w:t>
      </w:r>
      <w:r w:rsidR="00BB503B">
        <w:rPr>
          <w:rFonts w:ascii="Arial" w:hAnsi="Arial" w:cs="Arial"/>
          <w:sz w:val="22"/>
          <w:szCs w:val="22"/>
        </w:rPr>
        <w:t xml:space="preserve">, further reducing costs. </w:t>
      </w:r>
    </w:p>
    <w:p w:rsidR="00BB503B" w:rsidRDefault="00BB503B" w:rsidP="00BB503B">
      <w:pPr>
        <w:pStyle w:val="ListParagraph"/>
        <w:rPr>
          <w:rFonts w:cs="Arial"/>
        </w:rPr>
      </w:pPr>
    </w:p>
    <w:p w:rsidR="00C10245" w:rsidRPr="002F2B96" w:rsidRDefault="00CD54D4" w:rsidP="002F2B96">
      <w:pPr>
        <w:numPr>
          <w:ilvl w:val="0"/>
          <w:numId w:val="32"/>
        </w:numPr>
        <w:ind w:left="426" w:hanging="426"/>
        <w:rPr>
          <w:rFonts w:ascii="Arial" w:hAnsi="Arial" w:cs="Arial"/>
          <w:sz w:val="22"/>
          <w:szCs w:val="22"/>
        </w:rPr>
      </w:pPr>
      <w:r w:rsidRPr="000938A7">
        <w:rPr>
          <w:rFonts w:ascii="Arial" w:hAnsi="Arial" w:cs="Arial"/>
          <w:sz w:val="22"/>
          <w:szCs w:val="22"/>
        </w:rPr>
        <w:t xml:space="preserve">The estimated </w:t>
      </w:r>
      <w:r w:rsidR="00BB503B" w:rsidRPr="000938A7">
        <w:rPr>
          <w:rFonts w:ascii="Arial" w:hAnsi="Arial" w:cs="Arial"/>
          <w:sz w:val="22"/>
          <w:szCs w:val="22"/>
        </w:rPr>
        <w:t xml:space="preserve">£56,000 </w:t>
      </w:r>
      <w:r w:rsidRPr="000938A7">
        <w:rPr>
          <w:rFonts w:ascii="Arial" w:hAnsi="Arial" w:cs="Arial"/>
          <w:sz w:val="22"/>
          <w:szCs w:val="22"/>
        </w:rPr>
        <w:t>development and implementation</w:t>
      </w:r>
      <w:r w:rsidR="000938A7" w:rsidRPr="000938A7">
        <w:rPr>
          <w:rFonts w:ascii="Arial" w:hAnsi="Arial" w:cs="Arial"/>
          <w:sz w:val="22"/>
          <w:szCs w:val="22"/>
        </w:rPr>
        <w:t xml:space="preserve"> costs </w:t>
      </w:r>
      <w:r w:rsidRPr="000938A7">
        <w:rPr>
          <w:rFonts w:ascii="Arial" w:hAnsi="Arial" w:cs="Arial"/>
          <w:sz w:val="22"/>
          <w:szCs w:val="22"/>
        </w:rPr>
        <w:t xml:space="preserve">are estimated to lead to consequential cost </w:t>
      </w:r>
      <w:r w:rsidR="00BB503B" w:rsidRPr="000938A7">
        <w:rPr>
          <w:rFonts w:ascii="Arial" w:hAnsi="Arial" w:cs="Arial"/>
          <w:sz w:val="22"/>
          <w:szCs w:val="22"/>
        </w:rPr>
        <w:t xml:space="preserve">reductions </w:t>
      </w:r>
      <w:r w:rsidRPr="000938A7">
        <w:rPr>
          <w:rFonts w:ascii="Arial" w:hAnsi="Arial" w:cs="Arial"/>
          <w:sz w:val="22"/>
          <w:szCs w:val="22"/>
        </w:rPr>
        <w:t xml:space="preserve">of </w:t>
      </w:r>
      <w:r w:rsidR="000938A7" w:rsidRPr="000938A7">
        <w:rPr>
          <w:rFonts w:ascii="Arial" w:hAnsi="Arial" w:cs="Arial"/>
          <w:sz w:val="22"/>
          <w:szCs w:val="22"/>
        </w:rPr>
        <w:t xml:space="preserve">at least </w:t>
      </w:r>
      <w:r w:rsidRPr="000938A7">
        <w:rPr>
          <w:rFonts w:ascii="Arial" w:hAnsi="Arial" w:cs="Arial"/>
          <w:sz w:val="22"/>
          <w:szCs w:val="22"/>
        </w:rPr>
        <w:t xml:space="preserve">the same value by </w:t>
      </w:r>
      <w:r w:rsidR="00F9657E" w:rsidRPr="000938A7">
        <w:rPr>
          <w:rFonts w:ascii="Arial" w:hAnsi="Arial" w:cs="Arial"/>
          <w:sz w:val="22"/>
          <w:szCs w:val="22"/>
        </w:rPr>
        <w:t>the time the current contract with ESP, the provider of the portal and contact centre</w:t>
      </w:r>
      <w:r w:rsidRPr="000938A7">
        <w:rPr>
          <w:rFonts w:ascii="Arial" w:hAnsi="Arial" w:cs="Arial"/>
          <w:sz w:val="22"/>
          <w:szCs w:val="22"/>
        </w:rPr>
        <w:t>,</w:t>
      </w:r>
      <w:r w:rsidR="00F9657E" w:rsidRPr="000938A7">
        <w:rPr>
          <w:rFonts w:ascii="Arial" w:hAnsi="Arial" w:cs="Arial"/>
          <w:sz w:val="22"/>
          <w:szCs w:val="22"/>
        </w:rPr>
        <w:t xml:space="preserve"> ends in 2016.</w:t>
      </w:r>
    </w:p>
    <w:p w:rsidR="000938A7" w:rsidRPr="000938A7" w:rsidRDefault="000938A7" w:rsidP="000938A7">
      <w:pPr>
        <w:ind w:left="502"/>
        <w:rPr>
          <w:rFonts w:cs="Arial"/>
        </w:rPr>
      </w:pPr>
    </w:p>
    <w:p w:rsidR="00B04808" w:rsidRPr="00B04808" w:rsidRDefault="00C10245" w:rsidP="00F70F05">
      <w:pPr>
        <w:numPr>
          <w:ilvl w:val="0"/>
          <w:numId w:val="3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estimate is based on the following. First, 50% of calls made to the contact centre </w:t>
      </w:r>
      <w:r w:rsidR="000938A7">
        <w:rPr>
          <w:rFonts w:ascii="Arial" w:hAnsi="Arial" w:cs="Arial"/>
          <w:sz w:val="22"/>
          <w:szCs w:val="22"/>
        </w:rPr>
        <w:t>are to replace a card</w:t>
      </w:r>
      <w:r>
        <w:rPr>
          <w:rFonts w:ascii="Arial" w:hAnsi="Arial" w:cs="Arial"/>
          <w:sz w:val="22"/>
          <w:szCs w:val="22"/>
        </w:rPr>
        <w:t>. Second, officers assume that 50% of</w:t>
      </w:r>
      <w:r w:rsidR="000938A7">
        <w:rPr>
          <w:rFonts w:ascii="Arial" w:hAnsi="Arial" w:cs="Arial"/>
          <w:sz w:val="22"/>
          <w:szCs w:val="22"/>
        </w:rPr>
        <w:t xml:space="preserve"> these</w:t>
      </w:r>
      <w:r>
        <w:rPr>
          <w:rFonts w:ascii="Arial" w:hAnsi="Arial" w:cs="Arial"/>
          <w:sz w:val="22"/>
          <w:szCs w:val="22"/>
        </w:rPr>
        <w:t xml:space="preserve"> callers will switch to on-line replacements once the facility is introduced, leading to a 25% reduction in overall call volumes. </w:t>
      </w:r>
      <w:r w:rsidR="00F509F9">
        <w:rPr>
          <w:rFonts w:ascii="Arial" w:hAnsi="Arial" w:cs="Arial"/>
          <w:sz w:val="22"/>
          <w:szCs w:val="22"/>
        </w:rPr>
        <w:t>Given the experience of introducing on-line applications, officers consider these assumptions to be realistic.</w:t>
      </w:r>
      <w:r w:rsidR="00F9657E">
        <w:rPr>
          <w:rFonts w:ascii="Arial" w:hAnsi="Arial" w:cs="Arial"/>
          <w:sz w:val="22"/>
          <w:szCs w:val="22"/>
        </w:rPr>
        <w:t xml:space="preserve"> Should take up of the online service </w:t>
      </w:r>
      <w:r w:rsidR="000938A7">
        <w:rPr>
          <w:rFonts w:ascii="Arial" w:hAnsi="Arial" w:cs="Arial"/>
          <w:sz w:val="22"/>
          <w:szCs w:val="22"/>
        </w:rPr>
        <w:t xml:space="preserve">be </w:t>
      </w:r>
      <w:r w:rsidR="00F9657E">
        <w:rPr>
          <w:rFonts w:ascii="Arial" w:hAnsi="Arial" w:cs="Arial"/>
          <w:sz w:val="22"/>
          <w:szCs w:val="22"/>
        </w:rPr>
        <w:t xml:space="preserve">higher, there is the potential to derive </w:t>
      </w:r>
      <w:r w:rsidR="000938A7">
        <w:rPr>
          <w:rFonts w:ascii="Arial" w:hAnsi="Arial" w:cs="Arial"/>
          <w:sz w:val="22"/>
          <w:szCs w:val="22"/>
        </w:rPr>
        <w:t xml:space="preserve">further future </w:t>
      </w:r>
      <w:r w:rsidR="00F9657E">
        <w:rPr>
          <w:rFonts w:ascii="Arial" w:hAnsi="Arial" w:cs="Arial"/>
          <w:sz w:val="22"/>
          <w:szCs w:val="22"/>
        </w:rPr>
        <w:t>savings.</w:t>
      </w:r>
    </w:p>
    <w:p w:rsidR="00DE4CFF" w:rsidRDefault="00DE4CFF" w:rsidP="00DE4CFF"/>
    <w:p w:rsidR="0056610F" w:rsidRDefault="0056610F" w:rsidP="0056610F">
      <w:pPr>
        <w:ind w:left="426"/>
        <w:rPr>
          <w:rFonts w:ascii="Arial" w:hAnsi="Arial" w:cs="Arial"/>
          <w:sz w:val="22"/>
          <w:szCs w:val="22"/>
        </w:rPr>
      </w:pPr>
    </w:p>
    <w:p w:rsidR="00C454DC" w:rsidRDefault="00C454DC" w:rsidP="00AF007D">
      <w:pPr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Financial</w:t>
      </w:r>
      <w:r w:rsidRPr="00F92A2B">
        <w:rPr>
          <w:rFonts w:ascii="Arial" w:hAnsi="Arial" w:cs="Arial"/>
          <w:b/>
          <w:bCs/>
          <w:sz w:val="22"/>
          <w:szCs w:val="22"/>
        </w:rPr>
        <w:t xml:space="preserve"> Implications for London Councils</w:t>
      </w:r>
    </w:p>
    <w:p w:rsidR="006B2C26" w:rsidRDefault="006B2C26" w:rsidP="006B2C26">
      <w:pPr>
        <w:ind w:left="426"/>
        <w:rPr>
          <w:rFonts w:ascii="Arial" w:hAnsi="Arial" w:cs="Arial"/>
          <w:b/>
          <w:bCs/>
          <w:sz w:val="22"/>
          <w:szCs w:val="22"/>
        </w:rPr>
      </w:pPr>
    </w:p>
    <w:p w:rsidR="006B2C26" w:rsidRDefault="006B2C26" w:rsidP="008D1C9A">
      <w:p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£362,000 of t</w:t>
      </w:r>
      <w:r w:rsidRPr="00F70F05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total £413,000 forecast cost</w:t>
      </w:r>
      <w:r w:rsidRPr="00F70F05">
        <w:rPr>
          <w:rFonts w:ascii="Arial" w:hAnsi="Arial" w:cs="Arial"/>
          <w:sz w:val="22"/>
          <w:szCs w:val="22"/>
        </w:rPr>
        <w:t xml:space="preserve"> of the 2016 re-issue </w:t>
      </w:r>
      <w:r>
        <w:rPr>
          <w:rFonts w:ascii="Arial" w:hAnsi="Arial" w:cs="Arial"/>
          <w:sz w:val="22"/>
          <w:szCs w:val="22"/>
        </w:rPr>
        <w:t xml:space="preserve">will be met from the 2015/16 Freedom Pass budget of £1.518 million. The estimated remainder of £51,000 will be met from the 2016/17 budget, of £1.518 million also. The total final cost </w:t>
      </w:r>
      <w:r w:rsidRPr="00F70F05">
        <w:rPr>
          <w:rFonts w:ascii="Arial" w:hAnsi="Arial" w:cs="Arial"/>
          <w:sz w:val="22"/>
          <w:szCs w:val="22"/>
        </w:rPr>
        <w:t xml:space="preserve">for the re-issue </w:t>
      </w:r>
      <w:r>
        <w:rPr>
          <w:rFonts w:ascii="Arial" w:hAnsi="Arial" w:cs="Arial"/>
          <w:sz w:val="22"/>
          <w:szCs w:val="22"/>
        </w:rPr>
        <w:t>is therefore expected to be well within the £500,000 approved estimate.</w:t>
      </w:r>
    </w:p>
    <w:p w:rsidR="006B2C26" w:rsidRDefault="006B2C26" w:rsidP="008D1C9A">
      <w:pPr>
        <w:ind w:left="426"/>
        <w:rPr>
          <w:rFonts w:ascii="Arial" w:hAnsi="Arial" w:cs="Arial"/>
          <w:bCs/>
          <w:sz w:val="22"/>
          <w:szCs w:val="22"/>
        </w:rPr>
      </w:pPr>
    </w:p>
    <w:p w:rsidR="00A066E7" w:rsidRDefault="000938A7" w:rsidP="008D1C9A">
      <w:pPr>
        <w:ind w:left="426"/>
        <w:rPr>
          <w:rFonts w:ascii="Arial" w:hAnsi="Arial" w:cs="Arial"/>
          <w:bCs/>
          <w:sz w:val="22"/>
          <w:szCs w:val="22"/>
        </w:rPr>
      </w:pPr>
      <w:r w:rsidRPr="000938A7">
        <w:rPr>
          <w:rFonts w:ascii="Arial" w:hAnsi="Arial" w:cs="Arial"/>
          <w:bCs/>
          <w:sz w:val="22"/>
          <w:szCs w:val="22"/>
        </w:rPr>
        <w:t xml:space="preserve">The estimated £56,000 development and implementation costs </w:t>
      </w:r>
      <w:r>
        <w:rPr>
          <w:rFonts w:ascii="Arial" w:hAnsi="Arial" w:cs="Arial"/>
          <w:bCs/>
          <w:sz w:val="22"/>
          <w:szCs w:val="22"/>
        </w:rPr>
        <w:t>for the new on-line payment facility can</w:t>
      </w:r>
      <w:r w:rsidRPr="000938A7">
        <w:rPr>
          <w:rFonts w:ascii="Arial" w:hAnsi="Arial" w:cs="Arial"/>
          <w:bCs/>
          <w:sz w:val="22"/>
          <w:szCs w:val="22"/>
        </w:rPr>
        <w:t xml:space="preserve"> be met from the 2016/17 survey and reissue budget of £1.518 million</w:t>
      </w:r>
      <w:r>
        <w:rPr>
          <w:rFonts w:ascii="Arial" w:hAnsi="Arial" w:cs="Arial"/>
          <w:bCs/>
          <w:sz w:val="22"/>
          <w:szCs w:val="22"/>
        </w:rPr>
        <w:t>. As explained in paragraph</w:t>
      </w:r>
      <w:r w:rsidR="00E374C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19 above, this improvement is estimated to pay for itself before the end of the current support service contract.</w:t>
      </w:r>
    </w:p>
    <w:p w:rsidR="00BA307E" w:rsidRDefault="00BA307E" w:rsidP="008D1C9A">
      <w:pPr>
        <w:ind w:left="426"/>
        <w:rPr>
          <w:rFonts w:ascii="Arial" w:hAnsi="Arial" w:cs="Arial"/>
          <w:bCs/>
          <w:sz w:val="22"/>
          <w:szCs w:val="22"/>
        </w:rPr>
      </w:pPr>
    </w:p>
    <w:p w:rsidR="00BA307E" w:rsidRDefault="00BA307E" w:rsidP="008D1C9A">
      <w:pPr>
        <w:ind w:left="426"/>
        <w:rPr>
          <w:rFonts w:ascii="Arial" w:hAnsi="Arial" w:cs="Arial"/>
          <w:bCs/>
          <w:sz w:val="22"/>
          <w:szCs w:val="22"/>
        </w:rPr>
      </w:pPr>
      <w:r w:rsidRPr="00BA307E">
        <w:rPr>
          <w:rFonts w:ascii="Arial" w:hAnsi="Arial" w:cs="Arial"/>
          <w:bCs/>
          <w:sz w:val="22"/>
          <w:szCs w:val="22"/>
        </w:rPr>
        <w:t>Based on the supporting information provided in respect of this report, the Director of Corporate Resources concurs with the financial implications highlighted above</w:t>
      </w:r>
      <w:r>
        <w:rPr>
          <w:rFonts w:ascii="Arial" w:hAnsi="Arial" w:cs="Arial"/>
          <w:bCs/>
          <w:sz w:val="22"/>
          <w:szCs w:val="22"/>
        </w:rPr>
        <w:t>.</w:t>
      </w:r>
    </w:p>
    <w:p w:rsidR="000938A7" w:rsidRPr="000938A7" w:rsidRDefault="000938A7" w:rsidP="008D1C9A">
      <w:pPr>
        <w:ind w:left="426"/>
        <w:rPr>
          <w:rFonts w:ascii="Arial" w:hAnsi="Arial" w:cs="Arial"/>
          <w:bCs/>
          <w:sz w:val="22"/>
          <w:szCs w:val="22"/>
        </w:rPr>
      </w:pPr>
    </w:p>
    <w:p w:rsidR="00A066E7" w:rsidRPr="000938A7" w:rsidRDefault="00A066E7" w:rsidP="00A066E7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0938A7">
        <w:rPr>
          <w:rFonts w:ascii="Arial" w:hAnsi="Arial" w:cs="Arial"/>
          <w:b/>
          <w:bCs/>
          <w:sz w:val="22"/>
          <w:szCs w:val="22"/>
        </w:rPr>
        <w:t>Equalities Implications for London Councils</w:t>
      </w:r>
    </w:p>
    <w:p w:rsidR="00A066E7" w:rsidRPr="00F92A2B" w:rsidRDefault="00A066E7" w:rsidP="00A066E7">
      <w:pPr>
        <w:rPr>
          <w:rFonts w:ascii="Arial" w:hAnsi="Arial" w:cs="Arial"/>
          <w:b/>
          <w:bCs/>
          <w:sz w:val="22"/>
          <w:szCs w:val="22"/>
        </w:rPr>
      </w:pPr>
    </w:p>
    <w:p w:rsidR="008B073A" w:rsidRPr="00AE4856" w:rsidRDefault="00A066E7" w:rsidP="00AE4856">
      <w:pPr>
        <w:ind w:left="426"/>
        <w:rPr>
          <w:rFonts w:ascii="Arial" w:hAnsi="Arial" w:cs="Arial"/>
          <w:bCs/>
          <w:sz w:val="22"/>
          <w:szCs w:val="22"/>
        </w:rPr>
      </w:pPr>
      <w:r w:rsidRPr="00A066E7">
        <w:rPr>
          <w:rFonts w:ascii="Arial" w:hAnsi="Arial" w:cs="Arial"/>
          <w:bCs/>
          <w:sz w:val="22"/>
          <w:szCs w:val="22"/>
        </w:rPr>
        <w:t>None</w:t>
      </w:r>
    </w:p>
    <w:p w:rsidR="00AF371B" w:rsidRDefault="00AF371B" w:rsidP="00045257">
      <w:pPr>
        <w:ind w:left="426"/>
        <w:rPr>
          <w:rFonts w:ascii="Arial" w:hAnsi="Arial" w:cs="Arial"/>
          <w:b/>
          <w:sz w:val="22"/>
          <w:szCs w:val="22"/>
        </w:rPr>
      </w:pPr>
    </w:p>
    <w:p w:rsidR="00491342" w:rsidRPr="00F92A2B" w:rsidRDefault="00491342" w:rsidP="008D1C9A">
      <w:pPr>
        <w:ind w:firstLine="426"/>
        <w:rPr>
          <w:rFonts w:ascii="Arial" w:hAnsi="Arial" w:cs="Arial"/>
          <w:sz w:val="22"/>
          <w:szCs w:val="22"/>
        </w:rPr>
      </w:pPr>
      <w:r w:rsidRPr="00F92A2B">
        <w:rPr>
          <w:rFonts w:ascii="Arial" w:hAnsi="Arial" w:cs="Arial"/>
          <w:b/>
          <w:sz w:val="22"/>
          <w:szCs w:val="22"/>
        </w:rPr>
        <w:t>Recommendations</w:t>
      </w:r>
    </w:p>
    <w:p w:rsidR="00491342" w:rsidRPr="00F92A2B" w:rsidRDefault="00491342" w:rsidP="008D1C9A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2F2B96" w:rsidRPr="002F2B96" w:rsidRDefault="002F2B96" w:rsidP="002F2B96">
      <w:pPr>
        <w:tabs>
          <w:tab w:val="num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F2B96">
        <w:rPr>
          <w:rFonts w:ascii="Arial" w:hAnsi="Arial" w:cs="Arial"/>
          <w:sz w:val="22"/>
          <w:szCs w:val="22"/>
        </w:rPr>
        <w:t>Members are asked to:</w:t>
      </w:r>
    </w:p>
    <w:p w:rsidR="002F2B96" w:rsidRPr="002F2B96" w:rsidRDefault="002F2B96" w:rsidP="002F2B96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2F2B96" w:rsidRDefault="002F2B96" w:rsidP="002F2B96">
      <w:pPr>
        <w:tabs>
          <w:tab w:val="num" w:pos="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F2B96">
        <w:rPr>
          <w:rFonts w:ascii="Arial" w:hAnsi="Arial" w:cs="Arial"/>
          <w:sz w:val="22"/>
          <w:szCs w:val="22"/>
        </w:rPr>
        <w:t xml:space="preserve">Note the progress update for the Freedom Pass scheme, including the 2016 re-issue and </w:t>
      </w:r>
      <w:r>
        <w:rPr>
          <w:rFonts w:ascii="Arial" w:hAnsi="Arial" w:cs="Arial"/>
          <w:sz w:val="22"/>
          <w:szCs w:val="22"/>
        </w:rPr>
        <w:tab/>
      </w:r>
      <w:r w:rsidRPr="002F2B96">
        <w:rPr>
          <w:rFonts w:ascii="Arial" w:hAnsi="Arial" w:cs="Arial"/>
          <w:sz w:val="22"/>
          <w:szCs w:val="22"/>
        </w:rPr>
        <w:t>new customer service improvements.</w:t>
      </w:r>
    </w:p>
    <w:p w:rsidR="002F2B96" w:rsidRDefault="002F2B96" w:rsidP="002F2B96">
      <w:pPr>
        <w:tabs>
          <w:tab w:val="num" w:pos="360"/>
        </w:tabs>
        <w:rPr>
          <w:rFonts w:ascii="Arial" w:hAnsi="Arial" w:cs="Arial"/>
          <w:b/>
          <w:bCs/>
          <w:sz w:val="22"/>
          <w:szCs w:val="22"/>
        </w:rPr>
      </w:pPr>
    </w:p>
    <w:p w:rsidR="002F2B96" w:rsidRDefault="002F2B96" w:rsidP="002F2B96">
      <w:pPr>
        <w:tabs>
          <w:tab w:val="num" w:pos="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E51E00" w:rsidRPr="00F92A2B">
        <w:rPr>
          <w:rFonts w:ascii="Arial" w:hAnsi="Arial" w:cs="Arial"/>
          <w:b/>
          <w:bCs/>
          <w:sz w:val="22"/>
          <w:szCs w:val="22"/>
        </w:rPr>
        <w:t>Background Papers</w:t>
      </w:r>
    </w:p>
    <w:p w:rsidR="002F2B96" w:rsidRDefault="002F2B96" w:rsidP="002F2B96">
      <w:pPr>
        <w:tabs>
          <w:tab w:val="num" w:pos="360"/>
        </w:tabs>
        <w:rPr>
          <w:rFonts w:ascii="Arial" w:hAnsi="Arial" w:cs="Arial"/>
          <w:b/>
          <w:bCs/>
          <w:sz w:val="22"/>
          <w:szCs w:val="22"/>
        </w:rPr>
      </w:pPr>
    </w:p>
    <w:p w:rsidR="003271CB" w:rsidRPr="002F2B96" w:rsidRDefault="002F2B96" w:rsidP="002F2B96">
      <w:pPr>
        <w:tabs>
          <w:tab w:val="num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271CB" w:rsidRPr="002F2B96">
        <w:rPr>
          <w:rFonts w:ascii="Arial" w:hAnsi="Arial" w:cs="Arial"/>
          <w:sz w:val="22"/>
          <w:szCs w:val="22"/>
        </w:rPr>
        <w:t xml:space="preserve">TEC – Freedom Pass Progress Report – 23 March 2016 (Item 10) </w:t>
      </w:r>
    </w:p>
    <w:p w:rsidR="00CA4AF3" w:rsidRDefault="00CA4AF3" w:rsidP="0017396B">
      <w:pPr>
        <w:pStyle w:val="algHeading2"/>
        <w:sectPr w:rsidR="00CA4AF3" w:rsidSect="001B71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440" w:right="1021" w:bottom="1440" w:left="1418" w:header="890" w:footer="397" w:gutter="0"/>
          <w:cols w:space="720"/>
          <w:titlePg/>
        </w:sectPr>
      </w:pPr>
    </w:p>
    <w:p w:rsidR="001253D5" w:rsidRPr="00CA4AF3" w:rsidRDefault="00CA4AF3" w:rsidP="0017396B">
      <w:pPr>
        <w:pStyle w:val="algHeading2"/>
      </w:pPr>
      <w:r w:rsidRPr="00CA4AF3">
        <w:t xml:space="preserve">Appendix 1. </w:t>
      </w:r>
    </w:p>
    <w:p w:rsidR="00CA4AF3" w:rsidRDefault="00CA4AF3" w:rsidP="0017396B">
      <w:pPr>
        <w:pStyle w:val="algHeading2"/>
      </w:pPr>
    </w:p>
    <w:p w:rsidR="00CA4AF3" w:rsidRDefault="0017396B" w:rsidP="0017396B">
      <w:pPr>
        <w:pStyle w:val="algHeading2"/>
        <w:sectPr w:rsidR="00CA4AF3" w:rsidSect="00CA4AF3">
          <w:pgSz w:w="16840" w:h="11907" w:orient="landscape" w:code="9"/>
          <w:pgMar w:top="1418" w:right="1440" w:bottom="1021" w:left="1440" w:header="890" w:footer="397" w:gutter="0"/>
          <w:cols w:space="720"/>
          <w:titlePg/>
          <w:docGrid w:linePitch="326"/>
        </w:sectPr>
      </w:pPr>
      <w:r w:rsidRPr="0017396B">
        <w:rPr>
          <w:lang w:val="en-GB" w:eastAsia="en-GB"/>
        </w:rPr>
        <w:drawing>
          <wp:inline distT="0" distB="0" distL="0" distR="0" wp14:anchorId="4814AE15" wp14:editId="5C672774">
            <wp:extent cx="9814284" cy="407237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249" cy="407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F3" w:rsidRPr="00CA4AF3" w:rsidRDefault="00CA4AF3" w:rsidP="0017396B">
      <w:pPr>
        <w:pStyle w:val="algHeading2"/>
      </w:pPr>
      <w:r w:rsidRPr="00CA4AF3">
        <w:t>Appendix 2. Renewal Borough Renewal Rates</w:t>
      </w:r>
    </w:p>
    <w:p w:rsidR="00CA4AF3" w:rsidRPr="00CA4AF3" w:rsidRDefault="00CA4AF3" w:rsidP="0017396B">
      <w:pPr>
        <w:pStyle w:val="alg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A5674A" w:rsidRPr="00CA4AF3" w:rsidTr="00CA4AF3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Borough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lang w:eastAsia="en-GB"/>
              </w:rPr>
              <w:t>Total % Passes Renewed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Number of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Older Person </w:t>
            </w:r>
            <w:r w:rsidRPr="00E97CE9">
              <w:rPr>
                <w:rFonts w:ascii="Calibri" w:hAnsi="Calibri"/>
                <w:b/>
                <w:bCs/>
                <w:color w:val="000000"/>
                <w:lang w:eastAsia="en-GB"/>
              </w:rPr>
              <w:t>Passes Expir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ed in</w:t>
            </w:r>
            <w:r w:rsidRPr="00E97CE9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2016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Havering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87.75%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4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703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Camden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87.70%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4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260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Bexley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87.25%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4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463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Bromley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85.70%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6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484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Richmond upon Thames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85.09%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4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212</w:t>
            </w:r>
          </w:p>
        </w:tc>
      </w:tr>
      <w:tr w:rsidR="00A5674A" w:rsidRPr="00CA4AF3" w:rsidTr="00CA4AF3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Hillingdon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84.84%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4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763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Harrow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84.06%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5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739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Barnet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83.69%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7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301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Redbridge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83.60%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4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982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Enfield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83.47%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5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306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Croydon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82.94%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6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648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Kingston upon Thames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82.61%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3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054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Barking &amp; Dagenham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82.58%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2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371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Sutton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82.02%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3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577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Greenwich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81.82%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4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048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Hounslow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81.32%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4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481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Merton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81.17%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3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516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Islington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81.03%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3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115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City of London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81.02%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216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Hammersmith and Fulham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80.92%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2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825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Ealing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80.77%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6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090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proofErr w:type="spellStart"/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Wandsworth</w:t>
            </w:r>
            <w:proofErr w:type="spellEnd"/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80.77%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4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332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Lewisham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79.93%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3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901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Brent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79.30%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5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455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Waltham Forest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79.13%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4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053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Southwark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79.01%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3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806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Kensington and Chelsea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78.94%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3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708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Lambeth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78.92%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4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046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Hackney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78.63%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3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061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Haringey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78.49%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3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980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Tower Hamlets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76.20%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2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710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Newham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75.71%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3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800</w:t>
            </w:r>
          </w:p>
        </w:tc>
      </w:tr>
      <w:tr w:rsidR="00A5674A" w:rsidRPr="00CA4AF3" w:rsidTr="007B5B6F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City of Westminster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74.99%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E97CE9">
              <w:rPr>
                <w:rFonts w:ascii="Calibri" w:hAnsi="Calibri"/>
                <w:color w:val="000000"/>
                <w:lang w:eastAsia="en-GB"/>
              </w:rPr>
              <w:t>4</w:t>
            </w:r>
            <w:r>
              <w:rPr>
                <w:rFonts w:ascii="Calibri" w:hAnsi="Calibri"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color w:val="000000"/>
                <w:lang w:eastAsia="en-GB"/>
              </w:rPr>
              <w:t>511</w:t>
            </w:r>
          </w:p>
        </w:tc>
      </w:tr>
      <w:tr w:rsidR="00A5674A" w:rsidRPr="00CA4AF3" w:rsidTr="00CA4AF3">
        <w:tc>
          <w:tcPr>
            <w:tcW w:w="3228" w:type="dxa"/>
            <w:vAlign w:val="bottom"/>
          </w:tcPr>
          <w:p w:rsidR="00A5674A" w:rsidRPr="00E97CE9" w:rsidRDefault="00A5674A" w:rsidP="007B5B6F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Total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lang w:eastAsia="en-GB"/>
              </w:rPr>
              <w:t>81.88%</w:t>
            </w:r>
          </w:p>
        </w:tc>
        <w:tc>
          <w:tcPr>
            <w:tcW w:w="3228" w:type="dxa"/>
            <w:vAlign w:val="bottom"/>
          </w:tcPr>
          <w:p w:rsidR="00A5674A" w:rsidRPr="00E97CE9" w:rsidRDefault="00A5674A" w:rsidP="007B5B6F">
            <w:pPr>
              <w:jc w:val="right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E97CE9">
              <w:rPr>
                <w:rFonts w:ascii="Calibri" w:hAnsi="Calibri"/>
                <w:b/>
                <w:bCs/>
                <w:color w:val="000000"/>
                <w:lang w:eastAsia="en-GB"/>
              </w:rPr>
              <w:t>139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,</w:t>
            </w:r>
            <w:r w:rsidRPr="00E97CE9">
              <w:rPr>
                <w:rFonts w:ascii="Calibri" w:hAnsi="Calibri"/>
                <w:b/>
                <w:bCs/>
                <w:color w:val="000000"/>
                <w:lang w:eastAsia="en-GB"/>
              </w:rPr>
              <w:t>517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*</w:t>
            </w:r>
          </w:p>
        </w:tc>
      </w:tr>
    </w:tbl>
    <w:p w:rsidR="00A5674A" w:rsidRPr="00B052B0" w:rsidRDefault="00A5674A" w:rsidP="00A5674A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E97CE9">
        <w:rPr>
          <w:rFonts w:ascii="Arial" w:hAnsi="Arial" w:cs="Arial"/>
        </w:rPr>
        <w:t xml:space="preserve"> </w:t>
      </w:r>
      <w:r w:rsidRPr="00D231C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total number of cards expiring is greater than the total number of letters posted because this table includes cards renewed in the </w:t>
      </w:r>
      <w:r w:rsidRPr="00D231CD">
        <w:rPr>
          <w:rFonts w:ascii="Arial" w:hAnsi="Arial" w:cs="Arial"/>
        </w:rPr>
        <w:t xml:space="preserve">London Borough of Camden </w:t>
      </w:r>
      <w:r>
        <w:rPr>
          <w:rFonts w:ascii="Arial" w:hAnsi="Arial" w:cs="Arial"/>
        </w:rPr>
        <w:t xml:space="preserve">who did not write to pass holders but </w:t>
      </w:r>
      <w:r w:rsidRPr="00D231CD">
        <w:rPr>
          <w:rFonts w:ascii="Arial" w:hAnsi="Arial" w:cs="Arial"/>
        </w:rPr>
        <w:t>undertook internal verif</w:t>
      </w:r>
      <w:r>
        <w:rPr>
          <w:rFonts w:ascii="Arial" w:hAnsi="Arial" w:cs="Arial"/>
        </w:rPr>
        <w:t xml:space="preserve">ication of residency details. </w:t>
      </w:r>
    </w:p>
    <w:p w:rsidR="00CA4AF3" w:rsidRPr="00CA4AF3" w:rsidRDefault="00CA4AF3" w:rsidP="0017396B">
      <w:pPr>
        <w:pStyle w:val="algHeading2"/>
      </w:pPr>
    </w:p>
    <w:sectPr w:rsidR="00CA4AF3" w:rsidRPr="00CA4AF3" w:rsidSect="00CA4AF3">
      <w:pgSz w:w="11907" w:h="16840" w:code="9"/>
      <w:pgMar w:top="1440" w:right="1021" w:bottom="1440" w:left="1418" w:header="89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96" w:rsidRDefault="002F2B96">
      <w:r>
        <w:separator/>
      </w:r>
    </w:p>
  </w:endnote>
  <w:endnote w:type="continuationSeparator" w:id="0">
    <w:p w:rsidR="002F2B96" w:rsidRDefault="002F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iroshig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fficina Sans ITC T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roshige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undryFormSans-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Form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5E" w:rsidRDefault="00286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96" w:rsidRDefault="002F2B96" w:rsidP="00AC60CE">
    <w:pPr>
      <w:pStyle w:val="Footer"/>
      <w:rPr>
        <w:rFonts w:ascii="Arial" w:hAnsi="Arial" w:cs="Arial"/>
        <w:b/>
        <w:sz w:val="16"/>
        <w:szCs w:val="16"/>
      </w:rPr>
    </w:pPr>
    <w:r w:rsidRPr="00AC60CE">
      <w:rPr>
        <w:rFonts w:ascii="Arial" w:hAnsi="Arial" w:cs="Arial"/>
        <w:b/>
        <w:bCs/>
        <w:sz w:val="16"/>
        <w:szCs w:val="16"/>
      </w:rPr>
      <w:t>Freedom Pass</w:t>
    </w:r>
    <w:r>
      <w:rPr>
        <w:rFonts w:ascii="Arial" w:hAnsi="Arial" w:cs="Arial"/>
        <w:b/>
        <w:bCs/>
        <w:sz w:val="16"/>
        <w:szCs w:val="16"/>
      </w:rPr>
      <w:t xml:space="preserve"> Progress Report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C60CE">
      <w:rPr>
        <w:rFonts w:ascii="Arial" w:hAnsi="Arial" w:cs="Arial"/>
        <w:b/>
        <w:sz w:val="16"/>
        <w:szCs w:val="16"/>
      </w:rPr>
      <w:t>London Councils</w:t>
    </w:r>
    <w:r>
      <w:rPr>
        <w:rFonts w:ascii="Arial" w:hAnsi="Arial" w:cs="Arial"/>
        <w:b/>
        <w:sz w:val="16"/>
        <w:szCs w:val="16"/>
      </w:rPr>
      <w:t xml:space="preserve">’ TEC – </w:t>
    </w:r>
    <w:r w:rsidR="00D12827">
      <w:rPr>
        <w:rFonts w:ascii="Arial" w:hAnsi="Arial" w:cs="Arial"/>
        <w:b/>
        <w:sz w:val="16"/>
        <w:szCs w:val="16"/>
      </w:rPr>
      <w:t xml:space="preserve">16 June </w:t>
    </w:r>
    <w:r w:rsidR="00D12827">
      <w:rPr>
        <w:rFonts w:ascii="Arial" w:hAnsi="Arial" w:cs="Arial"/>
        <w:b/>
        <w:sz w:val="16"/>
        <w:szCs w:val="16"/>
      </w:rPr>
      <w:t>2016</w:t>
    </w:r>
    <w:bookmarkStart w:id="0" w:name="_GoBack"/>
    <w:bookmarkEnd w:id="0"/>
  </w:p>
  <w:p w:rsidR="002F2B96" w:rsidRPr="00AC60CE" w:rsidRDefault="002F2B96" w:rsidP="00AC60CE">
    <w:pPr>
      <w:pStyle w:val="Footer"/>
      <w:jc w:val="center"/>
    </w:pPr>
    <w:r>
      <w:rPr>
        <w:rFonts w:ascii="Arial" w:hAnsi="Arial" w:cs="Arial"/>
        <w:b/>
        <w:sz w:val="16"/>
        <w:szCs w:val="16"/>
      </w:rPr>
      <w:t>Agenda Item 1</w:t>
    </w:r>
    <w:r w:rsidR="0028635E">
      <w:rPr>
        <w:rFonts w:ascii="Arial" w:hAnsi="Arial" w:cs="Arial"/>
        <w:b/>
        <w:sz w:val="16"/>
        <w:szCs w:val="16"/>
      </w:rPr>
      <w:t>4</w:t>
    </w:r>
    <w:r>
      <w:rPr>
        <w:rFonts w:ascii="Arial" w:hAnsi="Arial" w:cs="Arial"/>
        <w:b/>
        <w:sz w:val="16"/>
        <w:szCs w:val="16"/>
      </w:rPr>
      <w:t xml:space="preserve">, Page </w:t>
    </w:r>
    <w:r w:rsidRPr="00AC60CE">
      <w:rPr>
        <w:rFonts w:ascii="Arial" w:hAnsi="Arial" w:cs="Arial"/>
        <w:b/>
        <w:sz w:val="16"/>
        <w:szCs w:val="16"/>
      </w:rPr>
      <w:fldChar w:fldCharType="begin"/>
    </w:r>
    <w:r w:rsidRPr="00AC60CE">
      <w:rPr>
        <w:rFonts w:ascii="Arial" w:hAnsi="Arial" w:cs="Arial"/>
        <w:b/>
        <w:sz w:val="16"/>
        <w:szCs w:val="16"/>
      </w:rPr>
      <w:instrText xml:space="preserve"> PAGE   \* MERGEFORMAT </w:instrText>
    </w:r>
    <w:r w:rsidRPr="00AC60CE">
      <w:rPr>
        <w:rFonts w:ascii="Arial" w:hAnsi="Arial" w:cs="Arial"/>
        <w:b/>
        <w:sz w:val="16"/>
        <w:szCs w:val="16"/>
      </w:rPr>
      <w:fldChar w:fldCharType="separate"/>
    </w:r>
    <w:r w:rsidR="00D12827">
      <w:rPr>
        <w:rFonts w:ascii="Arial" w:hAnsi="Arial" w:cs="Arial"/>
        <w:b/>
        <w:noProof/>
        <w:sz w:val="16"/>
        <w:szCs w:val="16"/>
      </w:rPr>
      <w:t>2</w:t>
    </w:r>
    <w:r w:rsidRPr="00AC60CE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96" w:rsidRPr="003C182F" w:rsidRDefault="002F2B96" w:rsidP="001B7175">
    <w:pPr>
      <w:pStyle w:val="Footer"/>
      <w:rPr>
        <w:rFonts w:ascii="Arial" w:hAnsi="Arial" w:cs="Arial"/>
        <w:b/>
        <w:sz w:val="16"/>
        <w:szCs w:val="16"/>
        <w:highlight w:val="yellow"/>
      </w:rPr>
    </w:pPr>
    <w:r w:rsidRPr="00AC60CE">
      <w:rPr>
        <w:rFonts w:ascii="Arial" w:hAnsi="Arial" w:cs="Arial"/>
        <w:b/>
        <w:bCs/>
        <w:sz w:val="16"/>
        <w:szCs w:val="16"/>
      </w:rPr>
      <w:t xml:space="preserve">Freedom Pass </w:t>
    </w:r>
    <w:r>
      <w:rPr>
        <w:rFonts w:ascii="Arial" w:hAnsi="Arial" w:cs="Arial"/>
        <w:b/>
        <w:bCs/>
        <w:sz w:val="16"/>
        <w:szCs w:val="16"/>
      </w:rPr>
      <w:t>Progress Report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43756E">
      <w:rPr>
        <w:rFonts w:ascii="Arial" w:hAnsi="Arial" w:cs="Arial"/>
        <w:b/>
        <w:sz w:val="16"/>
        <w:szCs w:val="16"/>
      </w:rPr>
      <w:t xml:space="preserve">London Councils’ TEC – </w:t>
    </w:r>
    <w:r>
      <w:rPr>
        <w:rFonts w:ascii="Arial" w:hAnsi="Arial" w:cs="Arial"/>
        <w:b/>
        <w:sz w:val="16"/>
        <w:szCs w:val="16"/>
      </w:rPr>
      <w:t>1</w:t>
    </w:r>
    <w:r w:rsidR="0028635E">
      <w:rPr>
        <w:rFonts w:ascii="Arial" w:hAnsi="Arial" w:cs="Arial"/>
        <w:b/>
        <w:sz w:val="16"/>
        <w:szCs w:val="16"/>
      </w:rPr>
      <w:t>6</w:t>
    </w:r>
    <w:r>
      <w:rPr>
        <w:rFonts w:ascii="Arial" w:hAnsi="Arial" w:cs="Arial"/>
        <w:b/>
        <w:sz w:val="16"/>
        <w:szCs w:val="16"/>
      </w:rPr>
      <w:t xml:space="preserve"> June 2016</w:t>
    </w:r>
  </w:p>
  <w:p w:rsidR="002F2B96" w:rsidRPr="00226893" w:rsidRDefault="002F2B96" w:rsidP="001B7175">
    <w:pPr>
      <w:pStyle w:val="Footer"/>
      <w:jc w:val="center"/>
    </w:pPr>
    <w:r w:rsidRPr="0043756E">
      <w:rPr>
        <w:rFonts w:ascii="Arial" w:hAnsi="Arial" w:cs="Arial"/>
        <w:b/>
        <w:sz w:val="16"/>
        <w:szCs w:val="16"/>
      </w:rPr>
      <w:t>Agenda Item</w:t>
    </w:r>
    <w:r w:rsidR="0028635E">
      <w:rPr>
        <w:rFonts w:ascii="Arial" w:hAnsi="Arial" w:cs="Arial"/>
        <w:b/>
        <w:sz w:val="16"/>
        <w:szCs w:val="16"/>
      </w:rPr>
      <w:t xml:space="preserve"> 14</w:t>
    </w:r>
    <w:r>
      <w:rPr>
        <w:rFonts w:ascii="Arial" w:hAnsi="Arial" w:cs="Arial"/>
        <w:b/>
        <w:sz w:val="16"/>
        <w:szCs w:val="16"/>
      </w:rPr>
      <w:t xml:space="preserve">, </w:t>
    </w:r>
    <w:r w:rsidRPr="0043756E">
      <w:rPr>
        <w:rFonts w:ascii="Arial" w:hAnsi="Arial" w:cs="Arial"/>
        <w:b/>
        <w:sz w:val="16"/>
        <w:szCs w:val="16"/>
      </w:rPr>
      <w:t xml:space="preserve">Page </w:t>
    </w:r>
    <w:r w:rsidRPr="0043756E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43756E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Pr="0043756E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D12827">
      <w:rPr>
        <w:rStyle w:val="PageNumber"/>
        <w:rFonts w:ascii="Arial" w:hAnsi="Arial" w:cs="Arial"/>
        <w:b/>
        <w:noProof/>
        <w:sz w:val="16"/>
        <w:szCs w:val="16"/>
      </w:rPr>
      <w:t>1</w:t>
    </w:r>
    <w:r w:rsidRPr="0043756E">
      <w:rPr>
        <w:rStyle w:val="PageNumber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96" w:rsidRDefault="002F2B96">
      <w:r>
        <w:separator/>
      </w:r>
    </w:p>
  </w:footnote>
  <w:footnote w:type="continuationSeparator" w:id="0">
    <w:p w:rsidR="002F2B96" w:rsidRDefault="002F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5E" w:rsidRDefault="00286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5E" w:rsidRDefault="002863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5E" w:rsidRDefault="00286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91"/>
    <w:multiLevelType w:val="hybridMultilevel"/>
    <w:tmpl w:val="693C7BD4"/>
    <w:lvl w:ilvl="0" w:tplc="9DA8AED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1B0A"/>
    <w:multiLevelType w:val="hybridMultilevel"/>
    <w:tmpl w:val="EE7CBC54"/>
    <w:name w:val="CBPNumber"/>
    <w:lvl w:ilvl="0" w:tplc="60540D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F235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D03F96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C598E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62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2E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567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64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80D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F3A56"/>
    <w:multiLevelType w:val="hybridMultilevel"/>
    <w:tmpl w:val="555049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77BEC"/>
    <w:multiLevelType w:val="hybridMultilevel"/>
    <w:tmpl w:val="CBD41B82"/>
    <w:lvl w:ilvl="0" w:tplc="7EE6E2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43233"/>
    <w:multiLevelType w:val="hybridMultilevel"/>
    <w:tmpl w:val="F4DAE5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F05A5C"/>
    <w:multiLevelType w:val="hybridMultilevel"/>
    <w:tmpl w:val="9BF8F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851AB"/>
    <w:multiLevelType w:val="hybridMultilevel"/>
    <w:tmpl w:val="8A58BD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5C723C"/>
    <w:multiLevelType w:val="hybridMultilevel"/>
    <w:tmpl w:val="EA72D6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1659D"/>
    <w:multiLevelType w:val="singleLevel"/>
    <w:tmpl w:val="3782C7BC"/>
    <w:lvl w:ilvl="0">
      <w:start w:val="1"/>
      <w:numFmt w:val="decimal"/>
      <w:pStyle w:val="ALGNumberedBody"/>
      <w:lvlText w:val="%1."/>
      <w:lvlJc w:val="left"/>
      <w:pPr>
        <w:tabs>
          <w:tab w:val="num" w:pos="927"/>
        </w:tabs>
        <w:ind w:left="425" w:firstLine="142"/>
      </w:pPr>
      <w:rPr>
        <w:rFonts w:ascii="Hiroshige" w:hAnsi="Hiroshige" w:hint="default"/>
        <w:b/>
        <w:i w:val="0"/>
        <w:sz w:val="20"/>
      </w:rPr>
    </w:lvl>
  </w:abstractNum>
  <w:abstractNum w:abstractNumId="9">
    <w:nsid w:val="27D3057E"/>
    <w:multiLevelType w:val="hybridMultilevel"/>
    <w:tmpl w:val="EA72D6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C81CD9"/>
    <w:multiLevelType w:val="hybridMultilevel"/>
    <w:tmpl w:val="1F8E1474"/>
    <w:lvl w:ilvl="0" w:tplc="9DA8AED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33251"/>
    <w:multiLevelType w:val="hybridMultilevel"/>
    <w:tmpl w:val="14A20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EDB404D"/>
    <w:multiLevelType w:val="hybridMultilevel"/>
    <w:tmpl w:val="FFFC2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01451"/>
    <w:multiLevelType w:val="hybridMultilevel"/>
    <w:tmpl w:val="1D0CB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050ED"/>
    <w:multiLevelType w:val="hybridMultilevel"/>
    <w:tmpl w:val="555049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FD69A6"/>
    <w:multiLevelType w:val="hybridMultilevel"/>
    <w:tmpl w:val="89D406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0807FB"/>
    <w:multiLevelType w:val="hybridMultilevel"/>
    <w:tmpl w:val="68EA3D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386E05"/>
    <w:multiLevelType w:val="hybridMultilevel"/>
    <w:tmpl w:val="EA72D6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02720F"/>
    <w:multiLevelType w:val="hybridMultilevel"/>
    <w:tmpl w:val="555049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FA27E6"/>
    <w:multiLevelType w:val="hybridMultilevel"/>
    <w:tmpl w:val="EA72D6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B33C58"/>
    <w:multiLevelType w:val="hybridMultilevel"/>
    <w:tmpl w:val="681A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E02CF"/>
    <w:multiLevelType w:val="hybridMultilevel"/>
    <w:tmpl w:val="555049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D20084"/>
    <w:multiLevelType w:val="hybridMultilevel"/>
    <w:tmpl w:val="FEE8C5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816D2"/>
    <w:multiLevelType w:val="hybridMultilevel"/>
    <w:tmpl w:val="A0182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7222B"/>
    <w:multiLevelType w:val="hybridMultilevel"/>
    <w:tmpl w:val="A65458B0"/>
    <w:lvl w:ilvl="0" w:tplc="9DA8AED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F0C16"/>
    <w:multiLevelType w:val="hybridMultilevel"/>
    <w:tmpl w:val="BC6E8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07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E21E3"/>
    <w:multiLevelType w:val="hybridMultilevel"/>
    <w:tmpl w:val="597C69CA"/>
    <w:lvl w:ilvl="0" w:tplc="AC7A30CE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C67BD"/>
    <w:multiLevelType w:val="hybridMultilevel"/>
    <w:tmpl w:val="0CD475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AD58CE"/>
    <w:multiLevelType w:val="hybridMultilevel"/>
    <w:tmpl w:val="693C7BD4"/>
    <w:lvl w:ilvl="0" w:tplc="9DA8AED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62390"/>
    <w:multiLevelType w:val="hybridMultilevel"/>
    <w:tmpl w:val="0772138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740CC6"/>
    <w:multiLevelType w:val="hybridMultilevel"/>
    <w:tmpl w:val="CB589EF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C955A0C"/>
    <w:multiLevelType w:val="hybridMultilevel"/>
    <w:tmpl w:val="555049E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FB36BE0"/>
    <w:multiLevelType w:val="hybridMultilevel"/>
    <w:tmpl w:val="62B07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03808"/>
    <w:multiLevelType w:val="hybridMultilevel"/>
    <w:tmpl w:val="555049E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96D12B9"/>
    <w:multiLevelType w:val="multilevel"/>
    <w:tmpl w:val="485C5564"/>
    <w:lvl w:ilvl="0">
      <w:start w:val="1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33"/>
  </w:num>
  <w:num w:numId="7">
    <w:abstractNumId w:val="31"/>
  </w:num>
  <w:num w:numId="8">
    <w:abstractNumId w:val="13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29"/>
  </w:num>
  <w:num w:numId="13">
    <w:abstractNumId w:val="22"/>
  </w:num>
  <w:num w:numId="14">
    <w:abstractNumId w:val="15"/>
  </w:num>
  <w:num w:numId="15">
    <w:abstractNumId w:val="21"/>
  </w:num>
  <w:num w:numId="16">
    <w:abstractNumId w:val="30"/>
  </w:num>
  <w:num w:numId="17">
    <w:abstractNumId w:val="27"/>
  </w:num>
  <w:num w:numId="18">
    <w:abstractNumId w:val="32"/>
  </w:num>
  <w:num w:numId="19">
    <w:abstractNumId w:val="5"/>
  </w:num>
  <w:num w:numId="20">
    <w:abstractNumId w:val="14"/>
  </w:num>
  <w:num w:numId="21">
    <w:abstractNumId w:val="18"/>
  </w:num>
  <w:num w:numId="22">
    <w:abstractNumId w:val="4"/>
  </w:num>
  <w:num w:numId="23">
    <w:abstractNumId w:val="16"/>
  </w:num>
  <w:num w:numId="24">
    <w:abstractNumId w:val="20"/>
  </w:num>
  <w:num w:numId="25">
    <w:abstractNumId w:val="2"/>
  </w:num>
  <w:num w:numId="26">
    <w:abstractNumId w:val="17"/>
  </w:num>
  <w:num w:numId="27">
    <w:abstractNumId w:val="6"/>
  </w:num>
  <w:num w:numId="28">
    <w:abstractNumId w:val="3"/>
  </w:num>
  <w:num w:numId="29">
    <w:abstractNumId w:val="9"/>
  </w:num>
  <w:num w:numId="30">
    <w:abstractNumId w:val="19"/>
  </w:num>
  <w:num w:numId="31">
    <w:abstractNumId w:val="23"/>
  </w:num>
  <w:num w:numId="32">
    <w:abstractNumId w:val="0"/>
  </w:num>
  <w:num w:numId="33">
    <w:abstractNumId w:val="24"/>
  </w:num>
  <w:num w:numId="34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FA"/>
    <w:rsid w:val="000002E6"/>
    <w:rsid w:val="00000351"/>
    <w:rsid w:val="000011AA"/>
    <w:rsid w:val="00001996"/>
    <w:rsid w:val="000026D4"/>
    <w:rsid w:val="00002BD2"/>
    <w:rsid w:val="00002D15"/>
    <w:rsid w:val="0000659E"/>
    <w:rsid w:val="0001094E"/>
    <w:rsid w:val="00010D70"/>
    <w:rsid w:val="00012951"/>
    <w:rsid w:val="000149F3"/>
    <w:rsid w:val="00014A96"/>
    <w:rsid w:val="00015A1F"/>
    <w:rsid w:val="000178A9"/>
    <w:rsid w:val="00020C7A"/>
    <w:rsid w:val="000214C8"/>
    <w:rsid w:val="00022405"/>
    <w:rsid w:val="00023733"/>
    <w:rsid w:val="00023D3C"/>
    <w:rsid w:val="00026926"/>
    <w:rsid w:val="00026AF0"/>
    <w:rsid w:val="00027669"/>
    <w:rsid w:val="00027AD6"/>
    <w:rsid w:val="0003143C"/>
    <w:rsid w:val="000320FC"/>
    <w:rsid w:val="0003526A"/>
    <w:rsid w:val="0003534F"/>
    <w:rsid w:val="000358FE"/>
    <w:rsid w:val="00036453"/>
    <w:rsid w:val="000371CB"/>
    <w:rsid w:val="0003756E"/>
    <w:rsid w:val="000421E0"/>
    <w:rsid w:val="00042582"/>
    <w:rsid w:val="00042B18"/>
    <w:rsid w:val="00042B30"/>
    <w:rsid w:val="00042BF4"/>
    <w:rsid w:val="000437D4"/>
    <w:rsid w:val="00044430"/>
    <w:rsid w:val="000450FF"/>
    <w:rsid w:val="00045257"/>
    <w:rsid w:val="0004594C"/>
    <w:rsid w:val="00046594"/>
    <w:rsid w:val="0004696B"/>
    <w:rsid w:val="000516F6"/>
    <w:rsid w:val="0005348A"/>
    <w:rsid w:val="00055D60"/>
    <w:rsid w:val="00056BDA"/>
    <w:rsid w:val="000572AA"/>
    <w:rsid w:val="00057AE6"/>
    <w:rsid w:val="00060A13"/>
    <w:rsid w:val="00062D54"/>
    <w:rsid w:val="000638E6"/>
    <w:rsid w:val="00063E7B"/>
    <w:rsid w:val="00064EB9"/>
    <w:rsid w:val="00065DA4"/>
    <w:rsid w:val="00070431"/>
    <w:rsid w:val="000711E1"/>
    <w:rsid w:val="00073AC7"/>
    <w:rsid w:val="00073E19"/>
    <w:rsid w:val="00074952"/>
    <w:rsid w:val="00076487"/>
    <w:rsid w:val="00076E19"/>
    <w:rsid w:val="0008023E"/>
    <w:rsid w:val="00081757"/>
    <w:rsid w:val="000817D2"/>
    <w:rsid w:val="00081C81"/>
    <w:rsid w:val="000822FA"/>
    <w:rsid w:val="00084021"/>
    <w:rsid w:val="0008427F"/>
    <w:rsid w:val="00084E9C"/>
    <w:rsid w:val="00084F49"/>
    <w:rsid w:val="00085BE2"/>
    <w:rsid w:val="00085C93"/>
    <w:rsid w:val="000865B3"/>
    <w:rsid w:val="00086690"/>
    <w:rsid w:val="00086D1B"/>
    <w:rsid w:val="00090BF5"/>
    <w:rsid w:val="00091273"/>
    <w:rsid w:val="00091D0B"/>
    <w:rsid w:val="0009296C"/>
    <w:rsid w:val="00093031"/>
    <w:rsid w:val="00093510"/>
    <w:rsid w:val="000938A7"/>
    <w:rsid w:val="000947CF"/>
    <w:rsid w:val="00094886"/>
    <w:rsid w:val="000955D8"/>
    <w:rsid w:val="0009562D"/>
    <w:rsid w:val="000958C2"/>
    <w:rsid w:val="00095A39"/>
    <w:rsid w:val="00096165"/>
    <w:rsid w:val="000A04D0"/>
    <w:rsid w:val="000A0D7F"/>
    <w:rsid w:val="000A0DDC"/>
    <w:rsid w:val="000A0E2A"/>
    <w:rsid w:val="000A10C8"/>
    <w:rsid w:val="000A2DB8"/>
    <w:rsid w:val="000A6A16"/>
    <w:rsid w:val="000A6E13"/>
    <w:rsid w:val="000A71C3"/>
    <w:rsid w:val="000B0B7C"/>
    <w:rsid w:val="000B17DD"/>
    <w:rsid w:val="000B1D64"/>
    <w:rsid w:val="000B20EE"/>
    <w:rsid w:val="000B2132"/>
    <w:rsid w:val="000B3432"/>
    <w:rsid w:val="000B3524"/>
    <w:rsid w:val="000B3D42"/>
    <w:rsid w:val="000B4C75"/>
    <w:rsid w:val="000B5085"/>
    <w:rsid w:val="000B5576"/>
    <w:rsid w:val="000B665A"/>
    <w:rsid w:val="000B74EA"/>
    <w:rsid w:val="000B7C23"/>
    <w:rsid w:val="000C0400"/>
    <w:rsid w:val="000C297F"/>
    <w:rsid w:val="000C31EA"/>
    <w:rsid w:val="000C4B54"/>
    <w:rsid w:val="000C5206"/>
    <w:rsid w:val="000C5792"/>
    <w:rsid w:val="000C7A1B"/>
    <w:rsid w:val="000C7D28"/>
    <w:rsid w:val="000D17C1"/>
    <w:rsid w:val="000D21A2"/>
    <w:rsid w:val="000D3E1A"/>
    <w:rsid w:val="000D4768"/>
    <w:rsid w:val="000D49EF"/>
    <w:rsid w:val="000D5F92"/>
    <w:rsid w:val="000D6343"/>
    <w:rsid w:val="000D7402"/>
    <w:rsid w:val="000E01D8"/>
    <w:rsid w:val="000E105C"/>
    <w:rsid w:val="000E15B7"/>
    <w:rsid w:val="000E25BB"/>
    <w:rsid w:val="000E2CE4"/>
    <w:rsid w:val="000E3B72"/>
    <w:rsid w:val="000E3DC3"/>
    <w:rsid w:val="000E4FDB"/>
    <w:rsid w:val="000E57FD"/>
    <w:rsid w:val="000E692B"/>
    <w:rsid w:val="000E7A03"/>
    <w:rsid w:val="000F10BD"/>
    <w:rsid w:val="000F2091"/>
    <w:rsid w:val="000F2E59"/>
    <w:rsid w:val="000F524F"/>
    <w:rsid w:val="000F5285"/>
    <w:rsid w:val="000F568E"/>
    <w:rsid w:val="000F6104"/>
    <w:rsid w:val="000F6BF4"/>
    <w:rsid w:val="001016C8"/>
    <w:rsid w:val="00103798"/>
    <w:rsid w:val="00104AA9"/>
    <w:rsid w:val="00104B6F"/>
    <w:rsid w:val="00104F08"/>
    <w:rsid w:val="00106587"/>
    <w:rsid w:val="001070E6"/>
    <w:rsid w:val="00107366"/>
    <w:rsid w:val="001103D3"/>
    <w:rsid w:val="0011045B"/>
    <w:rsid w:val="00110B58"/>
    <w:rsid w:val="00111828"/>
    <w:rsid w:val="001135E8"/>
    <w:rsid w:val="001144FE"/>
    <w:rsid w:val="00115286"/>
    <w:rsid w:val="0011597C"/>
    <w:rsid w:val="00116585"/>
    <w:rsid w:val="00120555"/>
    <w:rsid w:val="001231C5"/>
    <w:rsid w:val="00124840"/>
    <w:rsid w:val="001253D5"/>
    <w:rsid w:val="00125B54"/>
    <w:rsid w:val="001260BF"/>
    <w:rsid w:val="00126734"/>
    <w:rsid w:val="00126B89"/>
    <w:rsid w:val="00126CA6"/>
    <w:rsid w:val="001272A9"/>
    <w:rsid w:val="0012752C"/>
    <w:rsid w:val="00134B32"/>
    <w:rsid w:val="0013520D"/>
    <w:rsid w:val="001357DE"/>
    <w:rsid w:val="00135E56"/>
    <w:rsid w:val="00137662"/>
    <w:rsid w:val="0014187A"/>
    <w:rsid w:val="00141BD7"/>
    <w:rsid w:val="001424C5"/>
    <w:rsid w:val="0014250C"/>
    <w:rsid w:val="00143C7F"/>
    <w:rsid w:val="0014565E"/>
    <w:rsid w:val="0014767D"/>
    <w:rsid w:val="00147FAF"/>
    <w:rsid w:val="0015027B"/>
    <w:rsid w:val="0015035D"/>
    <w:rsid w:val="00151567"/>
    <w:rsid w:val="00152883"/>
    <w:rsid w:val="00153121"/>
    <w:rsid w:val="001532C2"/>
    <w:rsid w:val="00154AB4"/>
    <w:rsid w:val="00156A1A"/>
    <w:rsid w:val="00156A66"/>
    <w:rsid w:val="00157343"/>
    <w:rsid w:val="00157536"/>
    <w:rsid w:val="00157E4A"/>
    <w:rsid w:val="00162220"/>
    <w:rsid w:val="001628D9"/>
    <w:rsid w:val="00163A39"/>
    <w:rsid w:val="00164369"/>
    <w:rsid w:val="001660A3"/>
    <w:rsid w:val="001661D5"/>
    <w:rsid w:val="0017004D"/>
    <w:rsid w:val="00171F4B"/>
    <w:rsid w:val="00172104"/>
    <w:rsid w:val="001731EE"/>
    <w:rsid w:val="0017396B"/>
    <w:rsid w:val="001748EC"/>
    <w:rsid w:val="00176FA0"/>
    <w:rsid w:val="00177221"/>
    <w:rsid w:val="0017742B"/>
    <w:rsid w:val="00180816"/>
    <w:rsid w:val="00181693"/>
    <w:rsid w:val="001823D8"/>
    <w:rsid w:val="00183E94"/>
    <w:rsid w:val="00184680"/>
    <w:rsid w:val="001848F7"/>
    <w:rsid w:val="001861EB"/>
    <w:rsid w:val="0018730A"/>
    <w:rsid w:val="001901DC"/>
    <w:rsid w:val="00194355"/>
    <w:rsid w:val="0019459B"/>
    <w:rsid w:val="0019469A"/>
    <w:rsid w:val="00195DA1"/>
    <w:rsid w:val="0019607B"/>
    <w:rsid w:val="0019631D"/>
    <w:rsid w:val="00196DBB"/>
    <w:rsid w:val="001A03EF"/>
    <w:rsid w:val="001A3C50"/>
    <w:rsid w:val="001A58DD"/>
    <w:rsid w:val="001A5A4E"/>
    <w:rsid w:val="001A709F"/>
    <w:rsid w:val="001A73FC"/>
    <w:rsid w:val="001A75D4"/>
    <w:rsid w:val="001A7AD4"/>
    <w:rsid w:val="001B051E"/>
    <w:rsid w:val="001B0DB5"/>
    <w:rsid w:val="001B1654"/>
    <w:rsid w:val="001B2939"/>
    <w:rsid w:val="001B340A"/>
    <w:rsid w:val="001B387B"/>
    <w:rsid w:val="001B45F8"/>
    <w:rsid w:val="001B4619"/>
    <w:rsid w:val="001B639E"/>
    <w:rsid w:val="001B65F0"/>
    <w:rsid w:val="001B6E16"/>
    <w:rsid w:val="001B7175"/>
    <w:rsid w:val="001B7FC4"/>
    <w:rsid w:val="001C08F6"/>
    <w:rsid w:val="001C23DF"/>
    <w:rsid w:val="001C3874"/>
    <w:rsid w:val="001C3BFF"/>
    <w:rsid w:val="001C422D"/>
    <w:rsid w:val="001C55A0"/>
    <w:rsid w:val="001C577F"/>
    <w:rsid w:val="001C5ED0"/>
    <w:rsid w:val="001C609D"/>
    <w:rsid w:val="001C645E"/>
    <w:rsid w:val="001C6F51"/>
    <w:rsid w:val="001D465C"/>
    <w:rsid w:val="001D5D60"/>
    <w:rsid w:val="001D682D"/>
    <w:rsid w:val="001E0BB5"/>
    <w:rsid w:val="001E0BE5"/>
    <w:rsid w:val="001E0F4A"/>
    <w:rsid w:val="001E0FE1"/>
    <w:rsid w:val="001E164D"/>
    <w:rsid w:val="001E289F"/>
    <w:rsid w:val="001E2F7B"/>
    <w:rsid w:val="001E2FF6"/>
    <w:rsid w:val="001E3298"/>
    <w:rsid w:val="001E377D"/>
    <w:rsid w:val="001E4203"/>
    <w:rsid w:val="001E4875"/>
    <w:rsid w:val="001E524D"/>
    <w:rsid w:val="001E531A"/>
    <w:rsid w:val="001E6C01"/>
    <w:rsid w:val="001E6DC6"/>
    <w:rsid w:val="001F02CE"/>
    <w:rsid w:val="001F0D70"/>
    <w:rsid w:val="001F3550"/>
    <w:rsid w:val="001F3839"/>
    <w:rsid w:val="001F3FB2"/>
    <w:rsid w:val="001F45AC"/>
    <w:rsid w:val="001F4AAD"/>
    <w:rsid w:val="001F5A2E"/>
    <w:rsid w:val="001F64DA"/>
    <w:rsid w:val="001F7282"/>
    <w:rsid w:val="001F7F34"/>
    <w:rsid w:val="00201381"/>
    <w:rsid w:val="002017F9"/>
    <w:rsid w:val="00201AEC"/>
    <w:rsid w:val="0020245D"/>
    <w:rsid w:val="002033A6"/>
    <w:rsid w:val="0020369E"/>
    <w:rsid w:val="00205A0B"/>
    <w:rsid w:val="00205DA8"/>
    <w:rsid w:val="00206D7E"/>
    <w:rsid w:val="00213579"/>
    <w:rsid w:val="00214234"/>
    <w:rsid w:val="002145DB"/>
    <w:rsid w:val="0021505A"/>
    <w:rsid w:val="00215290"/>
    <w:rsid w:val="00220002"/>
    <w:rsid w:val="00220045"/>
    <w:rsid w:val="0022059A"/>
    <w:rsid w:val="00221EF7"/>
    <w:rsid w:val="002232EB"/>
    <w:rsid w:val="002238CD"/>
    <w:rsid w:val="00224F56"/>
    <w:rsid w:val="00225CCA"/>
    <w:rsid w:val="00226521"/>
    <w:rsid w:val="00226893"/>
    <w:rsid w:val="00227F3A"/>
    <w:rsid w:val="00230FDC"/>
    <w:rsid w:val="002317F7"/>
    <w:rsid w:val="0023280A"/>
    <w:rsid w:val="0023317F"/>
    <w:rsid w:val="002333F6"/>
    <w:rsid w:val="00233CC6"/>
    <w:rsid w:val="00234419"/>
    <w:rsid w:val="0023545B"/>
    <w:rsid w:val="002363E6"/>
    <w:rsid w:val="00236675"/>
    <w:rsid w:val="00236EA9"/>
    <w:rsid w:val="00237343"/>
    <w:rsid w:val="00240399"/>
    <w:rsid w:val="0024131A"/>
    <w:rsid w:val="00241825"/>
    <w:rsid w:val="002434B7"/>
    <w:rsid w:val="002434D1"/>
    <w:rsid w:val="00243555"/>
    <w:rsid w:val="00243DAA"/>
    <w:rsid w:val="00243DE4"/>
    <w:rsid w:val="00244A70"/>
    <w:rsid w:val="00247127"/>
    <w:rsid w:val="00247450"/>
    <w:rsid w:val="00250719"/>
    <w:rsid w:val="00250EAD"/>
    <w:rsid w:val="00251F42"/>
    <w:rsid w:val="002528B1"/>
    <w:rsid w:val="00253BD3"/>
    <w:rsid w:val="002547D5"/>
    <w:rsid w:val="00254FBA"/>
    <w:rsid w:val="00255708"/>
    <w:rsid w:val="002563FB"/>
    <w:rsid w:val="00260A21"/>
    <w:rsid w:val="00261038"/>
    <w:rsid w:val="0026272A"/>
    <w:rsid w:val="00263281"/>
    <w:rsid w:val="00263B29"/>
    <w:rsid w:val="00263E76"/>
    <w:rsid w:val="00264765"/>
    <w:rsid w:val="00266113"/>
    <w:rsid w:val="002664E1"/>
    <w:rsid w:val="00267315"/>
    <w:rsid w:val="00271C26"/>
    <w:rsid w:val="00273EB1"/>
    <w:rsid w:val="00274033"/>
    <w:rsid w:val="00274A82"/>
    <w:rsid w:val="00274CC6"/>
    <w:rsid w:val="00275FCF"/>
    <w:rsid w:val="00275FDD"/>
    <w:rsid w:val="002760CE"/>
    <w:rsid w:val="0027756E"/>
    <w:rsid w:val="00280EBC"/>
    <w:rsid w:val="002810A7"/>
    <w:rsid w:val="002817A6"/>
    <w:rsid w:val="00281CF2"/>
    <w:rsid w:val="00282988"/>
    <w:rsid w:val="00282C7B"/>
    <w:rsid w:val="00284149"/>
    <w:rsid w:val="00285582"/>
    <w:rsid w:val="0028635E"/>
    <w:rsid w:val="00286F59"/>
    <w:rsid w:val="002902EE"/>
    <w:rsid w:val="00290700"/>
    <w:rsid w:val="00291414"/>
    <w:rsid w:val="0029395A"/>
    <w:rsid w:val="00294407"/>
    <w:rsid w:val="002948AB"/>
    <w:rsid w:val="00296C12"/>
    <w:rsid w:val="00296C43"/>
    <w:rsid w:val="002A0224"/>
    <w:rsid w:val="002A02AB"/>
    <w:rsid w:val="002A19E4"/>
    <w:rsid w:val="002A25F2"/>
    <w:rsid w:val="002A3352"/>
    <w:rsid w:val="002A3615"/>
    <w:rsid w:val="002A4EED"/>
    <w:rsid w:val="002A60B2"/>
    <w:rsid w:val="002A6778"/>
    <w:rsid w:val="002A6A96"/>
    <w:rsid w:val="002A6BD6"/>
    <w:rsid w:val="002B085C"/>
    <w:rsid w:val="002B0C2C"/>
    <w:rsid w:val="002B136C"/>
    <w:rsid w:val="002B1BB6"/>
    <w:rsid w:val="002B2BC4"/>
    <w:rsid w:val="002B34EE"/>
    <w:rsid w:val="002B3F0D"/>
    <w:rsid w:val="002B4C8F"/>
    <w:rsid w:val="002B54B0"/>
    <w:rsid w:val="002B60E5"/>
    <w:rsid w:val="002B618E"/>
    <w:rsid w:val="002B7540"/>
    <w:rsid w:val="002B75D1"/>
    <w:rsid w:val="002C1C44"/>
    <w:rsid w:val="002C2D1E"/>
    <w:rsid w:val="002C2D68"/>
    <w:rsid w:val="002C3A1C"/>
    <w:rsid w:val="002C430A"/>
    <w:rsid w:val="002C4687"/>
    <w:rsid w:val="002C5009"/>
    <w:rsid w:val="002C55BB"/>
    <w:rsid w:val="002C56A3"/>
    <w:rsid w:val="002C5843"/>
    <w:rsid w:val="002C5927"/>
    <w:rsid w:val="002C7CD4"/>
    <w:rsid w:val="002D1576"/>
    <w:rsid w:val="002D3A59"/>
    <w:rsid w:val="002D3E47"/>
    <w:rsid w:val="002D63AF"/>
    <w:rsid w:val="002E4F38"/>
    <w:rsid w:val="002E5602"/>
    <w:rsid w:val="002E5C19"/>
    <w:rsid w:val="002E5C25"/>
    <w:rsid w:val="002F0E14"/>
    <w:rsid w:val="002F0F25"/>
    <w:rsid w:val="002F1588"/>
    <w:rsid w:val="002F18A8"/>
    <w:rsid w:val="002F1A55"/>
    <w:rsid w:val="002F2398"/>
    <w:rsid w:val="002F2B65"/>
    <w:rsid w:val="002F2B96"/>
    <w:rsid w:val="002F3FE5"/>
    <w:rsid w:val="002F4284"/>
    <w:rsid w:val="002F51BB"/>
    <w:rsid w:val="002F645C"/>
    <w:rsid w:val="002F781B"/>
    <w:rsid w:val="002F78C4"/>
    <w:rsid w:val="003011B8"/>
    <w:rsid w:val="00301A64"/>
    <w:rsid w:val="00303320"/>
    <w:rsid w:val="00303D0E"/>
    <w:rsid w:val="00303DDF"/>
    <w:rsid w:val="003040EB"/>
    <w:rsid w:val="00305140"/>
    <w:rsid w:val="003054C7"/>
    <w:rsid w:val="00305CB0"/>
    <w:rsid w:val="003066DA"/>
    <w:rsid w:val="00306EC3"/>
    <w:rsid w:val="00307960"/>
    <w:rsid w:val="0031040C"/>
    <w:rsid w:val="00310725"/>
    <w:rsid w:val="0031188B"/>
    <w:rsid w:val="00311A4D"/>
    <w:rsid w:val="00311A98"/>
    <w:rsid w:val="0031250A"/>
    <w:rsid w:val="0031291C"/>
    <w:rsid w:val="00312E0B"/>
    <w:rsid w:val="00312E1B"/>
    <w:rsid w:val="00313051"/>
    <w:rsid w:val="00315AAF"/>
    <w:rsid w:val="00315C8B"/>
    <w:rsid w:val="00316F68"/>
    <w:rsid w:val="00317D6B"/>
    <w:rsid w:val="0032025B"/>
    <w:rsid w:val="0032223A"/>
    <w:rsid w:val="00322A88"/>
    <w:rsid w:val="00323C5D"/>
    <w:rsid w:val="00323C99"/>
    <w:rsid w:val="003252B2"/>
    <w:rsid w:val="00326DCD"/>
    <w:rsid w:val="003271CB"/>
    <w:rsid w:val="0032730F"/>
    <w:rsid w:val="00327EE2"/>
    <w:rsid w:val="00330594"/>
    <w:rsid w:val="003305A9"/>
    <w:rsid w:val="00330FB9"/>
    <w:rsid w:val="003320AD"/>
    <w:rsid w:val="0033302F"/>
    <w:rsid w:val="00333C5C"/>
    <w:rsid w:val="00334755"/>
    <w:rsid w:val="003349CC"/>
    <w:rsid w:val="0033505A"/>
    <w:rsid w:val="00335E0E"/>
    <w:rsid w:val="003367BF"/>
    <w:rsid w:val="00337F3B"/>
    <w:rsid w:val="00340306"/>
    <w:rsid w:val="00342B0E"/>
    <w:rsid w:val="00344D8A"/>
    <w:rsid w:val="00345149"/>
    <w:rsid w:val="00351698"/>
    <w:rsid w:val="00351E11"/>
    <w:rsid w:val="00351E75"/>
    <w:rsid w:val="00352024"/>
    <w:rsid w:val="003547E6"/>
    <w:rsid w:val="00355066"/>
    <w:rsid w:val="00355588"/>
    <w:rsid w:val="00355908"/>
    <w:rsid w:val="003559C3"/>
    <w:rsid w:val="003569A9"/>
    <w:rsid w:val="00356DC2"/>
    <w:rsid w:val="00356E72"/>
    <w:rsid w:val="00357197"/>
    <w:rsid w:val="003571F0"/>
    <w:rsid w:val="00357B0C"/>
    <w:rsid w:val="003601E6"/>
    <w:rsid w:val="00360B23"/>
    <w:rsid w:val="003622A3"/>
    <w:rsid w:val="00362D71"/>
    <w:rsid w:val="00364C89"/>
    <w:rsid w:val="00364D39"/>
    <w:rsid w:val="0037086D"/>
    <w:rsid w:val="003723CF"/>
    <w:rsid w:val="00373AC0"/>
    <w:rsid w:val="00373D88"/>
    <w:rsid w:val="00373EFC"/>
    <w:rsid w:val="00374643"/>
    <w:rsid w:val="003751A7"/>
    <w:rsid w:val="003802FB"/>
    <w:rsid w:val="00381556"/>
    <w:rsid w:val="00386640"/>
    <w:rsid w:val="003875B0"/>
    <w:rsid w:val="003876BB"/>
    <w:rsid w:val="00390E54"/>
    <w:rsid w:val="00393A37"/>
    <w:rsid w:val="00393E4D"/>
    <w:rsid w:val="00394436"/>
    <w:rsid w:val="00394936"/>
    <w:rsid w:val="003949FC"/>
    <w:rsid w:val="00395596"/>
    <w:rsid w:val="00395C16"/>
    <w:rsid w:val="00397434"/>
    <w:rsid w:val="00397D66"/>
    <w:rsid w:val="003A02D2"/>
    <w:rsid w:val="003A0331"/>
    <w:rsid w:val="003A12B1"/>
    <w:rsid w:val="003A1AD6"/>
    <w:rsid w:val="003A2D4F"/>
    <w:rsid w:val="003A3E91"/>
    <w:rsid w:val="003A511B"/>
    <w:rsid w:val="003A5957"/>
    <w:rsid w:val="003A655B"/>
    <w:rsid w:val="003A6E6F"/>
    <w:rsid w:val="003A75EE"/>
    <w:rsid w:val="003B00FC"/>
    <w:rsid w:val="003B0190"/>
    <w:rsid w:val="003B038F"/>
    <w:rsid w:val="003B073F"/>
    <w:rsid w:val="003B0B8E"/>
    <w:rsid w:val="003B28C3"/>
    <w:rsid w:val="003B4667"/>
    <w:rsid w:val="003B540F"/>
    <w:rsid w:val="003B6BD0"/>
    <w:rsid w:val="003B71D6"/>
    <w:rsid w:val="003C15E8"/>
    <w:rsid w:val="003C182F"/>
    <w:rsid w:val="003C2107"/>
    <w:rsid w:val="003C31AA"/>
    <w:rsid w:val="003C3501"/>
    <w:rsid w:val="003C4981"/>
    <w:rsid w:val="003C4CD9"/>
    <w:rsid w:val="003C4F5E"/>
    <w:rsid w:val="003C5A06"/>
    <w:rsid w:val="003C5B00"/>
    <w:rsid w:val="003D1524"/>
    <w:rsid w:val="003D2BB6"/>
    <w:rsid w:val="003D479E"/>
    <w:rsid w:val="003D5A07"/>
    <w:rsid w:val="003D65B2"/>
    <w:rsid w:val="003D7289"/>
    <w:rsid w:val="003E1400"/>
    <w:rsid w:val="003E1E95"/>
    <w:rsid w:val="003E46B9"/>
    <w:rsid w:val="003E4D57"/>
    <w:rsid w:val="003E623F"/>
    <w:rsid w:val="003E6C1B"/>
    <w:rsid w:val="003E7AE7"/>
    <w:rsid w:val="003F0520"/>
    <w:rsid w:val="003F2B54"/>
    <w:rsid w:val="003F32D1"/>
    <w:rsid w:val="003F403C"/>
    <w:rsid w:val="0040109B"/>
    <w:rsid w:val="0040287D"/>
    <w:rsid w:val="00403E28"/>
    <w:rsid w:val="00404EA5"/>
    <w:rsid w:val="004056BE"/>
    <w:rsid w:val="00405A3D"/>
    <w:rsid w:val="0040642C"/>
    <w:rsid w:val="004064D4"/>
    <w:rsid w:val="00410C83"/>
    <w:rsid w:val="00411C20"/>
    <w:rsid w:val="00412DF3"/>
    <w:rsid w:val="004138A4"/>
    <w:rsid w:val="0041432D"/>
    <w:rsid w:val="00414C01"/>
    <w:rsid w:val="00414DC9"/>
    <w:rsid w:val="00416016"/>
    <w:rsid w:val="00417D52"/>
    <w:rsid w:val="00421B80"/>
    <w:rsid w:val="0042260E"/>
    <w:rsid w:val="00422D6D"/>
    <w:rsid w:val="00424883"/>
    <w:rsid w:val="004249AC"/>
    <w:rsid w:val="00424EED"/>
    <w:rsid w:val="00425192"/>
    <w:rsid w:val="00425204"/>
    <w:rsid w:val="0042526A"/>
    <w:rsid w:val="00425D4B"/>
    <w:rsid w:val="004272EC"/>
    <w:rsid w:val="004276FD"/>
    <w:rsid w:val="004315DC"/>
    <w:rsid w:val="00431884"/>
    <w:rsid w:val="004320DA"/>
    <w:rsid w:val="00433694"/>
    <w:rsid w:val="00435B6D"/>
    <w:rsid w:val="00436943"/>
    <w:rsid w:val="00437179"/>
    <w:rsid w:val="00437295"/>
    <w:rsid w:val="0043756E"/>
    <w:rsid w:val="00440277"/>
    <w:rsid w:val="0044049F"/>
    <w:rsid w:val="00440B26"/>
    <w:rsid w:val="00441DC7"/>
    <w:rsid w:val="0044212A"/>
    <w:rsid w:val="00442BF7"/>
    <w:rsid w:val="00442D3A"/>
    <w:rsid w:val="00443742"/>
    <w:rsid w:val="004441C0"/>
    <w:rsid w:val="0044450D"/>
    <w:rsid w:val="004446D0"/>
    <w:rsid w:val="00445362"/>
    <w:rsid w:val="00445B5F"/>
    <w:rsid w:val="00445B96"/>
    <w:rsid w:val="00446969"/>
    <w:rsid w:val="00446B5A"/>
    <w:rsid w:val="00450C05"/>
    <w:rsid w:val="004512CA"/>
    <w:rsid w:val="004557AA"/>
    <w:rsid w:val="0045694D"/>
    <w:rsid w:val="00457770"/>
    <w:rsid w:val="00460F3F"/>
    <w:rsid w:val="00461330"/>
    <w:rsid w:val="004622FA"/>
    <w:rsid w:val="0046264A"/>
    <w:rsid w:val="004647B1"/>
    <w:rsid w:val="00464CE4"/>
    <w:rsid w:val="0046553C"/>
    <w:rsid w:val="00465661"/>
    <w:rsid w:val="00467C1A"/>
    <w:rsid w:val="004708EC"/>
    <w:rsid w:val="00472953"/>
    <w:rsid w:val="004734E3"/>
    <w:rsid w:val="00474C16"/>
    <w:rsid w:val="0047644A"/>
    <w:rsid w:val="0047699F"/>
    <w:rsid w:val="00476C9E"/>
    <w:rsid w:val="00476F2B"/>
    <w:rsid w:val="00477EBB"/>
    <w:rsid w:val="00480463"/>
    <w:rsid w:val="00480C81"/>
    <w:rsid w:val="00480D38"/>
    <w:rsid w:val="00481E5E"/>
    <w:rsid w:val="00483B7A"/>
    <w:rsid w:val="0048413B"/>
    <w:rsid w:val="00484B79"/>
    <w:rsid w:val="0048549F"/>
    <w:rsid w:val="00486BD7"/>
    <w:rsid w:val="00487A56"/>
    <w:rsid w:val="00487B22"/>
    <w:rsid w:val="00487E50"/>
    <w:rsid w:val="004900FC"/>
    <w:rsid w:val="00491342"/>
    <w:rsid w:val="00492D30"/>
    <w:rsid w:val="00493614"/>
    <w:rsid w:val="004940F6"/>
    <w:rsid w:val="00496F7F"/>
    <w:rsid w:val="00497534"/>
    <w:rsid w:val="004A10D6"/>
    <w:rsid w:val="004A1254"/>
    <w:rsid w:val="004A1368"/>
    <w:rsid w:val="004A13D4"/>
    <w:rsid w:val="004A1B69"/>
    <w:rsid w:val="004A24F5"/>
    <w:rsid w:val="004A2508"/>
    <w:rsid w:val="004A26CF"/>
    <w:rsid w:val="004A5206"/>
    <w:rsid w:val="004A5E54"/>
    <w:rsid w:val="004A7D0B"/>
    <w:rsid w:val="004B0C7B"/>
    <w:rsid w:val="004B125D"/>
    <w:rsid w:val="004B1CDF"/>
    <w:rsid w:val="004B3A86"/>
    <w:rsid w:val="004B4580"/>
    <w:rsid w:val="004B51CC"/>
    <w:rsid w:val="004B5C3C"/>
    <w:rsid w:val="004B61E9"/>
    <w:rsid w:val="004B6ECB"/>
    <w:rsid w:val="004C0393"/>
    <w:rsid w:val="004C0F8B"/>
    <w:rsid w:val="004C187B"/>
    <w:rsid w:val="004C1B9D"/>
    <w:rsid w:val="004C1BFC"/>
    <w:rsid w:val="004C264B"/>
    <w:rsid w:val="004C4893"/>
    <w:rsid w:val="004C5A43"/>
    <w:rsid w:val="004C6C06"/>
    <w:rsid w:val="004C6EBA"/>
    <w:rsid w:val="004D05DF"/>
    <w:rsid w:val="004D0784"/>
    <w:rsid w:val="004D12A0"/>
    <w:rsid w:val="004D19F2"/>
    <w:rsid w:val="004D1F2B"/>
    <w:rsid w:val="004D1FA3"/>
    <w:rsid w:val="004D239C"/>
    <w:rsid w:val="004D2942"/>
    <w:rsid w:val="004D331F"/>
    <w:rsid w:val="004D3A28"/>
    <w:rsid w:val="004D4BD4"/>
    <w:rsid w:val="004D4DB3"/>
    <w:rsid w:val="004D52DD"/>
    <w:rsid w:val="004D5670"/>
    <w:rsid w:val="004D56DD"/>
    <w:rsid w:val="004D6139"/>
    <w:rsid w:val="004D6347"/>
    <w:rsid w:val="004D68EA"/>
    <w:rsid w:val="004D6E4B"/>
    <w:rsid w:val="004E05C5"/>
    <w:rsid w:val="004E1708"/>
    <w:rsid w:val="004E1D00"/>
    <w:rsid w:val="004E1E6E"/>
    <w:rsid w:val="004E2665"/>
    <w:rsid w:val="004E284E"/>
    <w:rsid w:val="004E2D6F"/>
    <w:rsid w:val="004E36A2"/>
    <w:rsid w:val="004E3CF4"/>
    <w:rsid w:val="004E3EDD"/>
    <w:rsid w:val="004E4566"/>
    <w:rsid w:val="004E535F"/>
    <w:rsid w:val="004E5D48"/>
    <w:rsid w:val="004E67D4"/>
    <w:rsid w:val="004F05FE"/>
    <w:rsid w:val="004F40AA"/>
    <w:rsid w:val="004F4AE6"/>
    <w:rsid w:val="004F5FCB"/>
    <w:rsid w:val="004F791F"/>
    <w:rsid w:val="005022AB"/>
    <w:rsid w:val="00502C81"/>
    <w:rsid w:val="00502EC3"/>
    <w:rsid w:val="00503DA0"/>
    <w:rsid w:val="0050638C"/>
    <w:rsid w:val="005066B5"/>
    <w:rsid w:val="00506D92"/>
    <w:rsid w:val="00507E61"/>
    <w:rsid w:val="00511DEA"/>
    <w:rsid w:val="00511E70"/>
    <w:rsid w:val="005129A1"/>
    <w:rsid w:val="00512A02"/>
    <w:rsid w:val="00512C6A"/>
    <w:rsid w:val="00513805"/>
    <w:rsid w:val="00513C38"/>
    <w:rsid w:val="00514B0D"/>
    <w:rsid w:val="005151D5"/>
    <w:rsid w:val="0051522B"/>
    <w:rsid w:val="0051543F"/>
    <w:rsid w:val="00515C1B"/>
    <w:rsid w:val="005162E6"/>
    <w:rsid w:val="005164B4"/>
    <w:rsid w:val="0051698B"/>
    <w:rsid w:val="00516B6E"/>
    <w:rsid w:val="0051753F"/>
    <w:rsid w:val="00520363"/>
    <w:rsid w:val="005218E9"/>
    <w:rsid w:val="00522008"/>
    <w:rsid w:val="00522822"/>
    <w:rsid w:val="00522F8B"/>
    <w:rsid w:val="00522FEF"/>
    <w:rsid w:val="00523605"/>
    <w:rsid w:val="00523AB1"/>
    <w:rsid w:val="00526C8B"/>
    <w:rsid w:val="00527346"/>
    <w:rsid w:val="00527AF7"/>
    <w:rsid w:val="00532B38"/>
    <w:rsid w:val="00532CE3"/>
    <w:rsid w:val="0053344F"/>
    <w:rsid w:val="00533A4A"/>
    <w:rsid w:val="00533C52"/>
    <w:rsid w:val="00540042"/>
    <w:rsid w:val="005402C7"/>
    <w:rsid w:val="005404B7"/>
    <w:rsid w:val="005405E0"/>
    <w:rsid w:val="00540980"/>
    <w:rsid w:val="00540A80"/>
    <w:rsid w:val="00541525"/>
    <w:rsid w:val="00541673"/>
    <w:rsid w:val="00541FFE"/>
    <w:rsid w:val="00543219"/>
    <w:rsid w:val="00543C2C"/>
    <w:rsid w:val="00543CDB"/>
    <w:rsid w:val="00543EB9"/>
    <w:rsid w:val="0054435B"/>
    <w:rsid w:val="005447F3"/>
    <w:rsid w:val="00547DA5"/>
    <w:rsid w:val="00550792"/>
    <w:rsid w:val="0055084B"/>
    <w:rsid w:val="00552117"/>
    <w:rsid w:val="00552B83"/>
    <w:rsid w:val="00553191"/>
    <w:rsid w:val="0055432B"/>
    <w:rsid w:val="00555422"/>
    <w:rsid w:val="00556E39"/>
    <w:rsid w:val="005576F9"/>
    <w:rsid w:val="00561BD2"/>
    <w:rsid w:val="0056239E"/>
    <w:rsid w:val="00562572"/>
    <w:rsid w:val="00562CC3"/>
    <w:rsid w:val="005639E4"/>
    <w:rsid w:val="00563CDC"/>
    <w:rsid w:val="00564C8D"/>
    <w:rsid w:val="00564D54"/>
    <w:rsid w:val="0056610F"/>
    <w:rsid w:val="0056616F"/>
    <w:rsid w:val="005667E1"/>
    <w:rsid w:val="0057163F"/>
    <w:rsid w:val="00571969"/>
    <w:rsid w:val="005727AB"/>
    <w:rsid w:val="00573057"/>
    <w:rsid w:val="0057378A"/>
    <w:rsid w:val="0057467A"/>
    <w:rsid w:val="00576EA9"/>
    <w:rsid w:val="005802B1"/>
    <w:rsid w:val="0058041C"/>
    <w:rsid w:val="00580733"/>
    <w:rsid w:val="0058111F"/>
    <w:rsid w:val="0058137C"/>
    <w:rsid w:val="00582976"/>
    <w:rsid w:val="00582CF6"/>
    <w:rsid w:val="00582FAF"/>
    <w:rsid w:val="00583C2D"/>
    <w:rsid w:val="00583DC7"/>
    <w:rsid w:val="00583E8A"/>
    <w:rsid w:val="005843D6"/>
    <w:rsid w:val="005845A5"/>
    <w:rsid w:val="005847D0"/>
    <w:rsid w:val="00584AF7"/>
    <w:rsid w:val="00585F6F"/>
    <w:rsid w:val="0058606C"/>
    <w:rsid w:val="0058696B"/>
    <w:rsid w:val="00586F6A"/>
    <w:rsid w:val="00590B66"/>
    <w:rsid w:val="00591CF5"/>
    <w:rsid w:val="0059255D"/>
    <w:rsid w:val="00593029"/>
    <w:rsid w:val="0059509C"/>
    <w:rsid w:val="005951C1"/>
    <w:rsid w:val="00595CF9"/>
    <w:rsid w:val="005962C5"/>
    <w:rsid w:val="00596665"/>
    <w:rsid w:val="00597549"/>
    <w:rsid w:val="00597D33"/>
    <w:rsid w:val="005A0A37"/>
    <w:rsid w:val="005A142A"/>
    <w:rsid w:val="005A1505"/>
    <w:rsid w:val="005A3DB8"/>
    <w:rsid w:val="005A3F7E"/>
    <w:rsid w:val="005A53BF"/>
    <w:rsid w:val="005A5C3E"/>
    <w:rsid w:val="005A6524"/>
    <w:rsid w:val="005A670E"/>
    <w:rsid w:val="005B1428"/>
    <w:rsid w:val="005B29AC"/>
    <w:rsid w:val="005B3C54"/>
    <w:rsid w:val="005B4AB7"/>
    <w:rsid w:val="005B4EC7"/>
    <w:rsid w:val="005B5193"/>
    <w:rsid w:val="005B64B4"/>
    <w:rsid w:val="005B6688"/>
    <w:rsid w:val="005B68BA"/>
    <w:rsid w:val="005B6BEB"/>
    <w:rsid w:val="005B713B"/>
    <w:rsid w:val="005B74D1"/>
    <w:rsid w:val="005C0954"/>
    <w:rsid w:val="005C0BF9"/>
    <w:rsid w:val="005C5173"/>
    <w:rsid w:val="005C5483"/>
    <w:rsid w:val="005C5DEB"/>
    <w:rsid w:val="005C6EA9"/>
    <w:rsid w:val="005D065D"/>
    <w:rsid w:val="005D07AF"/>
    <w:rsid w:val="005D19E7"/>
    <w:rsid w:val="005D2867"/>
    <w:rsid w:val="005D2C72"/>
    <w:rsid w:val="005D3823"/>
    <w:rsid w:val="005D385C"/>
    <w:rsid w:val="005D4521"/>
    <w:rsid w:val="005D46A1"/>
    <w:rsid w:val="005D4781"/>
    <w:rsid w:val="005D491F"/>
    <w:rsid w:val="005D6B69"/>
    <w:rsid w:val="005D7801"/>
    <w:rsid w:val="005D7CCC"/>
    <w:rsid w:val="005E4B27"/>
    <w:rsid w:val="005E501A"/>
    <w:rsid w:val="005E509B"/>
    <w:rsid w:val="005E548C"/>
    <w:rsid w:val="005F1262"/>
    <w:rsid w:val="005F197D"/>
    <w:rsid w:val="005F1AC8"/>
    <w:rsid w:val="005F2915"/>
    <w:rsid w:val="005F3A84"/>
    <w:rsid w:val="005F3B46"/>
    <w:rsid w:val="005F4519"/>
    <w:rsid w:val="005F635D"/>
    <w:rsid w:val="005F6507"/>
    <w:rsid w:val="005F6BA9"/>
    <w:rsid w:val="005F7560"/>
    <w:rsid w:val="00600281"/>
    <w:rsid w:val="0060149A"/>
    <w:rsid w:val="00601E65"/>
    <w:rsid w:val="00602AF3"/>
    <w:rsid w:val="006050A4"/>
    <w:rsid w:val="0060600D"/>
    <w:rsid w:val="00606419"/>
    <w:rsid w:val="00606BD7"/>
    <w:rsid w:val="006073F4"/>
    <w:rsid w:val="006075B5"/>
    <w:rsid w:val="0060766F"/>
    <w:rsid w:val="0061063D"/>
    <w:rsid w:val="00611EB2"/>
    <w:rsid w:val="006120C5"/>
    <w:rsid w:val="0061323E"/>
    <w:rsid w:val="006142E7"/>
    <w:rsid w:val="00614F93"/>
    <w:rsid w:val="006168BC"/>
    <w:rsid w:val="0061724B"/>
    <w:rsid w:val="00617455"/>
    <w:rsid w:val="00620BF6"/>
    <w:rsid w:val="00621365"/>
    <w:rsid w:val="006223CF"/>
    <w:rsid w:val="00623905"/>
    <w:rsid w:val="00624AC7"/>
    <w:rsid w:val="00625AF6"/>
    <w:rsid w:val="00625BDB"/>
    <w:rsid w:val="00625F65"/>
    <w:rsid w:val="006269BA"/>
    <w:rsid w:val="00630154"/>
    <w:rsid w:val="00630CB9"/>
    <w:rsid w:val="00631501"/>
    <w:rsid w:val="006319A3"/>
    <w:rsid w:val="0063233E"/>
    <w:rsid w:val="006326E1"/>
    <w:rsid w:val="00633382"/>
    <w:rsid w:val="00633CF3"/>
    <w:rsid w:val="006344BE"/>
    <w:rsid w:val="006364CE"/>
    <w:rsid w:val="00636730"/>
    <w:rsid w:val="00636C76"/>
    <w:rsid w:val="00637D74"/>
    <w:rsid w:val="00640023"/>
    <w:rsid w:val="0064150B"/>
    <w:rsid w:val="00641A1D"/>
    <w:rsid w:val="006427F7"/>
    <w:rsid w:val="00642B79"/>
    <w:rsid w:val="006431AE"/>
    <w:rsid w:val="006432E9"/>
    <w:rsid w:val="00644FB8"/>
    <w:rsid w:val="006453B7"/>
    <w:rsid w:val="00645E69"/>
    <w:rsid w:val="00647D35"/>
    <w:rsid w:val="00651C18"/>
    <w:rsid w:val="00654060"/>
    <w:rsid w:val="00654CEB"/>
    <w:rsid w:val="00654EF8"/>
    <w:rsid w:val="00654F1F"/>
    <w:rsid w:val="0065520B"/>
    <w:rsid w:val="00655EE5"/>
    <w:rsid w:val="006578CA"/>
    <w:rsid w:val="00662C94"/>
    <w:rsid w:val="006630FA"/>
    <w:rsid w:val="00663D63"/>
    <w:rsid w:val="00664206"/>
    <w:rsid w:val="00664584"/>
    <w:rsid w:val="006649AF"/>
    <w:rsid w:val="00664F35"/>
    <w:rsid w:val="00665075"/>
    <w:rsid w:val="006660AE"/>
    <w:rsid w:val="0066633D"/>
    <w:rsid w:val="00666867"/>
    <w:rsid w:val="006668E0"/>
    <w:rsid w:val="00667932"/>
    <w:rsid w:val="00670615"/>
    <w:rsid w:val="0067086F"/>
    <w:rsid w:val="006709E7"/>
    <w:rsid w:val="00670CED"/>
    <w:rsid w:val="00671903"/>
    <w:rsid w:val="00671F4C"/>
    <w:rsid w:val="00675D16"/>
    <w:rsid w:val="00675DE8"/>
    <w:rsid w:val="006776A3"/>
    <w:rsid w:val="006806A4"/>
    <w:rsid w:val="0068102C"/>
    <w:rsid w:val="006824C2"/>
    <w:rsid w:val="0068350A"/>
    <w:rsid w:val="0068387D"/>
    <w:rsid w:val="006838B7"/>
    <w:rsid w:val="00683C5D"/>
    <w:rsid w:val="006852D8"/>
    <w:rsid w:val="00687AD1"/>
    <w:rsid w:val="006916D9"/>
    <w:rsid w:val="00692D6A"/>
    <w:rsid w:val="0069354B"/>
    <w:rsid w:val="00693C3D"/>
    <w:rsid w:val="00694F81"/>
    <w:rsid w:val="00696FE3"/>
    <w:rsid w:val="006971B9"/>
    <w:rsid w:val="00697652"/>
    <w:rsid w:val="006A0820"/>
    <w:rsid w:val="006A1585"/>
    <w:rsid w:val="006A2B80"/>
    <w:rsid w:val="006A32C0"/>
    <w:rsid w:val="006A5920"/>
    <w:rsid w:val="006A5E60"/>
    <w:rsid w:val="006A6107"/>
    <w:rsid w:val="006A69F5"/>
    <w:rsid w:val="006A6B39"/>
    <w:rsid w:val="006A7511"/>
    <w:rsid w:val="006A7B1F"/>
    <w:rsid w:val="006A7FA4"/>
    <w:rsid w:val="006B07EC"/>
    <w:rsid w:val="006B0AFC"/>
    <w:rsid w:val="006B1372"/>
    <w:rsid w:val="006B1466"/>
    <w:rsid w:val="006B25D4"/>
    <w:rsid w:val="006B2C26"/>
    <w:rsid w:val="006B344E"/>
    <w:rsid w:val="006B3704"/>
    <w:rsid w:val="006B3D6B"/>
    <w:rsid w:val="006B796A"/>
    <w:rsid w:val="006C0D72"/>
    <w:rsid w:val="006C0E8C"/>
    <w:rsid w:val="006C334A"/>
    <w:rsid w:val="006C39E2"/>
    <w:rsid w:val="006C3B37"/>
    <w:rsid w:val="006C49B5"/>
    <w:rsid w:val="006C55BB"/>
    <w:rsid w:val="006C58FE"/>
    <w:rsid w:val="006C71E0"/>
    <w:rsid w:val="006C7C47"/>
    <w:rsid w:val="006D0ABD"/>
    <w:rsid w:val="006D1C20"/>
    <w:rsid w:val="006D28A9"/>
    <w:rsid w:val="006D3EA9"/>
    <w:rsid w:val="006D4247"/>
    <w:rsid w:val="006D4A4F"/>
    <w:rsid w:val="006D4B98"/>
    <w:rsid w:val="006D4F43"/>
    <w:rsid w:val="006D59AF"/>
    <w:rsid w:val="006D5EB5"/>
    <w:rsid w:val="006D5F65"/>
    <w:rsid w:val="006E0E44"/>
    <w:rsid w:val="006E1843"/>
    <w:rsid w:val="006E236D"/>
    <w:rsid w:val="006E3E5A"/>
    <w:rsid w:val="006E6345"/>
    <w:rsid w:val="006F2B2B"/>
    <w:rsid w:val="006F3BF7"/>
    <w:rsid w:val="006F4346"/>
    <w:rsid w:val="006F4F31"/>
    <w:rsid w:val="006F7698"/>
    <w:rsid w:val="00701C97"/>
    <w:rsid w:val="007020E0"/>
    <w:rsid w:val="00702947"/>
    <w:rsid w:val="0070494E"/>
    <w:rsid w:val="00705675"/>
    <w:rsid w:val="007063B1"/>
    <w:rsid w:val="00712813"/>
    <w:rsid w:val="00712DBE"/>
    <w:rsid w:val="00713815"/>
    <w:rsid w:val="00714543"/>
    <w:rsid w:val="007147D7"/>
    <w:rsid w:val="007150B7"/>
    <w:rsid w:val="00715C4E"/>
    <w:rsid w:val="00716B32"/>
    <w:rsid w:val="00720925"/>
    <w:rsid w:val="00721102"/>
    <w:rsid w:val="0072167C"/>
    <w:rsid w:val="00721851"/>
    <w:rsid w:val="007224F5"/>
    <w:rsid w:val="007233B9"/>
    <w:rsid w:val="00723BFA"/>
    <w:rsid w:val="00723D8D"/>
    <w:rsid w:val="00725B6F"/>
    <w:rsid w:val="00726FE3"/>
    <w:rsid w:val="00727161"/>
    <w:rsid w:val="007306D3"/>
    <w:rsid w:val="007312E0"/>
    <w:rsid w:val="00731D2E"/>
    <w:rsid w:val="0073204A"/>
    <w:rsid w:val="0073277C"/>
    <w:rsid w:val="00732B4F"/>
    <w:rsid w:val="0073381F"/>
    <w:rsid w:val="0073508C"/>
    <w:rsid w:val="00736834"/>
    <w:rsid w:val="00740FD5"/>
    <w:rsid w:val="00741911"/>
    <w:rsid w:val="00742295"/>
    <w:rsid w:val="00742DFC"/>
    <w:rsid w:val="0074398F"/>
    <w:rsid w:val="00745C6E"/>
    <w:rsid w:val="00745D52"/>
    <w:rsid w:val="00746065"/>
    <w:rsid w:val="0074659E"/>
    <w:rsid w:val="00746623"/>
    <w:rsid w:val="00746EC4"/>
    <w:rsid w:val="0074714A"/>
    <w:rsid w:val="00747BDE"/>
    <w:rsid w:val="00750249"/>
    <w:rsid w:val="0075058E"/>
    <w:rsid w:val="00750A56"/>
    <w:rsid w:val="00751F2C"/>
    <w:rsid w:val="00752144"/>
    <w:rsid w:val="00752C7F"/>
    <w:rsid w:val="007538C0"/>
    <w:rsid w:val="0075411E"/>
    <w:rsid w:val="007548E8"/>
    <w:rsid w:val="00754EB6"/>
    <w:rsid w:val="0075616F"/>
    <w:rsid w:val="0075700F"/>
    <w:rsid w:val="00757ECC"/>
    <w:rsid w:val="00760197"/>
    <w:rsid w:val="00760266"/>
    <w:rsid w:val="007606F3"/>
    <w:rsid w:val="00760900"/>
    <w:rsid w:val="007613BE"/>
    <w:rsid w:val="007620AB"/>
    <w:rsid w:val="00763C00"/>
    <w:rsid w:val="0076504E"/>
    <w:rsid w:val="00765F6E"/>
    <w:rsid w:val="00766678"/>
    <w:rsid w:val="0076681A"/>
    <w:rsid w:val="00767AB5"/>
    <w:rsid w:val="00770B6F"/>
    <w:rsid w:val="00771A30"/>
    <w:rsid w:val="00773B87"/>
    <w:rsid w:val="00773FC9"/>
    <w:rsid w:val="00775180"/>
    <w:rsid w:val="00775C53"/>
    <w:rsid w:val="00776527"/>
    <w:rsid w:val="00777C02"/>
    <w:rsid w:val="007806E8"/>
    <w:rsid w:val="007810B7"/>
    <w:rsid w:val="00781566"/>
    <w:rsid w:val="0078186B"/>
    <w:rsid w:val="00782350"/>
    <w:rsid w:val="0078245E"/>
    <w:rsid w:val="00782912"/>
    <w:rsid w:val="00782CC7"/>
    <w:rsid w:val="00784AA6"/>
    <w:rsid w:val="007852D4"/>
    <w:rsid w:val="00785419"/>
    <w:rsid w:val="00786878"/>
    <w:rsid w:val="00786B0F"/>
    <w:rsid w:val="00786B84"/>
    <w:rsid w:val="00787CA0"/>
    <w:rsid w:val="00791358"/>
    <w:rsid w:val="00791D0C"/>
    <w:rsid w:val="0079224F"/>
    <w:rsid w:val="00794177"/>
    <w:rsid w:val="00794639"/>
    <w:rsid w:val="00794B06"/>
    <w:rsid w:val="007958C8"/>
    <w:rsid w:val="0079590D"/>
    <w:rsid w:val="00795DF7"/>
    <w:rsid w:val="0079677B"/>
    <w:rsid w:val="007A08CE"/>
    <w:rsid w:val="007A0BBC"/>
    <w:rsid w:val="007A157F"/>
    <w:rsid w:val="007A167B"/>
    <w:rsid w:val="007A1D99"/>
    <w:rsid w:val="007A1F60"/>
    <w:rsid w:val="007A222C"/>
    <w:rsid w:val="007A40A6"/>
    <w:rsid w:val="007A5EF9"/>
    <w:rsid w:val="007A7621"/>
    <w:rsid w:val="007B268B"/>
    <w:rsid w:val="007B272A"/>
    <w:rsid w:val="007B2CFF"/>
    <w:rsid w:val="007B2D0F"/>
    <w:rsid w:val="007B3F12"/>
    <w:rsid w:val="007B4FF6"/>
    <w:rsid w:val="007B5ACA"/>
    <w:rsid w:val="007B5B6F"/>
    <w:rsid w:val="007C17E9"/>
    <w:rsid w:val="007C18D9"/>
    <w:rsid w:val="007C2429"/>
    <w:rsid w:val="007C415B"/>
    <w:rsid w:val="007C5E4E"/>
    <w:rsid w:val="007C6290"/>
    <w:rsid w:val="007C685F"/>
    <w:rsid w:val="007C753B"/>
    <w:rsid w:val="007D0699"/>
    <w:rsid w:val="007D0C2A"/>
    <w:rsid w:val="007D1167"/>
    <w:rsid w:val="007D1C2C"/>
    <w:rsid w:val="007D1E2C"/>
    <w:rsid w:val="007D2039"/>
    <w:rsid w:val="007D2FFF"/>
    <w:rsid w:val="007D31A5"/>
    <w:rsid w:val="007D33E3"/>
    <w:rsid w:val="007D3AEB"/>
    <w:rsid w:val="007D64AA"/>
    <w:rsid w:val="007D6B70"/>
    <w:rsid w:val="007D7980"/>
    <w:rsid w:val="007D7ACA"/>
    <w:rsid w:val="007E1793"/>
    <w:rsid w:val="007E25E9"/>
    <w:rsid w:val="007E35E1"/>
    <w:rsid w:val="007E3713"/>
    <w:rsid w:val="007E456F"/>
    <w:rsid w:val="007E49B8"/>
    <w:rsid w:val="007E4F00"/>
    <w:rsid w:val="007E4F22"/>
    <w:rsid w:val="007E54AF"/>
    <w:rsid w:val="007E596C"/>
    <w:rsid w:val="007E6C3A"/>
    <w:rsid w:val="007E71B4"/>
    <w:rsid w:val="007E7744"/>
    <w:rsid w:val="007F14D9"/>
    <w:rsid w:val="007F22E5"/>
    <w:rsid w:val="007F3594"/>
    <w:rsid w:val="007F39F2"/>
    <w:rsid w:val="007F447D"/>
    <w:rsid w:val="007F4ADB"/>
    <w:rsid w:val="007F4C6E"/>
    <w:rsid w:val="007F56ED"/>
    <w:rsid w:val="007F5BE3"/>
    <w:rsid w:val="007F5CCD"/>
    <w:rsid w:val="007F6256"/>
    <w:rsid w:val="007F6D9F"/>
    <w:rsid w:val="007F7555"/>
    <w:rsid w:val="0080097F"/>
    <w:rsid w:val="00801291"/>
    <w:rsid w:val="00801C05"/>
    <w:rsid w:val="008020C4"/>
    <w:rsid w:val="00802450"/>
    <w:rsid w:val="00803B46"/>
    <w:rsid w:val="00804137"/>
    <w:rsid w:val="008041EB"/>
    <w:rsid w:val="00805907"/>
    <w:rsid w:val="00805C24"/>
    <w:rsid w:val="00806263"/>
    <w:rsid w:val="008067D5"/>
    <w:rsid w:val="00811851"/>
    <w:rsid w:val="00811E5A"/>
    <w:rsid w:val="00811F99"/>
    <w:rsid w:val="008134AB"/>
    <w:rsid w:val="00813DD9"/>
    <w:rsid w:val="0081627F"/>
    <w:rsid w:val="00816BB2"/>
    <w:rsid w:val="00816BD0"/>
    <w:rsid w:val="00816CDE"/>
    <w:rsid w:val="0081722E"/>
    <w:rsid w:val="008202B2"/>
    <w:rsid w:val="008208D9"/>
    <w:rsid w:val="00820C0A"/>
    <w:rsid w:val="00821368"/>
    <w:rsid w:val="008240F2"/>
    <w:rsid w:val="00824130"/>
    <w:rsid w:val="00825783"/>
    <w:rsid w:val="00825BA6"/>
    <w:rsid w:val="00827145"/>
    <w:rsid w:val="00827D16"/>
    <w:rsid w:val="0083023A"/>
    <w:rsid w:val="00830399"/>
    <w:rsid w:val="008320CC"/>
    <w:rsid w:val="0083422A"/>
    <w:rsid w:val="00834ECC"/>
    <w:rsid w:val="00836573"/>
    <w:rsid w:val="0083665B"/>
    <w:rsid w:val="00837AAC"/>
    <w:rsid w:val="008429C7"/>
    <w:rsid w:val="00844B16"/>
    <w:rsid w:val="00844DED"/>
    <w:rsid w:val="008462FC"/>
    <w:rsid w:val="00847086"/>
    <w:rsid w:val="00847106"/>
    <w:rsid w:val="00850BD1"/>
    <w:rsid w:val="00851481"/>
    <w:rsid w:val="00852899"/>
    <w:rsid w:val="0085297A"/>
    <w:rsid w:val="00854570"/>
    <w:rsid w:val="00855074"/>
    <w:rsid w:val="008558AC"/>
    <w:rsid w:val="00856152"/>
    <w:rsid w:val="00856BD2"/>
    <w:rsid w:val="0086108F"/>
    <w:rsid w:val="00861B26"/>
    <w:rsid w:val="00864E87"/>
    <w:rsid w:val="00865D3A"/>
    <w:rsid w:val="00870379"/>
    <w:rsid w:val="00870C04"/>
    <w:rsid w:val="00873F02"/>
    <w:rsid w:val="008759A1"/>
    <w:rsid w:val="00876311"/>
    <w:rsid w:val="00876B54"/>
    <w:rsid w:val="00881387"/>
    <w:rsid w:val="00883A4D"/>
    <w:rsid w:val="00885045"/>
    <w:rsid w:val="00885E2D"/>
    <w:rsid w:val="00886E50"/>
    <w:rsid w:val="0088788A"/>
    <w:rsid w:val="0089004B"/>
    <w:rsid w:val="00890199"/>
    <w:rsid w:val="008906E2"/>
    <w:rsid w:val="008909A3"/>
    <w:rsid w:val="008935D6"/>
    <w:rsid w:val="00893944"/>
    <w:rsid w:val="00895FDA"/>
    <w:rsid w:val="00895FE3"/>
    <w:rsid w:val="0089689B"/>
    <w:rsid w:val="00896D98"/>
    <w:rsid w:val="0089733C"/>
    <w:rsid w:val="008A3405"/>
    <w:rsid w:val="008A3D86"/>
    <w:rsid w:val="008A6195"/>
    <w:rsid w:val="008A6594"/>
    <w:rsid w:val="008A693F"/>
    <w:rsid w:val="008B073A"/>
    <w:rsid w:val="008B0B44"/>
    <w:rsid w:val="008B1541"/>
    <w:rsid w:val="008B2092"/>
    <w:rsid w:val="008B2308"/>
    <w:rsid w:val="008B4719"/>
    <w:rsid w:val="008B4D03"/>
    <w:rsid w:val="008B5086"/>
    <w:rsid w:val="008B557F"/>
    <w:rsid w:val="008B73C7"/>
    <w:rsid w:val="008B7B29"/>
    <w:rsid w:val="008C0E89"/>
    <w:rsid w:val="008C1B3F"/>
    <w:rsid w:val="008C1EDF"/>
    <w:rsid w:val="008C2F2F"/>
    <w:rsid w:val="008C31A1"/>
    <w:rsid w:val="008C3761"/>
    <w:rsid w:val="008C3C04"/>
    <w:rsid w:val="008C3D6A"/>
    <w:rsid w:val="008C531E"/>
    <w:rsid w:val="008C6234"/>
    <w:rsid w:val="008C6349"/>
    <w:rsid w:val="008C653D"/>
    <w:rsid w:val="008D1C9A"/>
    <w:rsid w:val="008D1FAD"/>
    <w:rsid w:val="008D2DD1"/>
    <w:rsid w:val="008D2F2D"/>
    <w:rsid w:val="008D330B"/>
    <w:rsid w:val="008D60C3"/>
    <w:rsid w:val="008D6365"/>
    <w:rsid w:val="008D71F8"/>
    <w:rsid w:val="008D73B4"/>
    <w:rsid w:val="008D74AE"/>
    <w:rsid w:val="008D75D0"/>
    <w:rsid w:val="008D7786"/>
    <w:rsid w:val="008E21E1"/>
    <w:rsid w:val="008E3053"/>
    <w:rsid w:val="008E33E4"/>
    <w:rsid w:val="008E37AE"/>
    <w:rsid w:val="008E5573"/>
    <w:rsid w:val="008E5A50"/>
    <w:rsid w:val="008E66BA"/>
    <w:rsid w:val="008E6FDE"/>
    <w:rsid w:val="008E7669"/>
    <w:rsid w:val="008F0DBA"/>
    <w:rsid w:val="008F1610"/>
    <w:rsid w:val="008F162E"/>
    <w:rsid w:val="008F292D"/>
    <w:rsid w:val="008F3608"/>
    <w:rsid w:val="008F379F"/>
    <w:rsid w:val="008F4352"/>
    <w:rsid w:val="008F572E"/>
    <w:rsid w:val="00901A2F"/>
    <w:rsid w:val="00903BC6"/>
    <w:rsid w:val="00904227"/>
    <w:rsid w:val="0090436B"/>
    <w:rsid w:val="009056AE"/>
    <w:rsid w:val="00906622"/>
    <w:rsid w:val="0091162B"/>
    <w:rsid w:val="00912579"/>
    <w:rsid w:val="009129FA"/>
    <w:rsid w:val="00912D8C"/>
    <w:rsid w:val="009165F2"/>
    <w:rsid w:val="00917C5C"/>
    <w:rsid w:val="00924BB5"/>
    <w:rsid w:val="0092524B"/>
    <w:rsid w:val="00925AB0"/>
    <w:rsid w:val="00925E57"/>
    <w:rsid w:val="00925F54"/>
    <w:rsid w:val="00927A3D"/>
    <w:rsid w:val="00927C41"/>
    <w:rsid w:val="009300FB"/>
    <w:rsid w:val="00932ECB"/>
    <w:rsid w:val="0093445F"/>
    <w:rsid w:val="0093457B"/>
    <w:rsid w:val="00937573"/>
    <w:rsid w:val="00940F7A"/>
    <w:rsid w:val="00941550"/>
    <w:rsid w:val="00942719"/>
    <w:rsid w:val="0094297F"/>
    <w:rsid w:val="00942E52"/>
    <w:rsid w:val="009444D0"/>
    <w:rsid w:val="009458C0"/>
    <w:rsid w:val="009465DA"/>
    <w:rsid w:val="00946DE6"/>
    <w:rsid w:val="00946F2B"/>
    <w:rsid w:val="009471F6"/>
    <w:rsid w:val="00947851"/>
    <w:rsid w:val="00947CDA"/>
    <w:rsid w:val="009505C8"/>
    <w:rsid w:val="00951508"/>
    <w:rsid w:val="009527E9"/>
    <w:rsid w:val="00953494"/>
    <w:rsid w:val="00953913"/>
    <w:rsid w:val="00954ED1"/>
    <w:rsid w:val="0095545E"/>
    <w:rsid w:val="009554C6"/>
    <w:rsid w:val="00955914"/>
    <w:rsid w:val="00955CF9"/>
    <w:rsid w:val="0095684F"/>
    <w:rsid w:val="00956E63"/>
    <w:rsid w:val="00957017"/>
    <w:rsid w:val="00957B1C"/>
    <w:rsid w:val="00960537"/>
    <w:rsid w:val="00962C03"/>
    <w:rsid w:val="009633A2"/>
    <w:rsid w:val="009638AF"/>
    <w:rsid w:val="009638D5"/>
    <w:rsid w:val="00963C1A"/>
    <w:rsid w:val="00963DD7"/>
    <w:rsid w:val="009640A2"/>
    <w:rsid w:val="00965FD9"/>
    <w:rsid w:val="00971045"/>
    <w:rsid w:val="0097157D"/>
    <w:rsid w:val="00971D1B"/>
    <w:rsid w:val="00974A4A"/>
    <w:rsid w:val="009754CC"/>
    <w:rsid w:val="0097742D"/>
    <w:rsid w:val="00977ECB"/>
    <w:rsid w:val="00981C69"/>
    <w:rsid w:val="009827EE"/>
    <w:rsid w:val="00983F95"/>
    <w:rsid w:val="00984950"/>
    <w:rsid w:val="00985442"/>
    <w:rsid w:val="00987095"/>
    <w:rsid w:val="00987144"/>
    <w:rsid w:val="00987D23"/>
    <w:rsid w:val="00990AEC"/>
    <w:rsid w:val="00993997"/>
    <w:rsid w:val="00993C65"/>
    <w:rsid w:val="00994114"/>
    <w:rsid w:val="009944EF"/>
    <w:rsid w:val="00996402"/>
    <w:rsid w:val="00996D74"/>
    <w:rsid w:val="00997637"/>
    <w:rsid w:val="009A1E96"/>
    <w:rsid w:val="009A25B3"/>
    <w:rsid w:val="009A2631"/>
    <w:rsid w:val="009A361A"/>
    <w:rsid w:val="009A3D3B"/>
    <w:rsid w:val="009A43D0"/>
    <w:rsid w:val="009A4A46"/>
    <w:rsid w:val="009A5F07"/>
    <w:rsid w:val="009A5FF3"/>
    <w:rsid w:val="009A666E"/>
    <w:rsid w:val="009B0B20"/>
    <w:rsid w:val="009B1A26"/>
    <w:rsid w:val="009B3911"/>
    <w:rsid w:val="009B4E48"/>
    <w:rsid w:val="009B64CF"/>
    <w:rsid w:val="009C0A5C"/>
    <w:rsid w:val="009C2367"/>
    <w:rsid w:val="009C505E"/>
    <w:rsid w:val="009C63BB"/>
    <w:rsid w:val="009C647A"/>
    <w:rsid w:val="009C6C08"/>
    <w:rsid w:val="009C6C56"/>
    <w:rsid w:val="009C6EAC"/>
    <w:rsid w:val="009C74FA"/>
    <w:rsid w:val="009D094D"/>
    <w:rsid w:val="009D303C"/>
    <w:rsid w:val="009D419D"/>
    <w:rsid w:val="009D41B1"/>
    <w:rsid w:val="009D4BA7"/>
    <w:rsid w:val="009D7663"/>
    <w:rsid w:val="009D7B89"/>
    <w:rsid w:val="009D7D69"/>
    <w:rsid w:val="009E02D5"/>
    <w:rsid w:val="009E03CD"/>
    <w:rsid w:val="009E1241"/>
    <w:rsid w:val="009E140F"/>
    <w:rsid w:val="009E14B4"/>
    <w:rsid w:val="009E24E3"/>
    <w:rsid w:val="009E4A42"/>
    <w:rsid w:val="009E53AC"/>
    <w:rsid w:val="009E7330"/>
    <w:rsid w:val="009F0543"/>
    <w:rsid w:val="009F08FD"/>
    <w:rsid w:val="009F0A3B"/>
    <w:rsid w:val="009F1564"/>
    <w:rsid w:val="009F5D0B"/>
    <w:rsid w:val="009F706A"/>
    <w:rsid w:val="009F7FFC"/>
    <w:rsid w:val="00A00C3B"/>
    <w:rsid w:val="00A01ADD"/>
    <w:rsid w:val="00A03045"/>
    <w:rsid w:val="00A03C12"/>
    <w:rsid w:val="00A045D0"/>
    <w:rsid w:val="00A0500D"/>
    <w:rsid w:val="00A053A9"/>
    <w:rsid w:val="00A066E7"/>
    <w:rsid w:val="00A07524"/>
    <w:rsid w:val="00A077ED"/>
    <w:rsid w:val="00A113B3"/>
    <w:rsid w:val="00A12E8D"/>
    <w:rsid w:val="00A164D0"/>
    <w:rsid w:val="00A1701A"/>
    <w:rsid w:val="00A17ACE"/>
    <w:rsid w:val="00A17CF6"/>
    <w:rsid w:val="00A20AAE"/>
    <w:rsid w:val="00A20BBF"/>
    <w:rsid w:val="00A20D48"/>
    <w:rsid w:val="00A20F02"/>
    <w:rsid w:val="00A212BA"/>
    <w:rsid w:val="00A215CB"/>
    <w:rsid w:val="00A2205E"/>
    <w:rsid w:val="00A2349F"/>
    <w:rsid w:val="00A270C5"/>
    <w:rsid w:val="00A27F7B"/>
    <w:rsid w:val="00A30751"/>
    <w:rsid w:val="00A316E3"/>
    <w:rsid w:val="00A32052"/>
    <w:rsid w:val="00A3266B"/>
    <w:rsid w:val="00A33EB6"/>
    <w:rsid w:val="00A349B2"/>
    <w:rsid w:val="00A358CD"/>
    <w:rsid w:val="00A36A02"/>
    <w:rsid w:val="00A36D39"/>
    <w:rsid w:val="00A37224"/>
    <w:rsid w:val="00A373C5"/>
    <w:rsid w:val="00A37600"/>
    <w:rsid w:val="00A4001F"/>
    <w:rsid w:val="00A40695"/>
    <w:rsid w:val="00A40C7B"/>
    <w:rsid w:val="00A4232B"/>
    <w:rsid w:val="00A447F3"/>
    <w:rsid w:val="00A44AAD"/>
    <w:rsid w:val="00A45A15"/>
    <w:rsid w:val="00A46202"/>
    <w:rsid w:val="00A46892"/>
    <w:rsid w:val="00A469D9"/>
    <w:rsid w:val="00A46E3E"/>
    <w:rsid w:val="00A4787F"/>
    <w:rsid w:val="00A50282"/>
    <w:rsid w:val="00A52BA4"/>
    <w:rsid w:val="00A53315"/>
    <w:rsid w:val="00A538CA"/>
    <w:rsid w:val="00A53C1E"/>
    <w:rsid w:val="00A544CF"/>
    <w:rsid w:val="00A54A85"/>
    <w:rsid w:val="00A559AB"/>
    <w:rsid w:val="00A55D5F"/>
    <w:rsid w:val="00A55E42"/>
    <w:rsid w:val="00A5674A"/>
    <w:rsid w:val="00A574F8"/>
    <w:rsid w:val="00A61F25"/>
    <w:rsid w:val="00A6226E"/>
    <w:rsid w:val="00A6438B"/>
    <w:rsid w:val="00A64A8E"/>
    <w:rsid w:val="00A6604A"/>
    <w:rsid w:val="00A6642E"/>
    <w:rsid w:val="00A667C6"/>
    <w:rsid w:val="00A6701D"/>
    <w:rsid w:val="00A70E7A"/>
    <w:rsid w:val="00A713DA"/>
    <w:rsid w:val="00A71D49"/>
    <w:rsid w:val="00A72667"/>
    <w:rsid w:val="00A72905"/>
    <w:rsid w:val="00A73BE6"/>
    <w:rsid w:val="00A742A5"/>
    <w:rsid w:val="00A743E1"/>
    <w:rsid w:val="00A76CAE"/>
    <w:rsid w:val="00A77BE0"/>
    <w:rsid w:val="00A80C52"/>
    <w:rsid w:val="00A80C5F"/>
    <w:rsid w:val="00A818B4"/>
    <w:rsid w:val="00A81E73"/>
    <w:rsid w:val="00A81F3B"/>
    <w:rsid w:val="00A82C13"/>
    <w:rsid w:val="00A82D9E"/>
    <w:rsid w:val="00A830C1"/>
    <w:rsid w:val="00A83182"/>
    <w:rsid w:val="00A83950"/>
    <w:rsid w:val="00A86AEE"/>
    <w:rsid w:val="00A90ED1"/>
    <w:rsid w:val="00A90EE4"/>
    <w:rsid w:val="00A90F6D"/>
    <w:rsid w:val="00A9142D"/>
    <w:rsid w:val="00A91C92"/>
    <w:rsid w:val="00A91EB8"/>
    <w:rsid w:val="00A92CFD"/>
    <w:rsid w:val="00A92F9A"/>
    <w:rsid w:val="00A9348E"/>
    <w:rsid w:val="00A9410A"/>
    <w:rsid w:val="00A941CE"/>
    <w:rsid w:val="00A951D0"/>
    <w:rsid w:val="00A957EB"/>
    <w:rsid w:val="00A9595E"/>
    <w:rsid w:val="00A962FD"/>
    <w:rsid w:val="00A96C6B"/>
    <w:rsid w:val="00A9775D"/>
    <w:rsid w:val="00AA03E7"/>
    <w:rsid w:val="00AA1649"/>
    <w:rsid w:val="00AA1D5C"/>
    <w:rsid w:val="00AA1E42"/>
    <w:rsid w:val="00AA2B43"/>
    <w:rsid w:val="00AA30B8"/>
    <w:rsid w:val="00AA375A"/>
    <w:rsid w:val="00AA5021"/>
    <w:rsid w:val="00AA6489"/>
    <w:rsid w:val="00AA7279"/>
    <w:rsid w:val="00AB18F2"/>
    <w:rsid w:val="00AB2654"/>
    <w:rsid w:val="00AB2D79"/>
    <w:rsid w:val="00AB34A4"/>
    <w:rsid w:val="00AB3E53"/>
    <w:rsid w:val="00AB4C71"/>
    <w:rsid w:val="00AB5861"/>
    <w:rsid w:val="00AB5DFA"/>
    <w:rsid w:val="00AB642F"/>
    <w:rsid w:val="00AB67A9"/>
    <w:rsid w:val="00AB7605"/>
    <w:rsid w:val="00AB7D06"/>
    <w:rsid w:val="00AC04C2"/>
    <w:rsid w:val="00AC0808"/>
    <w:rsid w:val="00AC21C4"/>
    <w:rsid w:val="00AC27E8"/>
    <w:rsid w:val="00AC2D29"/>
    <w:rsid w:val="00AC326C"/>
    <w:rsid w:val="00AC395A"/>
    <w:rsid w:val="00AC4AE4"/>
    <w:rsid w:val="00AC5271"/>
    <w:rsid w:val="00AC58DB"/>
    <w:rsid w:val="00AC60CE"/>
    <w:rsid w:val="00AC60D7"/>
    <w:rsid w:val="00AD0414"/>
    <w:rsid w:val="00AD0A55"/>
    <w:rsid w:val="00AD1136"/>
    <w:rsid w:val="00AD1900"/>
    <w:rsid w:val="00AD2517"/>
    <w:rsid w:val="00AD3E9E"/>
    <w:rsid w:val="00AD65CF"/>
    <w:rsid w:val="00AE1518"/>
    <w:rsid w:val="00AE1B44"/>
    <w:rsid w:val="00AE318C"/>
    <w:rsid w:val="00AE36AC"/>
    <w:rsid w:val="00AE36DC"/>
    <w:rsid w:val="00AE3896"/>
    <w:rsid w:val="00AE4856"/>
    <w:rsid w:val="00AE496E"/>
    <w:rsid w:val="00AE57E7"/>
    <w:rsid w:val="00AE6006"/>
    <w:rsid w:val="00AE609E"/>
    <w:rsid w:val="00AE7E2D"/>
    <w:rsid w:val="00AE7FEE"/>
    <w:rsid w:val="00AF007D"/>
    <w:rsid w:val="00AF22B9"/>
    <w:rsid w:val="00AF2AAC"/>
    <w:rsid w:val="00AF371B"/>
    <w:rsid w:val="00AF46A9"/>
    <w:rsid w:val="00AF47EF"/>
    <w:rsid w:val="00AF4CA1"/>
    <w:rsid w:val="00B0040C"/>
    <w:rsid w:val="00B011D9"/>
    <w:rsid w:val="00B01A24"/>
    <w:rsid w:val="00B01B31"/>
    <w:rsid w:val="00B02225"/>
    <w:rsid w:val="00B02EF2"/>
    <w:rsid w:val="00B03D75"/>
    <w:rsid w:val="00B04366"/>
    <w:rsid w:val="00B04720"/>
    <w:rsid w:val="00B04803"/>
    <w:rsid w:val="00B04808"/>
    <w:rsid w:val="00B048C0"/>
    <w:rsid w:val="00B04F62"/>
    <w:rsid w:val="00B05E21"/>
    <w:rsid w:val="00B07039"/>
    <w:rsid w:val="00B10316"/>
    <w:rsid w:val="00B10CCC"/>
    <w:rsid w:val="00B112C8"/>
    <w:rsid w:val="00B11D8F"/>
    <w:rsid w:val="00B12E47"/>
    <w:rsid w:val="00B13141"/>
    <w:rsid w:val="00B1389B"/>
    <w:rsid w:val="00B13974"/>
    <w:rsid w:val="00B13CD3"/>
    <w:rsid w:val="00B1520B"/>
    <w:rsid w:val="00B160F8"/>
    <w:rsid w:val="00B1680E"/>
    <w:rsid w:val="00B20B45"/>
    <w:rsid w:val="00B20C86"/>
    <w:rsid w:val="00B219D4"/>
    <w:rsid w:val="00B22C53"/>
    <w:rsid w:val="00B237EB"/>
    <w:rsid w:val="00B23BAB"/>
    <w:rsid w:val="00B25071"/>
    <w:rsid w:val="00B26428"/>
    <w:rsid w:val="00B26CCF"/>
    <w:rsid w:val="00B27CE7"/>
    <w:rsid w:val="00B3001C"/>
    <w:rsid w:val="00B304C7"/>
    <w:rsid w:val="00B31C81"/>
    <w:rsid w:val="00B31DB4"/>
    <w:rsid w:val="00B33C14"/>
    <w:rsid w:val="00B34987"/>
    <w:rsid w:val="00B34D88"/>
    <w:rsid w:val="00B35D9C"/>
    <w:rsid w:val="00B36558"/>
    <w:rsid w:val="00B37ADC"/>
    <w:rsid w:val="00B40F7C"/>
    <w:rsid w:val="00B4106E"/>
    <w:rsid w:val="00B41D56"/>
    <w:rsid w:val="00B43227"/>
    <w:rsid w:val="00B442BD"/>
    <w:rsid w:val="00B446D5"/>
    <w:rsid w:val="00B45F64"/>
    <w:rsid w:val="00B45FA3"/>
    <w:rsid w:val="00B503B8"/>
    <w:rsid w:val="00B50BAA"/>
    <w:rsid w:val="00B51617"/>
    <w:rsid w:val="00B5188D"/>
    <w:rsid w:val="00B53F18"/>
    <w:rsid w:val="00B53FF0"/>
    <w:rsid w:val="00B568F7"/>
    <w:rsid w:val="00B56919"/>
    <w:rsid w:val="00B60CD4"/>
    <w:rsid w:val="00B60CD6"/>
    <w:rsid w:val="00B62295"/>
    <w:rsid w:val="00B624F5"/>
    <w:rsid w:val="00B62B6E"/>
    <w:rsid w:val="00B64596"/>
    <w:rsid w:val="00B64A6F"/>
    <w:rsid w:val="00B65289"/>
    <w:rsid w:val="00B658CB"/>
    <w:rsid w:val="00B70313"/>
    <w:rsid w:val="00B71189"/>
    <w:rsid w:val="00B71FC2"/>
    <w:rsid w:val="00B742A7"/>
    <w:rsid w:val="00B75088"/>
    <w:rsid w:val="00B75455"/>
    <w:rsid w:val="00B755CC"/>
    <w:rsid w:val="00B800CB"/>
    <w:rsid w:val="00B8012E"/>
    <w:rsid w:val="00B80512"/>
    <w:rsid w:val="00B81169"/>
    <w:rsid w:val="00B81C21"/>
    <w:rsid w:val="00B82589"/>
    <w:rsid w:val="00B829CA"/>
    <w:rsid w:val="00B84354"/>
    <w:rsid w:val="00B84572"/>
    <w:rsid w:val="00B861B4"/>
    <w:rsid w:val="00B87866"/>
    <w:rsid w:val="00B87E27"/>
    <w:rsid w:val="00B90887"/>
    <w:rsid w:val="00B90D35"/>
    <w:rsid w:val="00B93486"/>
    <w:rsid w:val="00B93D6E"/>
    <w:rsid w:val="00B94489"/>
    <w:rsid w:val="00B961AF"/>
    <w:rsid w:val="00BA0A1B"/>
    <w:rsid w:val="00BA19EF"/>
    <w:rsid w:val="00BA1A21"/>
    <w:rsid w:val="00BA307E"/>
    <w:rsid w:val="00BA384B"/>
    <w:rsid w:val="00BA55FB"/>
    <w:rsid w:val="00BA5AC6"/>
    <w:rsid w:val="00BA5D10"/>
    <w:rsid w:val="00BA6C03"/>
    <w:rsid w:val="00BA70AF"/>
    <w:rsid w:val="00BA7D83"/>
    <w:rsid w:val="00BB041A"/>
    <w:rsid w:val="00BB11BE"/>
    <w:rsid w:val="00BB16B0"/>
    <w:rsid w:val="00BB1844"/>
    <w:rsid w:val="00BB3F8A"/>
    <w:rsid w:val="00BB503B"/>
    <w:rsid w:val="00BB5099"/>
    <w:rsid w:val="00BB5527"/>
    <w:rsid w:val="00BC00DE"/>
    <w:rsid w:val="00BC0434"/>
    <w:rsid w:val="00BC36AE"/>
    <w:rsid w:val="00BC4527"/>
    <w:rsid w:val="00BC566A"/>
    <w:rsid w:val="00BC5E94"/>
    <w:rsid w:val="00BC695C"/>
    <w:rsid w:val="00BC6ABC"/>
    <w:rsid w:val="00BD0485"/>
    <w:rsid w:val="00BD0749"/>
    <w:rsid w:val="00BD1A49"/>
    <w:rsid w:val="00BD1D51"/>
    <w:rsid w:val="00BD1EDA"/>
    <w:rsid w:val="00BD26C2"/>
    <w:rsid w:val="00BD27C3"/>
    <w:rsid w:val="00BD4D3A"/>
    <w:rsid w:val="00BD4F5F"/>
    <w:rsid w:val="00BD52C0"/>
    <w:rsid w:val="00BD5404"/>
    <w:rsid w:val="00BD71CE"/>
    <w:rsid w:val="00BD7631"/>
    <w:rsid w:val="00BD7C5F"/>
    <w:rsid w:val="00BE0B4B"/>
    <w:rsid w:val="00BE16CC"/>
    <w:rsid w:val="00BE22F2"/>
    <w:rsid w:val="00BE4024"/>
    <w:rsid w:val="00BE4D81"/>
    <w:rsid w:val="00BE5C68"/>
    <w:rsid w:val="00BE5DA3"/>
    <w:rsid w:val="00BE7DA2"/>
    <w:rsid w:val="00BE7E6C"/>
    <w:rsid w:val="00BF0374"/>
    <w:rsid w:val="00BF1193"/>
    <w:rsid w:val="00BF3109"/>
    <w:rsid w:val="00BF3BAD"/>
    <w:rsid w:val="00BF3FAB"/>
    <w:rsid w:val="00BF4005"/>
    <w:rsid w:val="00BF4581"/>
    <w:rsid w:val="00BF6CD3"/>
    <w:rsid w:val="00BF6FC1"/>
    <w:rsid w:val="00BF71C5"/>
    <w:rsid w:val="00C0046E"/>
    <w:rsid w:val="00C01738"/>
    <w:rsid w:val="00C01955"/>
    <w:rsid w:val="00C0230A"/>
    <w:rsid w:val="00C02439"/>
    <w:rsid w:val="00C02C02"/>
    <w:rsid w:val="00C06A23"/>
    <w:rsid w:val="00C076EA"/>
    <w:rsid w:val="00C07D41"/>
    <w:rsid w:val="00C10245"/>
    <w:rsid w:val="00C115DD"/>
    <w:rsid w:val="00C13636"/>
    <w:rsid w:val="00C14129"/>
    <w:rsid w:val="00C14312"/>
    <w:rsid w:val="00C14A5A"/>
    <w:rsid w:val="00C14D2E"/>
    <w:rsid w:val="00C152F8"/>
    <w:rsid w:val="00C15A49"/>
    <w:rsid w:val="00C16E8A"/>
    <w:rsid w:val="00C2035F"/>
    <w:rsid w:val="00C20E65"/>
    <w:rsid w:val="00C21974"/>
    <w:rsid w:val="00C22FCC"/>
    <w:rsid w:val="00C2531F"/>
    <w:rsid w:val="00C25472"/>
    <w:rsid w:val="00C25696"/>
    <w:rsid w:val="00C2735F"/>
    <w:rsid w:val="00C31EB1"/>
    <w:rsid w:val="00C32C42"/>
    <w:rsid w:val="00C33301"/>
    <w:rsid w:val="00C3377B"/>
    <w:rsid w:val="00C35A53"/>
    <w:rsid w:val="00C3638F"/>
    <w:rsid w:val="00C367BF"/>
    <w:rsid w:val="00C368CA"/>
    <w:rsid w:val="00C3735D"/>
    <w:rsid w:val="00C40A1F"/>
    <w:rsid w:val="00C41EB3"/>
    <w:rsid w:val="00C432A6"/>
    <w:rsid w:val="00C43BFB"/>
    <w:rsid w:val="00C444D8"/>
    <w:rsid w:val="00C454DC"/>
    <w:rsid w:val="00C45BEC"/>
    <w:rsid w:val="00C46848"/>
    <w:rsid w:val="00C469C5"/>
    <w:rsid w:val="00C5263B"/>
    <w:rsid w:val="00C5333A"/>
    <w:rsid w:val="00C5353C"/>
    <w:rsid w:val="00C53993"/>
    <w:rsid w:val="00C53D0A"/>
    <w:rsid w:val="00C5437E"/>
    <w:rsid w:val="00C54A43"/>
    <w:rsid w:val="00C54F88"/>
    <w:rsid w:val="00C55713"/>
    <w:rsid w:val="00C55F12"/>
    <w:rsid w:val="00C57FA8"/>
    <w:rsid w:val="00C6005A"/>
    <w:rsid w:val="00C61494"/>
    <w:rsid w:val="00C61A74"/>
    <w:rsid w:val="00C622B3"/>
    <w:rsid w:val="00C62B20"/>
    <w:rsid w:val="00C62D39"/>
    <w:rsid w:val="00C654DE"/>
    <w:rsid w:val="00C655C4"/>
    <w:rsid w:val="00C65FDB"/>
    <w:rsid w:val="00C662D2"/>
    <w:rsid w:val="00C67B98"/>
    <w:rsid w:val="00C67B9B"/>
    <w:rsid w:val="00C67D0F"/>
    <w:rsid w:val="00C701EC"/>
    <w:rsid w:val="00C705A4"/>
    <w:rsid w:val="00C70D43"/>
    <w:rsid w:val="00C71375"/>
    <w:rsid w:val="00C714CD"/>
    <w:rsid w:val="00C7177F"/>
    <w:rsid w:val="00C72B89"/>
    <w:rsid w:val="00C73170"/>
    <w:rsid w:val="00C7383B"/>
    <w:rsid w:val="00C753DE"/>
    <w:rsid w:val="00C77BDC"/>
    <w:rsid w:val="00C80353"/>
    <w:rsid w:val="00C80730"/>
    <w:rsid w:val="00C8187E"/>
    <w:rsid w:val="00C81CDB"/>
    <w:rsid w:val="00C82AD4"/>
    <w:rsid w:val="00C832A5"/>
    <w:rsid w:val="00C83DA7"/>
    <w:rsid w:val="00C84051"/>
    <w:rsid w:val="00C8611B"/>
    <w:rsid w:val="00C86586"/>
    <w:rsid w:val="00C86B2E"/>
    <w:rsid w:val="00C870BC"/>
    <w:rsid w:val="00C91461"/>
    <w:rsid w:val="00C915BF"/>
    <w:rsid w:val="00C91AB4"/>
    <w:rsid w:val="00C9296B"/>
    <w:rsid w:val="00C92FD4"/>
    <w:rsid w:val="00C93C96"/>
    <w:rsid w:val="00C94F96"/>
    <w:rsid w:val="00C957C1"/>
    <w:rsid w:val="00C95817"/>
    <w:rsid w:val="00C96A42"/>
    <w:rsid w:val="00C97B67"/>
    <w:rsid w:val="00CA0221"/>
    <w:rsid w:val="00CA1186"/>
    <w:rsid w:val="00CA232C"/>
    <w:rsid w:val="00CA3921"/>
    <w:rsid w:val="00CA4AF3"/>
    <w:rsid w:val="00CA5185"/>
    <w:rsid w:val="00CA5411"/>
    <w:rsid w:val="00CA6603"/>
    <w:rsid w:val="00CA6F4C"/>
    <w:rsid w:val="00CA70D0"/>
    <w:rsid w:val="00CA7497"/>
    <w:rsid w:val="00CA786F"/>
    <w:rsid w:val="00CB0594"/>
    <w:rsid w:val="00CB05BE"/>
    <w:rsid w:val="00CB177C"/>
    <w:rsid w:val="00CB1F6F"/>
    <w:rsid w:val="00CB3B9D"/>
    <w:rsid w:val="00CB50C6"/>
    <w:rsid w:val="00CB53B6"/>
    <w:rsid w:val="00CB5591"/>
    <w:rsid w:val="00CB5805"/>
    <w:rsid w:val="00CB5E03"/>
    <w:rsid w:val="00CB6122"/>
    <w:rsid w:val="00CB7434"/>
    <w:rsid w:val="00CC1E02"/>
    <w:rsid w:val="00CC21DB"/>
    <w:rsid w:val="00CC272D"/>
    <w:rsid w:val="00CC37C1"/>
    <w:rsid w:val="00CC506C"/>
    <w:rsid w:val="00CC529F"/>
    <w:rsid w:val="00CC57DB"/>
    <w:rsid w:val="00CC6673"/>
    <w:rsid w:val="00CC78C0"/>
    <w:rsid w:val="00CD028B"/>
    <w:rsid w:val="00CD07C0"/>
    <w:rsid w:val="00CD0F94"/>
    <w:rsid w:val="00CD119A"/>
    <w:rsid w:val="00CD3A48"/>
    <w:rsid w:val="00CD452C"/>
    <w:rsid w:val="00CD54D4"/>
    <w:rsid w:val="00CD588F"/>
    <w:rsid w:val="00CD5A15"/>
    <w:rsid w:val="00CD5AB1"/>
    <w:rsid w:val="00CD61CC"/>
    <w:rsid w:val="00CD6445"/>
    <w:rsid w:val="00CD66D1"/>
    <w:rsid w:val="00CD7E09"/>
    <w:rsid w:val="00CE002E"/>
    <w:rsid w:val="00CE0170"/>
    <w:rsid w:val="00CE1094"/>
    <w:rsid w:val="00CE145E"/>
    <w:rsid w:val="00CE4ABE"/>
    <w:rsid w:val="00CE5261"/>
    <w:rsid w:val="00CE52DE"/>
    <w:rsid w:val="00CE5888"/>
    <w:rsid w:val="00CE5CEB"/>
    <w:rsid w:val="00CF0199"/>
    <w:rsid w:val="00CF1877"/>
    <w:rsid w:val="00CF1F8A"/>
    <w:rsid w:val="00CF2CE3"/>
    <w:rsid w:val="00CF36F6"/>
    <w:rsid w:val="00CF3AED"/>
    <w:rsid w:val="00CF4D40"/>
    <w:rsid w:val="00CF526A"/>
    <w:rsid w:val="00CF5BFC"/>
    <w:rsid w:val="00CF5E5A"/>
    <w:rsid w:val="00D003EA"/>
    <w:rsid w:val="00D03B1D"/>
    <w:rsid w:val="00D03FB4"/>
    <w:rsid w:val="00D04083"/>
    <w:rsid w:val="00D055B9"/>
    <w:rsid w:val="00D05D76"/>
    <w:rsid w:val="00D10CE9"/>
    <w:rsid w:val="00D10EF4"/>
    <w:rsid w:val="00D11526"/>
    <w:rsid w:val="00D12641"/>
    <w:rsid w:val="00D12827"/>
    <w:rsid w:val="00D13A36"/>
    <w:rsid w:val="00D15230"/>
    <w:rsid w:val="00D154CB"/>
    <w:rsid w:val="00D16AF5"/>
    <w:rsid w:val="00D170C0"/>
    <w:rsid w:val="00D17E73"/>
    <w:rsid w:val="00D2009B"/>
    <w:rsid w:val="00D203E5"/>
    <w:rsid w:val="00D22C77"/>
    <w:rsid w:val="00D23CFF"/>
    <w:rsid w:val="00D251A0"/>
    <w:rsid w:val="00D255EC"/>
    <w:rsid w:val="00D25B42"/>
    <w:rsid w:val="00D25FD4"/>
    <w:rsid w:val="00D2654C"/>
    <w:rsid w:val="00D265EE"/>
    <w:rsid w:val="00D268CD"/>
    <w:rsid w:val="00D268F1"/>
    <w:rsid w:val="00D26B2B"/>
    <w:rsid w:val="00D30F47"/>
    <w:rsid w:val="00D321AB"/>
    <w:rsid w:val="00D32A92"/>
    <w:rsid w:val="00D32DD1"/>
    <w:rsid w:val="00D343D4"/>
    <w:rsid w:val="00D35D19"/>
    <w:rsid w:val="00D360B6"/>
    <w:rsid w:val="00D362B6"/>
    <w:rsid w:val="00D372C4"/>
    <w:rsid w:val="00D3750E"/>
    <w:rsid w:val="00D37B01"/>
    <w:rsid w:val="00D4086A"/>
    <w:rsid w:val="00D41219"/>
    <w:rsid w:val="00D414CD"/>
    <w:rsid w:val="00D420B4"/>
    <w:rsid w:val="00D43F30"/>
    <w:rsid w:val="00D440C1"/>
    <w:rsid w:val="00D444D9"/>
    <w:rsid w:val="00D44764"/>
    <w:rsid w:val="00D44B70"/>
    <w:rsid w:val="00D44BF1"/>
    <w:rsid w:val="00D459A3"/>
    <w:rsid w:val="00D45C3F"/>
    <w:rsid w:val="00D45FA0"/>
    <w:rsid w:val="00D50B2F"/>
    <w:rsid w:val="00D51AF4"/>
    <w:rsid w:val="00D520B1"/>
    <w:rsid w:val="00D525E3"/>
    <w:rsid w:val="00D52EA4"/>
    <w:rsid w:val="00D5334E"/>
    <w:rsid w:val="00D54819"/>
    <w:rsid w:val="00D54B4A"/>
    <w:rsid w:val="00D55A72"/>
    <w:rsid w:val="00D601EE"/>
    <w:rsid w:val="00D62612"/>
    <w:rsid w:val="00D6297E"/>
    <w:rsid w:val="00D6589E"/>
    <w:rsid w:val="00D659E4"/>
    <w:rsid w:val="00D66F76"/>
    <w:rsid w:val="00D71F6C"/>
    <w:rsid w:val="00D72642"/>
    <w:rsid w:val="00D72805"/>
    <w:rsid w:val="00D72A4A"/>
    <w:rsid w:val="00D73F44"/>
    <w:rsid w:val="00D74F39"/>
    <w:rsid w:val="00D76159"/>
    <w:rsid w:val="00D767B6"/>
    <w:rsid w:val="00D76F4B"/>
    <w:rsid w:val="00D77E0C"/>
    <w:rsid w:val="00D80126"/>
    <w:rsid w:val="00D80451"/>
    <w:rsid w:val="00D81715"/>
    <w:rsid w:val="00D82720"/>
    <w:rsid w:val="00D82A22"/>
    <w:rsid w:val="00D84304"/>
    <w:rsid w:val="00D849E6"/>
    <w:rsid w:val="00D86165"/>
    <w:rsid w:val="00D8735F"/>
    <w:rsid w:val="00D901C9"/>
    <w:rsid w:val="00D9222C"/>
    <w:rsid w:val="00D93C76"/>
    <w:rsid w:val="00D9486C"/>
    <w:rsid w:val="00D9504E"/>
    <w:rsid w:val="00D95D55"/>
    <w:rsid w:val="00D96904"/>
    <w:rsid w:val="00D971BD"/>
    <w:rsid w:val="00D97973"/>
    <w:rsid w:val="00DA0E12"/>
    <w:rsid w:val="00DA12CF"/>
    <w:rsid w:val="00DA1982"/>
    <w:rsid w:val="00DA231B"/>
    <w:rsid w:val="00DA270A"/>
    <w:rsid w:val="00DA32E3"/>
    <w:rsid w:val="00DA4AC7"/>
    <w:rsid w:val="00DA4BE2"/>
    <w:rsid w:val="00DA52D6"/>
    <w:rsid w:val="00DA561D"/>
    <w:rsid w:val="00DA5B6E"/>
    <w:rsid w:val="00DA7789"/>
    <w:rsid w:val="00DA78A5"/>
    <w:rsid w:val="00DA7938"/>
    <w:rsid w:val="00DB0B99"/>
    <w:rsid w:val="00DB1522"/>
    <w:rsid w:val="00DB1806"/>
    <w:rsid w:val="00DB1831"/>
    <w:rsid w:val="00DB200E"/>
    <w:rsid w:val="00DB32F7"/>
    <w:rsid w:val="00DB367D"/>
    <w:rsid w:val="00DB4F7E"/>
    <w:rsid w:val="00DB7EEF"/>
    <w:rsid w:val="00DC0234"/>
    <w:rsid w:val="00DC19A2"/>
    <w:rsid w:val="00DC534A"/>
    <w:rsid w:val="00DC55DE"/>
    <w:rsid w:val="00DC58A9"/>
    <w:rsid w:val="00DC604E"/>
    <w:rsid w:val="00DC6889"/>
    <w:rsid w:val="00DC68CD"/>
    <w:rsid w:val="00DC7017"/>
    <w:rsid w:val="00DD0962"/>
    <w:rsid w:val="00DD0FF7"/>
    <w:rsid w:val="00DD154A"/>
    <w:rsid w:val="00DD2761"/>
    <w:rsid w:val="00DD3605"/>
    <w:rsid w:val="00DD3629"/>
    <w:rsid w:val="00DD3AFE"/>
    <w:rsid w:val="00DD5B5F"/>
    <w:rsid w:val="00DD6947"/>
    <w:rsid w:val="00DD69F5"/>
    <w:rsid w:val="00DD77AD"/>
    <w:rsid w:val="00DD7E31"/>
    <w:rsid w:val="00DE0460"/>
    <w:rsid w:val="00DE07AE"/>
    <w:rsid w:val="00DE1761"/>
    <w:rsid w:val="00DE18EE"/>
    <w:rsid w:val="00DE331B"/>
    <w:rsid w:val="00DE4CFF"/>
    <w:rsid w:val="00DE5C6E"/>
    <w:rsid w:val="00DE5F03"/>
    <w:rsid w:val="00DE680C"/>
    <w:rsid w:val="00DE73A3"/>
    <w:rsid w:val="00DE756B"/>
    <w:rsid w:val="00DE7AD9"/>
    <w:rsid w:val="00DF0664"/>
    <w:rsid w:val="00DF1164"/>
    <w:rsid w:val="00DF15A8"/>
    <w:rsid w:val="00DF39AB"/>
    <w:rsid w:val="00DF3EE4"/>
    <w:rsid w:val="00DF47EB"/>
    <w:rsid w:val="00DF482B"/>
    <w:rsid w:val="00DF5B46"/>
    <w:rsid w:val="00DF5CA3"/>
    <w:rsid w:val="00DF6726"/>
    <w:rsid w:val="00DF6F54"/>
    <w:rsid w:val="00DF7526"/>
    <w:rsid w:val="00E007A4"/>
    <w:rsid w:val="00E00C1B"/>
    <w:rsid w:val="00E02032"/>
    <w:rsid w:val="00E021D3"/>
    <w:rsid w:val="00E02AD5"/>
    <w:rsid w:val="00E03A18"/>
    <w:rsid w:val="00E0469B"/>
    <w:rsid w:val="00E0787E"/>
    <w:rsid w:val="00E10E84"/>
    <w:rsid w:val="00E11671"/>
    <w:rsid w:val="00E1209E"/>
    <w:rsid w:val="00E12E1E"/>
    <w:rsid w:val="00E12F88"/>
    <w:rsid w:val="00E13C4D"/>
    <w:rsid w:val="00E13F5B"/>
    <w:rsid w:val="00E1474D"/>
    <w:rsid w:val="00E14CAC"/>
    <w:rsid w:val="00E206FE"/>
    <w:rsid w:val="00E2110A"/>
    <w:rsid w:val="00E22437"/>
    <w:rsid w:val="00E236CD"/>
    <w:rsid w:val="00E240B3"/>
    <w:rsid w:val="00E27AE8"/>
    <w:rsid w:val="00E27DD4"/>
    <w:rsid w:val="00E32525"/>
    <w:rsid w:val="00E33BE3"/>
    <w:rsid w:val="00E33D10"/>
    <w:rsid w:val="00E33EF4"/>
    <w:rsid w:val="00E3411A"/>
    <w:rsid w:val="00E34189"/>
    <w:rsid w:val="00E347F8"/>
    <w:rsid w:val="00E36A62"/>
    <w:rsid w:val="00E36D6B"/>
    <w:rsid w:val="00E36ECA"/>
    <w:rsid w:val="00E374C0"/>
    <w:rsid w:val="00E37CD0"/>
    <w:rsid w:val="00E40274"/>
    <w:rsid w:val="00E40AE0"/>
    <w:rsid w:val="00E411EF"/>
    <w:rsid w:val="00E41770"/>
    <w:rsid w:val="00E42962"/>
    <w:rsid w:val="00E4401E"/>
    <w:rsid w:val="00E44EF0"/>
    <w:rsid w:val="00E46828"/>
    <w:rsid w:val="00E46A3B"/>
    <w:rsid w:val="00E47BC0"/>
    <w:rsid w:val="00E47D2E"/>
    <w:rsid w:val="00E50338"/>
    <w:rsid w:val="00E50C0A"/>
    <w:rsid w:val="00E51E00"/>
    <w:rsid w:val="00E524A7"/>
    <w:rsid w:val="00E53299"/>
    <w:rsid w:val="00E55FFA"/>
    <w:rsid w:val="00E567B8"/>
    <w:rsid w:val="00E569C4"/>
    <w:rsid w:val="00E56BFD"/>
    <w:rsid w:val="00E5726A"/>
    <w:rsid w:val="00E574EA"/>
    <w:rsid w:val="00E611AC"/>
    <w:rsid w:val="00E6264E"/>
    <w:rsid w:val="00E62F96"/>
    <w:rsid w:val="00E6388C"/>
    <w:rsid w:val="00E64D11"/>
    <w:rsid w:val="00E65407"/>
    <w:rsid w:val="00E66224"/>
    <w:rsid w:val="00E71F83"/>
    <w:rsid w:val="00E7325D"/>
    <w:rsid w:val="00E7635E"/>
    <w:rsid w:val="00E77E56"/>
    <w:rsid w:val="00E8058A"/>
    <w:rsid w:val="00E80CC0"/>
    <w:rsid w:val="00E81C77"/>
    <w:rsid w:val="00E825F3"/>
    <w:rsid w:val="00E85BE6"/>
    <w:rsid w:val="00E85BE9"/>
    <w:rsid w:val="00E86333"/>
    <w:rsid w:val="00E87201"/>
    <w:rsid w:val="00E87EE4"/>
    <w:rsid w:val="00E9113A"/>
    <w:rsid w:val="00E91433"/>
    <w:rsid w:val="00E91A99"/>
    <w:rsid w:val="00E9562E"/>
    <w:rsid w:val="00E95823"/>
    <w:rsid w:val="00E961E8"/>
    <w:rsid w:val="00E96616"/>
    <w:rsid w:val="00E96770"/>
    <w:rsid w:val="00E96C7C"/>
    <w:rsid w:val="00E9785C"/>
    <w:rsid w:val="00EA0562"/>
    <w:rsid w:val="00EA131A"/>
    <w:rsid w:val="00EA38E7"/>
    <w:rsid w:val="00EA3C7D"/>
    <w:rsid w:val="00EA4279"/>
    <w:rsid w:val="00EA49D5"/>
    <w:rsid w:val="00EA4A82"/>
    <w:rsid w:val="00EA4FB5"/>
    <w:rsid w:val="00EA5213"/>
    <w:rsid w:val="00EA5479"/>
    <w:rsid w:val="00EA5A29"/>
    <w:rsid w:val="00EA621B"/>
    <w:rsid w:val="00EA6BD1"/>
    <w:rsid w:val="00EA6D08"/>
    <w:rsid w:val="00EB1C77"/>
    <w:rsid w:val="00EB255A"/>
    <w:rsid w:val="00EB3CA2"/>
    <w:rsid w:val="00EB40EE"/>
    <w:rsid w:val="00EB463F"/>
    <w:rsid w:val="00EB55BE"/>
    <w:rsid w:val="00EB5C8D"/>
    <w:rsid w:val="00EB6564"/>
    <w:rsid w:val="00EB7CE8"/>
    <w:rsid w:val="00EB7D0D"/>
    <w:rsid w:val="00EC05E1"/>
    <w:rsid w:val="00EC06FA"/>
    <w:rsid w:val="00EC09A0"/>
    <w:rsid w:val="00EC0DEF"/>
    <w:rsid w:val="00EC1AE2"/>
    <w:rsid w:val="00EC3AB3"/>
    <w:rsid w:val="00EC3EE0"/>
    <w:rsid w:val="00EC478B"/>
    <w:rsid w:val="00EC4D59"/>
    <w:rsid w:val="00EC5624"/>
    <w:rsid w:val="00EC5BF7"/>
    <w:rsid w:val="00EC6D06"/>
    <w:rsid w:val="00ED18B3"/>
    <w:rsid w:val="00ED203D"/>
    <w:rsid w:val="00ED28BD"/>
    <w:rsid w:val="00ED30AA"/>
    <w:rsid w:val="00ED5864"/>
    <w:rsid w:val="00EE02A3"/>
    <w:rsid w:val="00EE0E59"/>
    <w:rsid w:val="00EE399C"/>
    <w:rsid w:val="00EE48CB"/>
    <w:rsid w:val="00EE5C76"/>
    <w:rsid w:val="00EE5EB2"/>
    <w:rsid w:val="00EE6767"/>
    <w:rsid w:val="00EE73E0"/>
    <w:rsid w:val="00EE7864"/>
    <w:rsid w:val="00EF1B62"/>
    <w:rsid w:val="00EF2AB4"/>
    <w:rsid w:val="00EF47D7"/>
    <w:rsid w:val="00EF5017"/>
    <w:rsid w:val="00EF54BE"/>
    <w:rsid w:val="00EF5C6A"/>
    <w:rsid w:val="00EF5F88"/>
    <w:rsid w:val="00EF6159"/>
    <w:rsid w:val="00EF6581"/>
    <w:rsid w:val="00EF6828"/>
    <w:rsid w:val="00EF73D2"/>
    <w:rsid w:val="00F00937"/>
    <w:rsid w:val="00F0215F"/>
    <w:rsid w:val="00F02398"/>
    <w:rsid w:val="00F0266B"/>
    <w:rsid w:val="00F02784"/>
    <w:rsid w:val="00F02DB1"/>
    <w:rsid w:val="00F03DA6"/>
    <w:rsid w:val="00F0420B"/>
    <w:rsid w:val="00F054F7"/>
    <w:rsid w:val="00F056FC"/>
    <w:rsid w:val="00F078B7"/>
    <w:rsid w:val="00F07E4A"/>
    <w:rsid w:val="00F10603"/>
    <w:rsid w:val="00F112E1"/>
    <w:rsid w:val="00F11376"/>
    <w:rsid w:val="00F116A7"/>
    <w:rsid w:val="00F11840"/>
    <w:rsid w:val="00F11A2D"/>
    <w:rsid w:val="00F11BCE"/>
    <w:rsid w:val="00F1601F"/>
    <w:rsid w:val="00F164DF"/>
    <w:rsid w:val="00F169BE"/>
    <w:rsid w:val="00F21D04"/>
    <w:rsid w:val="00F2240B"/>
    <w:rsid w:val="00F22818"/>
    <w:rsid w:val="00F2399D"/>
    <w:rsid w:val="00F25C37"/>
    <w:rsid w:val="00F2697E"/>
    <w:rsid w:val="00F302D3"/>
    <w:rsid w:val="00F3031F"/>
    <w:rsid w:val="00F3149B"/>
    <w:rsid w:val="00F335AE"/>
    <w:rsid w:val="00F33E58"/>
    <w:rsid w:val="00F33F86"/>
    <w:rsid w:val="00F34DE0"/>
    <w:rsid w:val="00F35C84"/>
    <w:rsid w:val="00F36EBB"/>
    <w:rsid w:val="00F37E15"/>
    <w:rsid w:val="00F421E5"/>
    <w:rsid w:val="00F42700"/>
    <w:rsid w:val="00F43595"/>
    <w:rsid w:val="00F437E2"/>
    <w:rsid w:val="00F43E20"/>
    <w:rsid w:val="00F449FB"/>
    <w:rsid w:val="00F46520"/>
    <w:rsid w:val="00F509F9"/>
    <w:rsid w:val="00F53923"/>
    <w:rsid w:val="00F54779"/>
    <w:rsid w:val="00F55C5C"/>
    <w:rsid w:val="00F568AC"/>
    <w:rsid w:val="00F56E4A"/>
    <w:rsid w:val="00F56F6B"/>
    <w:rsid w:val="00F618DB"/>
    <w:rsid w:val="00F626E5"/>
    <w:rsid w:val="00F63C76"/>
    <w:rsid w:val="00F640B8"/>
    <w:rsid w:val="00F640FF"/>
    <w:rsid w:val="00F67DE0"/>
    <w:rsid w:val="00F70938"/>
    <w:rsid w:val="00F70F05"/>
    <w:rsid w:val="00F710AD"/>
    <w:rsid w:val="00F7153D"/>
    <w:rsid w:val="00F71A1A"/>
    <w:rsid w:val="00F720F5"/>
    <w:rsid w:val="00F7280F"/>
    <w:rsid w:val="00F7308F"/>
    <w:rsid w:val="00F73733"/>
    <w:rsid w:val="00F7492D"/>
    <w:rsid w:val="00F76989"/>
    <w:rsid w:val="00F76DCC"/>
    <w:rsid w:val="00F772C6"/>
    <w:rsid w:val="00F80202"/>
    <w:rsid w:val="00F80A7D"/>
    <w:rsid w:val="00F81C40"/>
    <w:rsid w:val="00F8202D"/>
    <w:rsid w:val="00F82897"/>
    <w:rsid w:val="00F82D57"/>
    <w:rsid w:val="00F82E13"/>
    <w:rsid w:val="00F83395"/>
    <w:rsid w:val="00F84737"/>
    <w:rsid w:val="00F863A1"/>
    <w:rsid w:val="00F87F25"/>
    <w:rsid w:val="00F90699"/>
    <w:rsid w:val="00F906DE"/>
    <w:rsid w:val="00F9203B"/>
    <w:rsid w:val="00F92A2B"/>
    <w:rsid w:val="00F93751"/>
    <w:rsid w:val="00F9398A"/>
    <w:rsid w:val="00F93F7F"/>
    <w:rsid w:val="00F94957"/>
    <w:rsid w:val="00F94FB6"/>
    <w:rsid w:val="00F952E2"/>
    <w:rsid w:val="00F95952"/>
    <w:rsid w:val="00F95DF1"/>
    <w:rsid w:val="00F9609F"/>
    <w:rsid w:val="00F9657E"/>
    <w:rsid w:val="00F969C8"/>
    <w:rsid w:val="00F96F31"/>
    <w:rsid w:val="00FA043D"/>
    <w:rsid w:val="00FA0BF0"/>
    <w:rsid w:val="00FA152B"/>
    <w:rsid w:val="00FA67C7"/>
    <w:rsid w:val="00FA6B87"/>
    <w:rsid w:val="00FA7BA3"/>
    <w:rsid w:val="00FA7F94"/>
    <w:rsid w:val="00FB0302"/>
    <w:rsid w:val="00FB0593"/>
    <w:rsid w:val="00FB0704"/>
    <w:rsid w:val="00FB0D94"/>
    <w:rsid w:val="00FB0DCE"/>
    <w:rsid w:val="00FB2A99"/>
    <w:rsid w:val="00FB2C6C"/>
    <w:rsid w:val="00FB473A"/>
    <w:rsid w:val="00FB4FB3"/>
    <w:rsid w:val="00FB5363"/>
    <w:rsid w:val="00FB5D0B"/>
    <w:rsid w:val="00FB6543"/>
    <w:rsid w:val="00FB6B3E"/>
    <w:rsid w:val="00FB73E7"/>
    <w:rsid w:val="00FB7E6C"/>
    <w:rsid w:val="00FC1139"/>
    <w:rsid w:val="00FC1485"/>
    <w:rsid w:val="00FC16D3"/>
    <w:rsid w:val="00FC21C2"/>
    <w:rsid w:val="00FC2868"/>
    <w:rsid w:val="00FC2D9A"/>
    <w:rsid w:val="00FC35EC"/>
    <w:rsid w:val="00FC3D5E"/>
    <w:rsid w:val="00FC3ED7"/>
    <w:rsid w:val="00FC406E"/>
    <w:rsid w:val="00FC4E07"/>
    <w:rsid w:val="00FC529A"/>
    <w:rsid w:val="00FC532F"/>
    <w:rsid w:val="00FC6423"/>
    <w:rsid w:val="00FC6959"/>
    <w:rsid w:val="00FC6E0D"/>
    <w:rsid w:val="00FD0018"/>
    <w:rsid w:val="00FD059A"/>
    <w:rsid w:val="00FD09C3"/>
    <w:rsid w:val="00FD3287"/>
    <w:rsid w:val="00FD43E1"/>
    <w:rsid w:val="00FD5C09"/>
    <w:rsid w:val="00FE09E9"/>
    <w:rsid w:val="00FE1283"/>
    <w:rsid w:val="00FE1F00"/>
    <w:rsid w:val="00FE2935"/>
    <w:rsid w:val="00FE38E6"/>
    <w:rsid w:val="00FE3DE8"/>
    <w:rsid w:val="00FE4909"/>
    <w:rsid w:val="00FE5051"/>
    <w:rsid w:val="00FE540C"/>
    <w:rsid w:val="00FE5487"/>
    <w:rsid w:val="00FE559B"/>
    <w:rsid w:val="00FE62CD"/>
    <w:rsid w:val="00FE6E49"/>
    <w:rsid w:val="00FE6F9C"/>
    <w:rsid w:val="00FE78B3"/>
    <w:rsid w:val="00FF03CF"/>
    <w:rsid w:val="00FF0A99"/>
    <w:rsid w:val="00FF0E9F"/>
    <w:rsid w:val="00FF1284"/>
    <w:rsid w:val="00FF129B"/>
    <w:rsid w:val="00FF17C5"/>
    <w:rsid w:val="00FF1ABA"/>
    <w:rsid w:val="00FF2058"/>
    <w:rsid w:val="00FF2181"/>
    <w:rsid w:val="00FF21B6"/>
    <w:rsid w:val="00FF21F6"/>
    <w:rsid w:val="00FF3D69"/>
    <w:rsid w:val="00FF4B72"/>
    <w:rsid w:val="00FF6312"/>
    <w:rsid w:val="00FF6CBF"/>
    <w:rsid w:val="00FF6DA0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349"/>
    <w:rPr>
      <w:rFonts w:ascii="Officina Sans ITC TT" w:hAnsi="Officina Sans ITC T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ourier" w:hAnsi="Courier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" w:hAnsi="Courier"/>
      <w:b/>
    </w:rPr>
  </w:style>
  <w:style w:type="paragraph" w:styleId="Heading3">
    <w:name w:val="heading 3"/>
    <w:basedOn w:val="Normal"/>
    <w:next w:val="Normal"/>
    <w:qFormat/>
    <w:pPr>
      <w:keepNext/>
      <w:spacing w:after="240"/>
      <w:jc w:val="center"/>
      <w:outlineLvl w:val="2"/>
    </w:pPr>
    <w:rPr>
      <w:rFonts w:ascii="Courier" w:hAnsi="Courier"/>
      <w:b/>
      <w:sz w:val="48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Courier" w:hAnsi="Courier"/>
      <w:b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Courier" w:hAnsi="Courier"/>
      <w:sz w:val="28"/>
    </w:rPr>
  </w:style>
  <w:style w:type="paragraph" w:styleId="Heading6">
    <w:name w:val="heading 6"/>
    <w:basedOn w:val="Normal"/>
    <w:next w:val="Normal"/>
    <w:qFormat/>
    <w:pPr>
      <w:keepNext/>
      <w:spacing w:after="40"/>
      <w:outlineLvl w:val="5"/>
    </w:pPr>
    <w:rPr>
      <w:rFonts w:ascii="Courier" w:hAnsi="Courier"/>
      <w:sz w:val="5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ourier" w:hAnsi="Courier"/>
      <w:sz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ind w:left="360"/>
      <w:outlineLvl w:val="7"/>
    </w:pPr>
    <w:rPr>
      <w:rFonts w:cs="Arial"/>
      <w:u w:val="single"/>
      <w:lang w:val="en-US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tabs>
        <w:tab w:val="clear" w:pos="360"/>
        <w:tab w:val="num" w:pos="709"/>
      </w:tabs>
      <w:spacing w:after="240" w:line="360" w:lineRule="auto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kt"/>
    <w:basedOn w:val="Normal"/>
    <w:pPr>
      <w:spacing w:before="180"/>
    </w:pPr>
    <w:rPr>
      <w:sz w:val="20"/>
    </w:rPr>
  </w:style>
  <w:style w:type="paragraph" w:styleId="Footer">
    <w:name w:val="footer"/>
    <w:basedOn w:val="Normal"/>
    <w:rPr>
      <w:sz w:val="20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pPr>
      <w:keepNext/>
      <w:spacing w:before="480" w:line="360" w:lineRule="atLeast"/>
      <w:jc w:val="both"/>
    </w:pPr>
    <w:rPr>
      <w:rFonts w:ascii="Optima" w:hAnsi="Optima"/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after="240" w:line="360" w:lineRule="auto"/>
      <w:ind w:left="709" w:hanging="709"/>
    </w:pPr>
    <w:rPr>
      <w:rFonts w:ascii="Garamond" w:hAnsi="Garamond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algForm">
    <w:name w:val="alg_Form"/>
    <w:basedOn w:val="Normal"/>
    <w:pPr>
      <w:spacing w:before="120" w:after="120"/>
    </w:pPr>
  </w:style>
  <w:style w:type="paragraph" w:customStyle="1" w:styleId="Spacer">
    <w:name w:val="Spacer"/>
    <w:basedOn w:val="Header"/>
    <w:pPr>
      <w:spacing w:before="0"/>
    </w:pPr>
    <w:rPr>
      <w:sz w:val="12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Heading1">
    <w:name w:val="alg_Heading1"/>
    <w:basedOn w:val="Normal"/>
    <w:pPr>
      <w:spacing w:before="120" w:after="120"/>
      <w:ind w:left="-108"/>
    </w:pPr>
    <w:rPr>
      <w:sz w:val="48"/>
    </w:rPr>
  </w:style>
  <w:style w:type="paragraph" w:customStyle="1" w:styleId="algHeading2">
    <w:name w:val="alg_Heading2"/>
    <w:basedOn w:val="Normal"/>
    <w:autoRedefine/>
    <w:rsid w:val="0017396B"/>
    <w:pPr>
      <w:ind w:left="-993" w:right="-108"/>
    </w:pPr>
    <w:rPr>
      <w:rFonts w:ascii="Arial" w:hAnsi="Arial" w:cs="Arial"/>
      <w:bCs/>
      <w:noProof/>
      <w:sz w:val="22"/>
      <w:szCs w:val="22"/>
      <w:lang w:val="en-US"/>
    </w:rPr>
  </w:style>
  <w:style w:type="paragraph" w:customStyle="1" w:styleId="algHeading3">
    <w:name w:val="alg_Heading3"/>
    <w:basedOn w:val="Normal"/>
    <w:pPr>
      <w:ind w:left="-108"/>
    </w:pPr>
    <w:rPr>
      <w:sz w:val="32"/>
    </w:rPr>
  </w:style>
  <w:style w:type="paragraph" w:styleId="BodyTextIndent3">
    <w:name w:val="Body Text Indent 3"/>
    <w:basedOn w:val="Normal"/>
    <w:pPr>
      <w:keepNext/>
      <w:spacing w:after="240" w:line="360" w:lineRule="auto"/>
      <w:ind w:left="720" w:hanging="720"/>
    </w:pPr>
    <w:rPr>
      <w:rFonts w:ascii="Garamond" w:hAnsi="Garamond"/>
      <w:lang w:val="en-US"/>
    </w:rPr>
  </w:style>
  <w:style w:type="paragraph" w:customStyle="1" w:styleId="ALGBody">
    <w:name w:val="ALG Body"/>
    <w:pPr>
      <w:spacing w:after="240"/>
    </w:pPr>
    <w:rPr>
      <w:rFonts w:ascii="Hiroshige Book" w:hAnsi="Hiroshige Book"/>
      <w:sz w:val="22"/>
      <w:lang w:eastAsia="en-US"/>
    </w:rPr>
  </w:style>
  <w:style w:type="paragraph" w:styleId="BodyTextIndent">
    <w:name w:val="Body Text Indent"/>
    <w:basedOn w:val="Normal"/>
    <w:pPr>
      <w:keepNext/>
      <w:spacing w:after="240" w:line="360" w:lineRule="auto"/>
      <w:ind w:left="851" w:hanging="851"/>
    </w:pPr>
    <w:rPr>
      <w:bCs/>
    </w:rPr>
  </w:style>
  <w:style w:type="paragraph" w:customStyle="1" w:styleId="ALGNumberedBody">
    <w:name w:val="ALG Numbered Body"/>
    <w:basedOn w:val="Normal"/>
    <w:pPr>
      <w:numPr>
        <w:numId w:val="2"/>
      </w:numPr>
      <w:tabs>
        <w:tab w:val="clear" w:pos="927"/>
        <w:tab w:val="left" w:pos="454"/>
      </w:tabs>
      <w:spacing w:after="180"/>
      <w:ind w:left="454" w:hanging="454"/>
    </w:pPr>
    <w:rPr>
      <w:rFonts w:ascii="Hiroshige Book" w:hAnsi="Hiroshige Book"/>
      <w:sz w:val="22"/>
    </w:rPr>
  </w:style>
  <w:style w:type="paragraph" w:styleId="BalloonText">
    <w:name w:val="Balloon Text"/>
    <w:basedOn w:val="Normal"/>
    <w:semiHidden/>
    <w:rsid w:val="00942E5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04B7"/>
    <w:rPr>
      <w:sz w:val="16"/>
      <w:szCs w:val="16"/>
    </w:rPr>
  </w:style>
  <w:style w:type="paragraph" w:styleId="CommentText">
    <w:name w:val="annotation text"/>
    <w:basedOn w:val="Normal"/>
    <w:semiHidden/>
    <w:rsid w:val="005404B7"/>
    <w:rPr>
      <w:sz w:val="20"/>
    </w:rPr>
  </w:style>
  <w:style w:type="paragraph" w:styleId="CommentSubject">
    <w:name w:val="annotation subject"/>
    <w:basedOn w:val="CommentText"/>
    <w:next w:val="CommentText"/>
    <w:semiHidden/>
    <w:rsid w:val="005404B7"/>
    <w:rPr>
      <w:b/>
      <w:bCs/>
    </w:rPr>
  </w:style>
  <w:style w:type="paragraph" w:styleId="FootnoteText">
    <w:name w:val="footnote text"/>
    <w:basedOn w:val="Normal"/>
    <w:semiHidden/>
    <w:rsid w:val="00DF6726"/>
    <w:rPr>
      <w:sz w:val="20"/>
    </w:rPr>
  </w:style>
  <w:style w:type="character" w:styleId="FollowedHyperlink">
    <w:name w:val="FollowedHyperlink"/>
    <w:rsid w:val="00CA232C"/>
    <w:rPr>
      <w:color w:val="800080"/>
      <w:u w:val="single"/>
    </w:rPr>
  </w:style>
  <w:style w:type="paragraph" w:customStyle="1" w:styleId="Default">
    <w:name w:val="Default"/>
    <w:rsid w:val="00662C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umberedpara">
    <w:name w:val="numbered para"/>
    <w:basedOn w:val="Normal"/>
    <w:rsid w:val="00687AD1"/>
    <w:pPr>
      <w:keepNext/>
      <w:widowControl w:val="0"/>
      <w:suppressAutoHyphens/>
      <w:autoSpaceDE w:val="0"/>
      <w:autoSpaceDN w:val="0"/>
      <w:adjustRightInd w:val="0"/>
      <w:spacing w:after="170" w:line="300" w:lineRule="atLeast"/>
      <w:ind w:left="369" w:hanging="369"/>
      <w:textAlignment w:val="center"/>
    </w:pPr>
    <w:rPr>
      <w:rFonts w:ascii="FoundryFormSans-Book" w:hAnsi="FoundryFormSans-Book" w:cs="FoundryFormSans-Book"/>
      <w:color w:val="000000"/>
      <w:szCs w:val="24"/>
      <w:lang w:val="en-US"/>
    </w:rPr>
  </w:style>
  <w:style w:type="paragraph" w:customStyle="1" w:styleId="Bulletlevel2">
    <w:name w:val="Bullet level 2"/>
    <w:basedOn w:val="Normal"/>
    <w:rsid w:val="00687AD1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300" w:lineRule="atLeast"/>
      <w:ind w:left="680" w:hanging="340"/>
      <w:textAlignment w:val="center"/>
    </w:pPr>
    <w:rPr>
      <w:rFonts w:ascii="FoundryFormSans-Book" w:hAnsi="FoundryFormSans-Book" w:cs="FoundryFormSans-Book"/>
      <w:color w:val="000000"/>
      <w:spacing w:val="-2"/>
      <w:szCs w:val="24"/>
      <w:lang w:val="en-US"/>
    </w:rPr>
  </w:style>
  <w:style w:type="paragraph" w:customStyle="1" w:styleId="NoParagraphStyle">
    <w:name w:val="[No Paragraph Style]"/>
    <w:rsid w:val="00CA51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character" w:customStyle="1" w:styleId="number">
    <w:name w:val="number"/>
    <w:rsid w:val="00CA5185"/>
    <w:rPr>
      <w:sz w:val="18"/>
    </w:rPr>
  </w:style>
  <w:style w:type="paragraph" w:customStyle="1" w:styleId="Textheading1">
    <w:name w:val="Text heading 1"/>
    <w:basedOn w:val="NoParagraphStyle"/>
    <w:rsid w:val="00F9398A"/>
    <w:pPr>
      <w:keepNext/>
      <w:suppressAutoHyphens/>
      <w:spacing w:line="300" w:lineRule="atLeast"/>
    </w:pPr>
    <w:rPr>
      <w:rFonts w:ascii="FoundryFormSans-Bold" w:hAnsi="FoundryFormSans-Bold" w:cs="FoundryFormSans-Bold"/>
      <w:b/>
      <w:bCs/>
      <w:color w:val="0061A2"/>
      <w:sz w:val="26"/>
      <w:szCs w:val="26"/>
    </w:rPr>
  </w:style>
  <w:style w:type="table" w:styleId="TableGrid">
    <w:name w:val="Table Grid"/>
    <w:basedOn w:val="TableNormal"/>
    <w:rsid w:val="00DA56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rsid w:val="00E37CD0"/>
    <w:pPr>
      <w:spacing w:before="60" w:after="120"/>
      <w:ind w:left="1134"/>
    </w:pPr>
    <w:rPr>
      <w:rFonts w:ascii="Arial" w:hAnsi="Arial"/>
      <w:lang w:eastAsia="en-US"/>
    </w:rPr>
  </w:style>
  <w:style w:type="paragraph" w:styleId="ListBullet">
    <w:name w:val="List Bullet"/>
    <w:basedOn w:val="Normal"/>
    <w:rsid w:val="00E37CD0"/>
    <w:pPr>
      <w:tabs>
        <w:tab w:val="num" w:pos="1701"/>
      </w:tabs>
      <w:ind w:left="1701" w:hanging="567"/>
    </w:pPr>
    <w:rPr>
      <w:rFonts w:ascii="Arial" w:hAnsi="Arial"/>
      <w:sz w:val="20"/>
      <w:szCs w:val="24"/>
    </w:rPr>
  </w:style>
  <w:style w:type="paragraph" w:styleId="ListBullet2">
    <w:name w:val="List Bullet 2"/>
    <w:basedOn w:val="Normal"/>
    <w:rsid w:val="00E37CD0"/>
    <w:pPr>
      <w:tabs>
        <w:tab w:val="num" w:pos="2268"/>
      </w:tabs>
      <w:ind w:left="2268" w:hanging="567"/>
    </w:pPr>
    <w:rPr>
      <w:rFonts w:ascii="Arial" w:hAnsi="Arial"/>
      <w:sz w:val="20"/>
      <w:szCs w:val="24"/>
    </w:rPr>
  </w:style>
  <w:style w:type="paragraph" w:styleId="ListBullet3">
    <w:name w:val="List Bullet 3"/>
    <w:basedOn w:val="Normal"/>
    <w:link w:val="ListBullet3Char"/>
    <w:rsid w:val="00E37CD0"/>
    <w:pPr>
      <w:tabs>
        <w:tab w:val="num" w:pos="1701"/>
      </w:tabs>
      <w:ind w:left="1701" w:hanging="567"/>
    </w:pPr>
    <w:rPr>
      <w:rFonts w:ascii="Arial" w:hAnsi="Arial"/>
      <w:sz w:val="20"/>
      <w:szCs w:val="24"/>
    </w:rPr>
  </w:style>
  <w:style w:type="paragraph" w:styleId="BodyText2">
    <w:name w:val="Body Text 2"/>
    <w:basedOn w:val="BodyText"/>
    <w:next w:val="BodyText"/>
    <w:rsid w:val="00E37CD0"/>
    <w:rPr>
      <w:rFonts w:ascii="Bookman Old Style" w:hAnsi="Bookman Old Style"/>
      <w:i/>
    </w:rPr>
  </w:style>
  <w:style w:type="paragraph" w:customStyle="1" w:styleId="ExtraHeading">
    <w:name w:val="Extra Heading"/>
    <w:basedOn w:val="Heading4"/>
    <w:rsid w:val="00E37CD0"/>
    <w:pPr>
      <w:spacing w:before="240" w:after="60" w:line="240" w:lineRule="auto"/>
      <w:ind w:left="1134"/>
    </w:pPr>
    <w:rPr>
      <w:rFonts w:ascii="Arial" w:hAnsi="Arial"/>
      <w:i/>
      <w:sz w:val="22"/>
      <w:szCs w:val="24"/>
      <w:u w:val="none"/>
    </w:rPr>
  </w:style>
  <w:style w:type="paragraph" w:customStyle="1" w:styleId="TableSource">
    <w:name w:val="TableSource"/>
    <w:basedOn w:val="Caption"/>
    <w:next w:val="Normal"/>
    <w:rsid w:val="00E37CD0"/>
    <w:pPr>
      <w:keepNext/>
      <w:tabs>
        <w:tab w:val="left" w:pos="2466"/>
      </w:tabs>
      <w:spacing w:after="120"/>
      <w:ind w:left="1134"/>
    </w:pPr>
    <w:rPr>
      <w:rFonts w:ascii="Arial" w:hAnsi="Arial"/>
      <w:b w:val="0"/>
      <w:bCs w:val="0"/>
      <w:i/>
      <w:sz w:val="16"/>
    </w:rPr>
  </w:style>
  <w:style w:type="character" w:customStyle="1" w:styleId="ListBullet3Char">
    <w:name w:val="List Bullet 3 Char"/>
    <w:link w:val="ListBullet3"/>
    <w:rsid w:val="00E37CD0"/>
    <w:rPr>
      <w:rFonts w:ascii="Arial" w:hAnsi="Arial"/>
      <w:szCs w:val="24"/>
      <w:lang w:val="en-GB" w:eastAsia="en-US" w:bidi="ar-SA"/>
    </w:rPr>
  </w:style>
  <w:style w:type="paragraph" w:styleId="Caption">
    <w:name w:val="caption"/>
    <w:basedOn w:val="Normal"/>
    <w:next w:val="Normal"/>
    <w:qFormat/>
    <w:rsid w:val="00E37CD0"/>
    <w:rPr>
      <w:b/>
      <w:bCs/>
      <w:sz w:val="20"/>
    </w:rPr>
  </w:style>
  <w:style w:type="character" w:styleId="Strong">
    <w:name w:val="Strong"/>
    <w:uiPriority w:val="22"/>
    <w:qFormat/>
    <w:rsid w:val="001B1654"/>
    <w:rPr>
      <w:b/>
      <w:bCs/>
    </w:rPr>
  </w:style>
  <w:style w:type="paragraph" w:customStyle="1" w:styleId="algFormList">
    <w:name w:val="alg_FormList"/>
    <w:basedOn w:val="algForm"/>
    <w:rsid w:val="00457770"/>
    <w:pPr>
      <w:spacing w:before="0" w:after="0"/>
    </w:pPr>
    <w:rPr>
      <w:rFonts w:ascii="Arial" w:hAnsi="Arial"/>
      <w:sz w:val="22"/>
      <w:szCs w:val="22"/>
    </w:rPr>
  </w:style>
  <w:style w:type="paragraph" w:customStyle="1" w:styleId="CM38">
    <w:name w:val="CM38"/>
    <w:basedOn w:val="Normal"/>
    <w:next w:val="Normal"/>
    <w:rsid w:val="00457770"/>
    <w:pPr>
      <w:autoSpaceDE w:val="0"/>
      <w:autoSpaceDN w:val="0"/>
      <w:adjustRightInd w:val="0"/>
      <w:spacing w:after="440"/>
    </w:pPr>
    <w:rPr>
      <w:rFonts w:ascii="Arial" w:hAnsi="Arial"/>
      <w:szCs w:val="24"/>
      <w:lang w:eastAsia="en-GB"/>
    </w:rPr>
  </w:style>
  <w:style w:type="paragraph" w:styleId="NormalWeb">
    <w:name w:val="Normal (Web)"/>
    <w:basedOn w:val="Normal"/>
    <w:uiPriority w:val="99"/>
    <w:rsid w:val="00BF71C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tylealgDetailsLeft-005cm">
    <w:name w:val="Style alg_Details + Left:  -0.05 cm"/>
    <w:basedOn w:val="algDetails"/>
    <w:rsid w:val="00274CC6"/>
    <w:pPr>
      <w:ind w:left="-28"/>
    </w:pPr>
  </w:style>
  <w:style w:type="paragraph" w:customStyle="1" w:styleId="algDetails">
    <w:name w:val="alg_Details"/>
    <w:basedOn w:val="Normal"/>
    <w:rsid w:val="00274CC6"/>
    <w:pPr>
      <w:spacing w:after="40"/>
    </w:pPr>
    <w:rPr>
      <w:rFonts w:ascii="Arial" w:hAnsi="Arial"/>
      <w:sz w:val="20"/>
      <w:szCs w:val="22"/>
    </w:rPr>
  </w:style>
  <w:style w:type="character" w:customStyle="1" w:styleId="apple-style-span">
    <w:name w:val="apple-style-span"/>
    <w:basedOn w:val="DefaultParagraphFont"/>
    <w:rsid w:val="009D419D"/>
  </w:style>
  <w:style w:type="paragraph" w:customStyle="1" w:styleId="algform0">
    <w:name w:val="algform"/>
    <w:basedOn w:val="Normal"/>
    <w:rsid w:val="007B272A"/>
    <w:pPr>
      <w:spacing w:before="120" w:after="120"/>
    </w:pPr>
    <w:rPr>
      <w:szCs w:val="24"/>
      <w:lang w:eastAsia="en-GB"/>
    </w:rPr>
  </w:style>
  <w:style w:type="paragraph" w:customStyle="1" w:styleId="cm21">
    <w:name w:val="cm21"/>
    <w:basedOn w:val="Normal"/>
    <w:rsid w:val="00157343"/>
    <w:pPr>
      <w:autoSpaceDE w:val="0"/>
      <w:autoSpaceDN w:val="0"/>
      <w:spacing w:line="276" w:lineRule="atLeast"/>
    </w:pPr>
    <w:rPr>
      <w:rFonts w:ascii="Arial" w:hAnsi="Arial" w:cs="Arial"/>
      <w:szCs w:val="24"/>
      <w:lang w:eastAsia="en-GB"/>
    </w:rPr>
  </w:style>
  <w:style w:type="character" w:styleId="Emphasis">
    <w:name w:val="Emphasis"/>
    <w:qFormat/>
    <w:rsid w:val="001E0BB5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273EB1"/>
    <w:pPr>
      <w:ind w:left="720"/>
    </w:pPr>
    <w:rPr>
      <w:rFonts w:ascii="Arial" w:hAnsi="Arial"/>
      <w:sz w:val="22"/>
      <w:szCs w:val="22"/>
    </w:rPr>
  </w:style>
  <w:style w:type="character" w:customStyle="1" w:styleId="st">
    <w:name w:val="st"/>
    <w:rsid w:val="0040287D"/>
  </w:style>
  <w:style w:type="paragraph" w:customStyle="1" w:styleId="link2">
    <w:name w:val="link2"/>
    <w:basedOn w:val="Normal"/>
    <w:rsid w:val="00A349B2"/>
    <w:pPr>
      <w:jc w:val="right"/>
    </w:pPr>
    <w:rPr>
      <w:rFonts w:ascii="Times New Roman" w:hAnsi="Times New Roman"/>
      <w:sz w:val="22"/>
      <w:szCs w:val="22"/>
      <w:lang w:eastAsia="en-GB"/>
    </w:rPr>
  </w:style>
  <w:style w:type="paragraph" w:customStyle="1" w:styleId="subscribe1">
    <w:name w:val="subscribe1"/>
    <w:basedOn w:val="Normal"/>
    <w:rsid w:val="00A349B2"/>
    <w:pPr>
      <w:jc w:val="right"/>
    </w:pPr>
    <w:rPr>
      <w:rFonts w:ascii="Times New Roman" w:hAnsi="Times New Roman"/>
      <w:sz w:val="22"/>
      <w:szCs w:val="22"/>
      <w:lang w:eastAsia="en-GB"/>
    </w:rPr>
  </w:style>
  <w:style w:type="character" w:customStyle="1" w:styleId="docsize">
    <w:name w:val="docsize"/>
    <w:rsid w:val="00A349B2"/>
  </w:style>
  <w:style w:type="character" w:customStyle="1" w:styleId="hide1">
    <w:name w:val="hide1"/>
    <w:rsid w:val="00A349B2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34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rsid w:val="00A349B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349B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rsid w:val="00A349B2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260A21"/>
    <w:rPr>
      <w:rFonts w:ascii="Officina Sans ITC TT" w:hAnsi="Officina Sans ITC TT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50BAA"/>
    <w:rPr>
      <w:rFonts w:ascii="Arial" w:eastAsia="Calibri" w:hAnsi="Arial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B50BAA"/>
    <w:rPr>
      <w:rFonts w:ascii="Arial" w:eastAsia="Calibri" w:hAnsi="Arial"/>
      <w:sz w:val="21"/>
      <w:szCs w:val="21"/>
    </w:rPr>
  </w:style>
  <w:style w:type="paragraph" w:styleId="NoSpacing">
    <w:name w:val="No Spacing"/>
    <w:uiPriority w:val="1"/>
    <w:qFormat/>
    <w:rsid w:val="00781566"/>
    <w:rPr>
      <w:rFonts w:ascii="Officina Sans ITC TT" w:hAnsi="Officina Sans ITC T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349"/>
    <w:rPr>
      <w:rFonts w:ascii="Officina Sans ITC TT" w:hAnsi="Officina Sans ITC T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ourier" w:hAnsi="Courier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" w:hAnsi="Courier"/>
      <w:b/>
    </w:rPr>
  </w:style>
  <w:style w:type="paragraph" w:styleId="Heading3">
    <w:name w:val="heading 3"/>
    <w:basedOn w:val="Normal"/>
    <w:next w:val="Normal"/>
    <w:qFormat/>
    <w:pPr>
      <w:keepNext/>
      <w:spacing w:after="240"/>
      <w:jc w:val="center"/>
      <w:outlineLvl w:val="2"/>
    </w:pPr>
    <w:rPr>
      <w:rFonts w:ascii="Courier" w:hAnsi="Courier"/>
      <w:b/>
      <w:sz w:val="48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Courier" w:hAnsi="Courier"/>
      <w:b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Courier" w:hAnsi="Courier"/>
      <w:sz w:val="28"/>
    </w:rPr>
  </w:style>
  <w:style w:type="paragraph" w:styleId="Heading6">
    <w:name w:val="heading 6"/>
    <w:basedOn w:val="Normal"/>
    <w:next w:val="Normal"/>
    <w:qFormat/>
    <w:pPr>
      <w:keepNext/>
      <w:spacing w:after="40"/>
      <w:outlineLvl w:val="5"/>
    </w:pPr>
    <w:rPr>
      <w:rFonts w:ascii="Courier" w:hAnsi="Courier"/>
      <w:sz w:val="5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ourier" w:hAnsi="Courier"/>
      <w:sz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ind w:left="360"/>
      <w:outlineLvl w:val="7"/>
    </w:pPr>
    <w:rPr>
      <w:rFonts w:cs="Arial"/>
      <w:u w:val="single"/>
      <w:lang w:val="en-US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tabs>
        <w:tab w:val="clear" w:pos="360"/>
        <w:tab w:val="num" w:pos="709"/>
      </w:tabs>
      <w:spacing w:after="240" w:line="360" w:lineRule="auto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kt"/>
    <w:basedOn w:val="Normal"/>
    <w:pPr>
      <w:spacing w:before="180"/>
    </w:pPr>
    <w:rPr>
      <w:sz w:val="20"/>
    </w:rPr>
  </w:style>
  <w:style w:type="paragraph" w:styleId="Footer">
    <w:name w:val="footer"/>
    <w:basedOn w:val="Normal"/>
    <w:rPr>
      <w:sz w:val="20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pPr>
      <w:keepNext/>
      <w:spacing w:before="480" w:line="360" w:lineRule="atLeast"/>
      <w:jc w:val="both"/>
    </w:pPr>
    <w:rPr>
      <w:rFonts w:ascii="Optima" w:hAnsi="Optima"/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after="240" w:line="360" w:lineRule="auto"/>
      <w:ind w:left="709" w:hanging="709"/>
    </w:pPr>
    <w:rPr>
      <w:rFonts w:ascii="Garamond" w:hAnsi="Garamond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algForm">
    <w:name w:val="alg_Form"/>
    <w:basedOn w:val="Normal"/>
    <w:pPr>
      <w:spacing w:before="120" w:after="120"/>
    </w:pPr>
  </w:style>
  <w:style w:type="paragraph" w:customStyle="1" w:styleId="Spacer">
    <w:name w:val="Spacer"/>
    <w:basedOn w:val="Header"/>
    <w:pPr>
      <w:spacing w:before="0"/>
    </w:pPr>
    <w:rPr>
      <w:sz w:val="12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Heading1">
    <w:name w:val="alg_Heading1"/>
    <w:basedOn w:val="Normal"/>
    <w:pPr>
      <w:spacing w:before="120" w:after="120"/>
      <w:ind w:left="-108"/>
    </w:pPr>
    <w:rPr>
      <w:sz w:val="48"/>
    </w:rPr>
  </w:style>
  <w:style w:type="paragraph" w:customStyle="1" w:styleId="algHeading2">
    <w:name w:val="alg_Heading2"/>
    <w:basedOn w:val="Normal"/>
    <w:autoRedefine/>
    <w:rsid w:val="0017396B"/>
    <w:pPr>
      <w:ind w:left="-993" w:right="-108"/>
    </w:pPr>
    <w:rPr>
      <w:rFonts w:ascii="Arial" w:hAnsi="Arial" w:cs="Arial"/>
      <w:bCs/>
      <w:noProof/>
      <w:sz w:val="22"/>
      <w:szCs w:val="22"/>
      <w:lang w:val="en-US"/>
    </w:rPr>
  </w:style>
  <w:style w:type="paragraph" w:customStyle="1" w:styleId="algHeading3">
    <w:name w:val="alg_Heading3"/>
    <w:basedOn w:val="Normal"/>
    <w:pPr>
      <w:ind w:left="-108"/>
    </w:pPr>
    <w:rPr>
      <w:sz w:val="32"/>
    </w:rPr>
  </w:style>
  <w:style w:type="paragraph" w:styleId="BodyTextIndent3">
    <w:name w:val="Body Text Indent 3"/>
    <w:basedOn w:val="Normal"/>
    <w:pPr>
      <w:keepNext/>
      <w:spacing w:after="240" w:line="360" w:lineRule="auto"/>
      <w:ind w:left="720" w:hanging="720"/>
    </w:pPr>
    <w:rPr>
      <w:rFonts w:ascii="Garamond" w:hAnsi="Garamond"/>
      <w:lang w:val="en-US"/>
    </w:rPr>
  </w:style>
  <w:style w:type="paragraph" w:customStyle="1" w:styleId="ALGBody">
    <w:name w:val="ALG Body"/>
    <w:pPr>
      <w:spacing w:after="240"/>
    </w:pPr>
    <w:rPr>
      <w:rFonts w:ascii="Hiroshige Book" w:hAnsi="Hiroshige Book"/>
      <w:sz w:val="22"/>
      <w:lang w:eastAsia="en-US"/>
    </w:rPr>
  </w:style>
  <w:style w:type="paragraph" w:styleId="BodyTextIndent">
    <w:name w:val="Body Text Indent"/>
    <w:basedOn w:val="Normal"/>
    <w:pPr>
      <w:keepNext/>
      <w:spacing w:after="240" w:line="360" w:lineRule="auto"/>
      <w:ind w:left="851" w:hanging="851"/>
    </w:pPr>
    <w:rPr>
      <w:bCs/>
    </w:rPr>
  </w:style>
  <w:style w:type="paragraph" w:customStyle="1" w:styleId="ALGNumberedBody">
    <w:name w:val="ALG Numbered Body"/>
    <w:basedOn w:val="Normal"/>
    <w:pPr>
      <w:numPr>
        <w:numId w:val="2"/>
      </w:numPr>
      <w:tabs>
        <w:tab w:val="clear" w:pos="927"/>
        <w:tab w:val="left" w:pos="454"/>
      </w:tabs>
      <w:spacing w:after="180"/>
      <w:ind w:left="454" w:hanging="454"/>
    </w:pPr>
    <w:rPr>
      <w:rFonts w:ascii="Hiroshige Book" w:hAnsi="Hiroshige Book"/>
      <w:sz w:val="22"/>
    </w:rPr>
  </w:style>
  <w:style w:type="paragraph" w:styleId="BalloonText">
    <w:name w:val="Balloon Text"/>
    <w:basedOn w:val="Normal"/>
    <w:semiHidden/>
    <w:rsid w:val="00942E5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04B7"/>
    <w:rPr>
      <w:sz w:val="16"/>
      <w:szCs w:val="16"/>
    </w:rPr>
  </w:style>
  <w:style w:type="paragraph" w:styleId="CommentText">
    <w:name w:val="annotation text"/>
    <w:basedOn w:val="Normal"/>
    <w:semiHidden/>
    <w:rsid w:val="005404B7"/>
    <w:rPr>
      <w:sz w:val="20"/>
    </w:rPr>
  </w:style>
  <w:style w:type="paragraph" w:styleId="CommentSubject">
    <w:name w:val="annotation subject"/>
    <w:basedOn w:val="CommentText"/>
    <w:next w:val="CommentText"/>
    <w:semiHidden/>
    <w:rsid w:val="005404B7"/>
    <w:rPr>
      <w:b/>
      <w:bCs/>
    </w:rPr>
  </w:style>
  <w:style w:type="paragraph" w:styleId="FootnoteText">
    <w:name w:val="footnote text"/>
    <w:basedOn w:val="Normal"/>
    <w:semiHidden/>
    <w:rsid w:val="00DF6726"/>
    <w:rPr>
      <w:sz w:val="20"/>
    </w:rPr>
  </w:style>
  <w:style w:type="character" w:styleId="FollowedHyperlink">
    <w:name w:val="FollowedHyperlink"/>
    <w:rsid w:val="00CA232C"/>
    <w:rPr>
      <w:color w:val="800080"/>
      <w:u w:val="single"/>
    </w:rPr>
  </w:style>
  <w:style w:type="paragraph" w:customStyle="1" w:styleId="Default">
    <w:name w:val="Default"/>
    <w:rsid w:val="00662C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umberedpara">
    <w:name w:val="numbered para"/>
    <w:basedOn w:val="Normal"/>
    <w:rsid w:val="00687AD1"/>
    <w:pPr>
      <w:keepNext/>
      <w:widowControl w:val="0"/>
      <w:suppressAutoHyphens/>
      <w:autoSpaceDE w:val="0"/>
      <w:autoSpaceDN w:val="0"/>
      <w:adjustRightInd w:val="0"/>
      <w:spacing w:after="170" w:line="300" w:lineRule="atLeast"/>
      <w:ind w:left="369" w:hanging="369"/>
      <w:textAlignment w:val="center"/>
    </w:pPr>
    <w:rPr>
      <w:rFonts w:ascii="FoundryFormSans-Book" w:hAnsi="FoundryFormSans-Book" w:cs="FoundryFormSans-Book"/>
      <w:color w:val="000000"/>
      <w:szCs w:val="24"/>
      <w:lang w:val="en-US"/>
    </w:rPr>
  </w:style>
  <w:style w:type="paragraph" w:customStyle="1" w:styleId="Bulletlevel2">
    <w:name w:val="Bullet level 2"/>
    <w:basedOn w:val="Normal"/>
    <w:rsid w:val="00687AD1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300" w:lineRule="atLeast"/>
      <w:ind w:left="680" w:hanging="340"/>
      <w:textAlignment w:val="center"/>
    </w:pPr>
    <w:rPr>
      <w:rFonts w:ascii="FoundryFormSans-Book" w:hAnsi="FoundryFormSans-Book" w:cs="FoundryFormSans-Book"/>
      <w:color w:val="000000"/>
      <w:spacing w:val="-2"/>
      <w:szCs w:val="24"/>
      <w:lang w:val="en-US"/>
    </w:rPr>
  </w:style>
  <w:style w:type="paragraph" w:customStyle="1" w:styleId="NoParagraphStyle">
    <w:name w:val="[No Paragraph Style]"/>
    <w:rsid w:val="00CA51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character" w:customStyle="1" w:styleId="number">
    <w:name w:val="number"/>
    <w:rsid w:val="00CA5185"/>
    <w:rPr>
      <w:sz w:val="18"/>
    </w:rPr>
  </w:style>
  <w:style w:type="paragraph" w:customStyle="1" w:styleId="Textheading1">
    <w:name w:val="Text heading 1"/>
    <w:basedOn w:val="NoParagraphStyle"/>
    <w:rsid w:val="00F9398A"/>
    <w:pPr>
      <w:keepNext/>
      <w:suppressAutoHyphens/>
      <w:spacing w:line="300" w:lineRule="atLeast"/>
    </w:pPr>
    <w:rPr>
      <w:rFonts w:ascii="FoundryFormSans-Bold" w:hAnsi="FoundryFormSans-Bold" w:cs="FoundryFormSans-Bold"/>
      <w:b/>
      <w:bCs/>
      <w:color w:val="0061A2"/>
      <w:sz w:val="26"/>
      <w:szCs w:val="26"/>
    </w:rPr>
  </w:style>
  <w:style w:type="table" w:styleId="TableGrid">
    <w:name w:val="Table Grid"/>
    <w:basedOn w:val="TableNormal"/>
    <w:rsid w:val="00DA56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rsid w:val="00E37CD0"/>
    <w:pPr>
      <w:spacing w:before="60" w:after="120"/>
      <w:ind w:left="1134"/>
    </w:pPr>
    <w:rPr>
      <w:rFonts w:ascii="Arial" w:hAnsi="Arial"/>
      <w:lang w:eastAsia="en-US"/>
    </w:rPr>
  </w:style>
  <w:style w:type="paragraph" w:styleId="ListBullet">
    <w:name w:val="List Bullet"/>
    <w:basedOn w:val="Normal"/>
    <w:rsid w:val="00E37CD0"/>
    <w:pPr>
      <w:tabs>
        <w:tab w:val="num" w:pos="1701"/>
      </w:tabs>
      <w:ind w:left="1701" w:hanging="567"/>
    </w:pPr>
    <w:rPr>
      <w:rFonts w:ascii="Arial" w:hAnsi="Arial"/>
      <w:sz w:val="20"/>
      <w:szCs w:val="24"/>
    </w:rPr>
  </w:style>
  <w:style w:type="paragraph" w:styleId="ListBullet2">
    <w:name w:val="List Bullet 2"/>
    <w:basedOn w:val="Normal"/>
    <w:rsid w:val="00E37CD0"/>
    <w:pPr>
      <w:tabs>
        <w:tab w:val="num" w:pos="2268"/>
      </w:tabs>
      <w:ind w:left="2268" w:hanging="567"/>
    </w:pPr>
    <w:rPr>
      <w:rFonts w:ascii="Arial" w:hAnsi="Arial"/>
      <w:sz w:val="20"/>
      <w:szCs w:val="24"/>
    </w:rPr>
  </w:style>
  <w:style w:type="paragraph" w:styleId="ListBullet3">
    <w:name w:val="List Bullet 3"/>
    <w:basedOn w:val="Normal"/>
    <w:link w:val="ListBullet3Char"/>
    <w:rsid w:val="00E37CD0"/>
    <w:pPr>
      <w:tabs>
        <w:tab w:val="num" w:pos="1701"/>
      </w:tabs>
      <w:ind w:left="1701" w:hanging="567"/>
    </w:pPr>
    <w:rPr>
      <w:rFonts w:ascii="Arial" w:hAnsi="Arial"/>
      <w:sz w:val="20"/>
      <w:szCs w:val="24"/>
    </w:rPr>
  </w:style>
  <w:style w:type="paragraph" w:styleId="BodyText2">
    <w:name w:val="Body Text 2"/>
    <w:basedOn w:val="BodyText"/>
    <w:next w:val="BodyText"/>
    <w:rsid w:val="00E37CD0"/>
    <w:rPr>
      <w:rFonts w:ascii="Bookman Old Style" w:hAnsi="Bookman Old Style"/>
      <w:i/>
    </w:rPr>
  </w:style>
  <w:style w:type="paragraph" w:customStyle="1" w:styleId="ExtraHeading">
    <w:name w:val="Extra Heading"/>
    <w:basedOn w:val="Heading4"/>
    <w:rsid w:val="00E37CD0"/>
    <w:pPr>
      <w:spacing w:before="240" w:after="60" w:line="240" w:lineRule="auto"/>
      <w:ind w:left="1134"/>
    </w:pPr>
    <w:rPr>
      <w:rFonts w:ascii="Arial" w:hAnsi="Arial"/>
      <w:i/>
      <w:sz w:val="22"/>
      <w:szCs w:val="24"/>
      <w:u w:val="none"/>
    </w:rPr>
  </w:style>
  <w:style w:type="paragraph" w:customStyle="1" w:styleId="TableSource">
    <w:name w:val="TableSource"/>
    <w:basedOn w:val="Caption"/>
    <w:next w:val="Normal"/>
    <w:rsid w:val="00E37CD0"/>
    <w:pPr>
      <w:keepNext/>
      <w:tabs>
        <w:tab w:val="left" w:pos="2466"/>
      </w:tabs>
      <w:spacing w:after="120"/>
      <w:ind w:left="1134"/>
    </w:pPr>
    <w:rPr>
      <w:rFonts w:ascii="Arial" w:hAnsi="Arial"/>
      <w:b w:val="0"/>
      <w:bCs w:val="0"/>
      <w:i/>
      <w:sz w:val="16"/>
    </w:rPr>
  </w:style>
  <w:style w:type="character" w:customStyle="1" w:styleId="ListBullet3Char">
    <w:name w:val="List Bullet 3 Char"/>
    <w:link w:val="ListBullet3"/>
    <w:rsid w:val="00E37CD0"/>
    <w:rPr>
      <w:rFonts w:ascii="Arial" w:hAnsi="Arial"/>
      <w:szCs w:val="24"/>
      <w:lang w:val="en-GB" w:eastAsia="en-US" w:bidi="ar-SA"/>
    </w:rPr>
  </w:style>
  <w:style w:type="paragraph" w:styleId="Caption">
    <w:name w:val="caption"/>
    <w:basedOn w:val="Normal"/>
    <w:next w:val="Normal"/>
    <w:qFormat/>
    <w:rsid w:val="00E37CD0"/>
    <w:rPr>
      <w:b/>
      <w:bCs/>
      <w:sz w:val="20"/>
    </w:rPr>
  </w:style>
  <w:style w:type="character" w:styleId="Strong">
    <w:name w:val="Strong"/>
    <w:uiPriority w:val="22"/>
    <w:qFormat/>
    <w:rsid w:val="001B1654"/>
    <w:rPr>
      <w:b/>
      <w:bCs/>
    </w:rPr>
  </w:style>
  <w:style w:type="paragraph" w:customStyle="1" w:styleId="algFormList">
    <w:name w:val="alg_FormList"/>
    <w:basedOn w:val="algForm"/>
    <w:rsid w:val="00457770"/>
    <w:pPr>
      <w:spacing w:before="0" w:after="0"/>
    </w:pPr>
    <w:rPr>
      <w:rFonts w:ascii="Arial" w:hAnsi="Arial"/>
      <w:sz w:val="22"/>
      <w:szCs w:val="22"/>
    </w:rPr>
  </w:style>
  <w:style w:type="paragraph" w:customStyle="1" w:styleId="CM38">
    <w:name w:val="CM38"/>
    <w:basedOn w:val="Normal"/>
    <w:next w:val="Normal"/>
    <w:rsid w:val="00457770"/>
    <w:pPr>
      <w:autoSpaceDE w:val="0"/>
      <w:autoSpaceDN w:val="0"/>
      <w:adjustRightInd w:val="0"/>
      <w:spacing w:after="440"/>
    </w:pPr>
    <w:rPr>
      <w:rFonts w:ascii="Arial" w:hAnsi="Arial"/>
      <w:szCs w:val="24"/>
      <w:lang w:eastAsia="en-GB"/>
    </w:rPr>
  </w:style>
  <w:style w:type="paragraph" w:styleId="NormalWeb">
    <w:name w:val="Normal (Web)"/>
    <w:basedOn w:val="Normal"/>
    <w:uiPriority w:val="99"/>
    <w:rsid w:val="00BF71C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tylealgDetailsLeft-005cm">
    <w:name w:val="Style alg_Details + Left:  -0.05 cm"/>
    <w:basedOn w:val="algDetails"/>
    <w:rsid w:val="00274CC6"/>
    <w:pPr>
      <w:ind w:left="-28"/>
    </w:pPr>
  </w:style>
  <w:style w:type="paragraph" w:customStyle="1" w:styleId="algDetails">
    <w:name w:val="alg_Details"/>
    <w:basedOn w:val="Normal"/>
    <w:rsid w:val="00274CC6"/>
    <w:pPr>
      <w:spacing w:after="40"/>
    </w:pPr>
    <w:rPr>
      <w:rFonts w:ascii="Arial" w:hAnsi="Arial"/>
      <w:sz w:val="20"/>
      <w:szCs w:val="22"/>
    </w:rPr>
  </w:style>
  <w:style w:type="character" w:customStyle="1" w:styleId="apple-style-span">
    <w:name w:val="apple-style-span"/>
    <w:basedOn w:val="DefaultParagraphFont"/>
    <w:rsid w:val="009D419D"/>
  </w:style>
  <w:style w:type="paragraph" w:customStyle="1" w:styleId="algform0">
    <w:name w:val="algform"/>
    <w:basedOn w:val="Normal"/>
    <w:rsid w:val="007B272A"/>
    <w:pPr>
      <w:spacing w:before="120" w:after="120"/>
    </w:pPr>
    <w:rPr>
      <w:szCs w:val="24"/>
      <w:lang w:eastAsia="en-GB"/>
    </w:rPr>
  </w:style>
  <w:style w:type="paragraph" w:customStyle="1" w:styleId="cm21">
    <w:name w:val="cm21"/>
    <w:basedOn w:val="Normal"/>
    <w:rsid w:val="00157343"/>
    <w:pPr>
      <w:autoSpaceDE w:val="0"/>
      <w:autoSpaceDN w:val="0"/>
      <w:spacing w:line="276" w:lineRule="atLeast"/>
    </w:pPr>
    <w:rPr>
      <w:rFonts w:ascii="Arial" w:hAnsi="Arial" w:cs="Arial"/>
      <w:szCs w:val="24"/>
      <w:lang w:eastAsia="en-GB"/>
    </w:rPr>
  </w:style>
  <w:style w:type="character" w:styleId="Emphasis">
    <w:name w:val="Emphasis"/>
    <w:qFormat/>
    <w:rsid w:val="001E0BB5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273EB1"/>
    <w:pPr>
      <w:ind w:left="720"/>
    </w:pPr>
    <w:rPr>
      <w:rFonts w:ascii="Arial" w:hAnsi="Arial"/>
      <w:sz w:val="22"/>
      <w:szCs w:val="22"/>
    </w:rPr>
  </w:style>
  <w:style w:type="character" w:customStyle="1" w:styleId="st">
    <w:name w:val="st"/>
    <w:rsid w:val="0040287D"/>
  </w:style>
  <w:style w:type="paragraph" w:customStyle="1" w:styleId="link2">
    <w:name w:val="link2"/>
    <w:basedOn w:val="Normal"/>
    <w:rsid w:val="00A349B2"/>
    <w:pPr>
      <w:jc w:val="right"/>
    </w:pPr>
    <w:rPr>
      <w:rFonts w:ascii="Times New Roman" w:hAnsi="Times New Roman"/>
      <w:sz w:val="22"/>
      <w:szCs w:val="22"/>
      <w:lang w:eastAsia="en-GB"/>
    </w:rPr>
  </w:style>
  <w:style w:type="paragraph" w:customStyle="1" w:styleId="subscribe1">
    <w:name w:val="subscribe1"/>
    <w:basedOn w:val="Normal"/>
    <w:rsid w:val="00A349B2"/>
    <w:pPr>
      <w:jc w:val="right"/>
    </w:pPr>
    <w:rPr>
      <w:rFonts w:ascii="Times New Roman" w:hAnsi="Times New Roman"/>
      <w:sz w:val="22"/>
      <w:szCs w:val="22"/>
      <w:lang w:eastAsia="en-GB"/>
    </w:rPr>
  </w:style>
  <w:style w:type="character" w:customStyle="1" w:styleId="docsize">
    <w:name w:val="docsize"/>
    <w:rsid w:val="00A349B2"/>
  </w:style>
  <w:style w:type="character" w:customStyle="1" w:styleId="hide1">
    <w:name w:val="hide1"/>
    <w:rsid w:val="00A349B2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34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rsid w:val="00A349B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349B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rsid w:val="00A349B2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260A21"/>
    <w:rPr>
      <w:rFonts w:ascii="Officina Sans ITC TT" w:hAnsi="Officina Sans ITC TT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50BAA"/>
    <w:rPr>
      <w:rFonts w:ascii="Arial" w:eastAsia="Calibri" w:hAnsi="Arial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B50BAA"/>
    <w:rPr>
      <w:rFonts w:ascii="Arial" w:eastAsia="Calibri" w:hAnsi="Arial"/>
      <w:sz w:val="21"/>
      <w:szCs w:val="21"/>
    </w:rPr>
  </w:style>
  <w:style w:type="paragraph" w:styleId="NoSpacing">
    <w:name w:val="No Spacing"/>
    <w:uiPriority w:val="1"/>
    <w:qFormat/>
    <w:rsid w:val="00781566"/>
    <w:rPr>
      <w:rFonts w:ascii="Officina Sans ITC TT" w:hAnsi="Officina Sans ITC T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630">
              <w:marLeft w:val="105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3036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5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27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6218">
                  <w:marLeft w:val="0"/>
                  <w:marRight w:val="0"/>
                  <w:marTop w:val="0"/>
                  <w:marBottom w:val="225"/>
                  <w:divBdr>
                    <w:top w:val="single" w:sz="6" w:space="14" w:color="D4DDEC"/>
                    <w:left w:val="single" w:sz="6" w:space="14" w:color="D4DDEC"/>
                    <w:bottom w:val="single" w:sz="6" w:space="14" w:color="D4DDEC"/>
                    <w:right w:val="single" w:sz="6" w:space="14" w:color="D4DDEC"/>
                  </w:divBdr>
                </w:div>
              </w:divsChild>
            </w:div>
          </w:divsChild>
        </w:div>
      </w:divsChild>
    </w:div>
    <w:div w:id="33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5288">
              <w:marLeft w:val="105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526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5776">
              <w:marLeft w:val="0"/>
              <w:marRight w:val="-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328">
                  <w:marLeft w:val="-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8734">
                      <w:marLeft w:val="2775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7510">
              <w:marLeft w:val="105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7401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18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3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089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754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2558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3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679">
              <w:marLeft w:val="0"/>
              <w:marRight w:val="-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319">
                  <w:marLeft w:val="-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9427">
                      <w:marLeft w:val="2775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2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9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95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14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966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022">
              <w:marLeft w:val="105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3922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6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558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7713">
              <w:marLeft w:val="105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8178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2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annah.davies@londoncouncils.gov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MUEL~1.ALG\LOCALS~1\Temp\ALG_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9DB1-A151-4385-9F8A-D06C3405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ALG_Report</Template>
  <TotalTime>8</TotalTime>
  <Pages>6</Pages>
  <Words>1456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Association of London Government</Company>
  <LinksUpToDate>false</LinksUpToDate>
  <CharactersWithSpaces>9326</CharactersWithSpaces>
  <SharedDoc>false</SharedDoc>
  <HLinks>
    <vt:vector size="12" baseType="variant">
      <vt:variant>
        <vt:i4>5701702</vt:i4>
      </vt:variant>
      <vt:variant>
        <vt:i4>3</vt:i4>
      </vt:variant>
      <vt:variant>
        <vt:i4>0</vt:i4>
      </vt:variant>
      <vt:variant>
        <vt:i4>5</vt:i4>
      </vt:variant>
      <vt:variant>
        <vt:lpwstr>http://www.londoncouncils.gov.uk/committees/agenda.htm?pk_agenda_items=4642</vt:lpwstr>
      </vt:variant>
      <vt:variant>
        <vt:lpwstr/>
      </vt:variant>
      <vt:variant>
        <vt:i4>3670097</vt:i4>
      </vt:variant>
      <vt:variant>
        <vt:i4>0</vt:i4>
      </vt:variant>
      <vt:variant>
        <vt:i4>0</vt:i4>
      </vt:variant>
      <vt:variant>
        <vt:i4>5</vt:i4>
      </vt:variant>
      <vt:variant>
        <vt:lpwstr>mailto:@londoncouncils.gov.uk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samuel okakah</dc:creator>
  <cp:lastModifiedBy>Alan Edwards</cp:lastModifiedBy>
  <cp:revision>3</cp:revision>
  <cp:lastPrinted>2016-03-14T10:02:00Z</cp:lastPrinted>
  <dcterms:created xsi:type="dcterms:W3CDTF">2016-06-09T12:07:00Z</dcterms:created>
  <dcterms:modified xsi:type="dcterms:W3CDTF">2016-06-09T12:16:00Z</dcterms:modified>
</cp:coreProperties>
</file>