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C0" w:rsidRPr="00932C06" w:rsidRDefault="00AB5B64">
      <w:pPr>
        <w:rPr>
          <w:rFonts w:ascii="Arial" w:hAnsi="Arial" w:cs="Arial"/>
          <w:sz w:val="32"/>
          <w:szCs w:val="32"/>
        </w:rPr>
      </w:pPr>
      <w:r>
        <w:rPr>
          <w:rFonts w:ascii="Arial" w:hAnsi="Arial" w:cs="Arial"/>
          <w:sz w:val="32"/>
          <w:szCs w:val="32"/>
        </w:rPr>
        <w:t>Proposed amendment</w:t>
      </w:r>
      <w:r w:rsidR="00932C06" w:rsidRPr="00932C06">
        <w:rPr>
          <w:rFonts w:ascii="Arial" w:hAnsi="Arial" w:cs="Arial"/>
          <w:sz w:val="32"/>
          <w:szCs w:val="32"/>
        </w:rPr>
        <w:t>s to Standing Orders (SO</w:t>
      </w:r>
      <w:proofErr w:type="gramStart"/>
      <w:r w:rsidR="00932C06" w:rsidRPr="00932C06">
        <w:rPr>
          <w:rFonts w:ascii="Arial" w:hAnsi="Arial" w:cs="Arial"/>
          <w:sz w:val="32"/>
          <w:szCs w:val="32"/>
        </w:rPr>
        <w:t>)s</w:t>
      </w:r>
      <w:proofErr w:type="gramEnd"/>
      <w:r w:rsidR="00932C06" w:rsidRPr="00932C06">
        <w:rPr>
          <w:rFonts w:ascii="Arial" w:hAnsi="Arial" w:cs="Arial"/>
          <w:sz w:val="32"/>
          <w:szCs w:val="32"/>
        </w:rPr>
        <w:t xml:space="preserve"> </w:t>
      </w:r>
      <w:r>
        <w:rPr>
          <w:rFonts w:ascii="Arial" w:hAnsi="Arial" w:cs="Arial"/>
          <w:sz w:val="32"/>
          <w:szCs w:val="32"/>
        </w:rPr>
        <w:t xml:space="preserve"> </w:t>
      </w:r>
      <w:r w:rsidR="00932C06">
        <w:rPr>
          <w:rFonts w:ascii="Arial" w:hAnsi="Arial" w:cs="Arial"/>
          <w:sz w:val="32"/>
          <w:szCs w:val="32"/>
        </w:rPr>
        <w:tab/>
      </w:r>
      <w:r w:rsidR="00FE4DF6" w:rsidRPr="00932C06">
        <w:rPr>
          <w:rFonts w:ascii="Arial" w:hAnsi="Arial" w:cs="Arial"/>
          <w:sz w:val="32"/>
          <w:szCs w:val="32"/>
        </w:rPr>
        <w:t>Appendix 1</w:t>
      </w:r>
    </w:p>
    <w:p w:rsidR="007B3369" w:rsidRPr="00932C06" w:rsidRDefault="0013039C">
      <w:pPr>
        <w:rPr>
          <w:rFonts w:ascii="Arial" w:hAnsi="Arial" w:cs="Arial"/>
        </w:rPr>
      </w:pPr>
      <w:r>
        <w:rPr>
          <w:rFonts w:ascii="Arial" w:hAnsi="Arial" w:cs="Arial"/>
        </w:rPr>
        <w:t xml:space="preserve">Wording of existing SOs that it is proposed to remove </w:t>
      </w:r>
      <w:r w:rsidR="00D42468">
        <w:rPr>
          <w:rFonts w:ascii="Arial" w:hAnsi="Arial" w:cs="Arial"/>
        </w:rPr>
        <w:t xml:space="preserve">is indicated </w:t>
      </w:r>
      <w:r w:rsidR="00D42468" w:rsidRPr="00D42468">
        <w:rPr>
          <w:rFonts w:ascii="Arial" w:hAnsi="Arial" w:cs="Arial"/>
          <w:color w:val="FF0000"/>
        </w:rPr>
        <w:t>thus</w:t>
      </w:r>
      <w:r w:rsidR="00D42468">
        <w:rPr>
          <w:rFonts w:ascii="Arial" w:hAnsi="Arial" w:cs="Arial"/>
        </w:rPr>
        <w:t xml:space="preserve"> </w:t>
      </w:r>
      <w:r>
        <w:rPr>
          <w:rFonts w:ascii="Arial" w:hAnsi="Arial" w:cs="Arial"/>
        </w:rPr>
        <w:t>and n</w:t>
      </w:r>
      <w:r w:rsidR="007B3369" w:rsidRPr="00932C06">
        <w:rPr>
          <w:rFonts w:ascii="Arial" w:hAnsi="Arial" w:cs="Arial"/>
        </w:rPr>
        <w:t xml:space="preserve">ew wording is indicated </w:t>
      </w:r>
      <w:r w:rsidR="007B3369" w:rsidRPr="00D42468">
        <w:rPr>
          <w:rFonts w:ascii="Arial" w:hAnsi="Arial" w:cs="Arial"/>
          <w:color w:val="0070C0"/>
        </w:rPr>
        <w:t>thus</w:t>
      </w:r>
    </w:p>
    <w:tbl>
      <w:tblPr>
        <w:tblStyle w:val="TableGrid"/>
        <w:tblW w:w="9923" w:type="dxa"/>
        <w:tblInd w:w="-176" w:type="dxa"/>
        <w:tblLook w:val="04A0" w:firstRow="1" w:lastRow="0" w:firstColumn="1" w:lastColumn="0" w:noHBand="0" w:noVBand="1"/>
      </w:tblPr>
      <w:tblGrid>
        <w:gridCol w:w="568"/>
        <w:gridCol w:w="992"/>
        <w:gridCol w:w="2693"/>
        <w:gridCol w:w="2593"/>
        <w:gridCol w:w="3077"/>
      </w:tblGrid>
      <w:tr w:rsidR="00FE4DF6" w:rsidRPr="00932C06" w:rsidTr="0013606D">
        <w:tc>
          <w:tcPr>
            <w:tcW w:w="568" w:type="dxa"/>
          </w:tcPr>
          <w:p w:rsidR="00FE4DF6" w:rsidRPr="00932C06" w:rsidRDefault="00FE4DF6">
            <w:pPr>
              <w:rPr>
                <w:rFonts w:ascii="Arial" w:hAnsi="Arial" w:cs="Arial"/>
                <w:b/>
              </w:rPr>
            </w:pPr>
          </w:p>
        </w:tc>
        <w:tc>
          <w:tcPr>
            <w:tcW w:w="992" w:type="dxa"/>
          </w:tcPr>
          <w:p w:rsidR="00FE4DF6" w:rsidRPr="00932C06" w:rsidRDefault="00FE4DF6">
            <w:pPr>
              <w:rPr>
                <w:rFonts w:ascii="Arial" w:hAnsi="Arial" w:cs="Arial"/>
                <w:b/>
              </w:rPr>
            </w:pPr>
            <w:r w:rsidRPr="00932C06">
              <w:rPr>
                <w:rFonts w:ascii="Arial" w:hAnsi="Arial" w:cs="Arial"/>
                <w:b/>
              </w:rPr>
              <w:t>SO no.</w:t>
            </w:r>
          </w:p>
        </w:tc>
        <w:tc>
          <w:tcPr>
            <w:tcW w:w="2693" w:type="dxa"/>
          </w:tcPr>
          <w:p w:rsidR="00FE4DF6" w:rsidRPr="00932C06" w:rsidRDefault="00FE4DF6">
            <w:pPr>
              <w:rPr>
                <w:rFonts w:ascii="Arial" w:hAnsi="Arial" w:cs="Arial"/>
                <w:b/>
              </w:rPr>
            </w:pPr>
            <w:r w:rsidRPr="00932C06">
              <w:rPr>
                <w:rFonts w:ascii="Arial" w:hAnsi="Arial" w:cs="Arial"/>
                <w:b/>
              </w:rPr>
              <w:t>Existing</w:t>
            </w:r>
          </w:p>
        </w:tc>
        <w:tc>
          <w:tcPr>
            <w:tcW w:w="2593" w:type="dxa"/>
          </w:tcPr>
          <w:p w:rsidR="00FE4DF6" w:rsidRPr="00932C06" w:rsidRDefault="00FE4DF6">
            <w:pPr>
              <w:rPr>
                <w:rFonts w:ascii="Arial" w:hAnsi="Arial" w:cs="Arial"/>
                <w:b/>
              </w:rPr>
            </w:pPr>
            <w:r w:rsidRPr="00932C06">
              <w:rPr>
                <w:rFonts w:ascii="Arial" w:hAnsi="Arial" w:cs="Arial"/>
                <w:b/>
              </w:rPr>
              <w:t>Proposed</w:t>
            </w:r>
          </w:p>
        </w:tc>
        <w:tc>
          <w:tcPr>
            <w:tcW w:w="3077" w:type="dxa"/>
          </w:tcPr>
          <w:p w:rsidR="00FE4DF6" w:rsidRPr="00932C06" w:rsidRDefault="00FE4DF6">
            <w:pPr>
              <w:rPr>
                <w:rFonts w:ascii="Arial" w:hAnsi="Arial" w:cs="Arial"/>
                <w:b/>
              </w:rPr>
            </w:pPr>
            <w:r w:rsidRPr="00932C06">
              <w:rPr>
                <w:rFonts w:ascii="Arial" w:hAnsi="Arial" w:cs="Arial"/>
                <w:b/>
              </w:rPr>
              <w:t>Reasons</w:t>
            </w:r>
          </w:p>
        </w:tc>
      </w:tr>
      <w:tr w:rsidR="00FE4DF6" w:rsidRPr="00932C06" w:rsidTr="0013606D">
        <w:tc>
          <w:tcPr>
            <w:tcW w:w="568" w:type="dxa"/>
          </w:tcPr>
          <w:p w:rsidR="00FE4DF6" w:rsidRPr="00932C06" w:rsidRDefault="00FE4DF6">
            <w:pPr>
              <w:rPr>
                <w:rFonts w:ascii="Arial" w:hAnsi="Arial" w:cs="Arial"/>
                <w:b/>
              </w:rPr>
            </w:pPr>
            <w:r w:rsidRPr="00932C06">
              <w:rPr>
                <w:rFonts w:ascii="Arial" w:hAnsi="Arial" w:cs="Arial"/>
                <w:b/>
              </w:rPr>
              <w:t>1</w:t>
            </w:r>
          </w:p>
        </w:tc>
        <w:tc>
          <w:tcPr>
            <w:tcW w:w="992" w:type="dxa"/>
          </w:tcPr>
          <w:p w:rsidR="00FE4DF6" w:rsidRPr="00932C06" w:rsidRDefault="00FE4DF6">
            <w:pPr>
              <w:rPr>
                <w:rFonts w:ascii="Arial" w:hAnsi="Arial" w:cs="Arial"/>
              </w:rPr>
            </w:pPr>
            <w:r w:rsidRPr="00932C06">
              <w:rPr>
                <w:rFonts w:ascii="Arial" w:hAnsi="Arial" w:cs="Arial"/>
              </w:rPr>
              <w:t>1.6</w:t>
            </w:r>
          </w:p>
        </w:tc>
        <w:tc>
          <w:tcPr>
            <w:tcW w:w="2693" w:type="dxa"/>
          </w:tcPr>
          <w:p w:rsidR="00FE4DF6" w:rsidRPr="00932C06" w:rsidRDefault="00FE4DF6" w:rsidP="00FE4DF6">
            <w:pPr>
              <w:pStyle w:val="Default"/>
              <w:rPr>
                <w:sz w:val="22"/>
                <w:szCs w:val="22"/>
              </w:rPr>
            </w:pPr>
            <w:r w:rsidRPr="00932C06">
              <w:rPr>
                <w:sz w:val="22"/>
                <w:szCs w:val="22"/>
              </w:rPr>
              <w:t xml:space="preserve">Meetings may be called </w:t>
            </w:r>
            <w:r w:rsidRPr="00D42468">
              <w:rPr>
                <w:color w:val="FF0000"/>
                <w:sz w:val="22"/>
                <w:szCs w:val="22"/>
              </w:rPr>
              <w:t xml:space="preserve">at such time and such place as may be </w:t>
            </w:r>
            <w:r w:rsidRPr="00B84CE8">
              <w:rPr>
                <w:color w:val="FF0000"/>
                <w:sz w:val="22"/>
                <w:szCs w:val="22"/>
              </w:rPr>
              <w:t>determined</w:t>
            </w:r>
            <w:r w:rsidRPr="00932C06">
              <w:rPr>
                <w:sz w:val="22"/>
                <w:szCs w:val="22"/>
              </w:rPr>
              <w:t xml:space="preserve"> by: </w:t>
            </w:r>
          </w:p>
          <w:p w:rsidR="00FE4DF6" w:rsidRPr="00932C06" w:rsidRDefault="00FE4DF6">
            <w:pPr>
              <w:rPr>
                <w:rFonts w:ascii="Arial" w:hAnsi="Arial" w:cs="Arial"/>
              </w:rPr>
            </w:pPr>
          </w:p>
        </w:tc>
        <w:tc>
          <w:tcPr>
            <w:tcW w:w="2593" w:type="dxa"/>
          </w:tcPr>
          <w:p w:rsidR="00FE4DF6" w:rsidRPr="00932C06" w:rsidRDefault="00FE4DF6" w:rsidP="00FE4DF6">
            <w:pPr>
              <w:pStyle w:val="Default"/>
              <w:rPr>
                <w:sz w:val="22"/>
                <w:szCs w:val="22"/>
              </w:rPr>
            </w:pPr>
            <w:r w:rsidRPr="00932C06">
              <w:rPr>
                <w:sz w:val="22"/>
                <w:szCs w:val="22"/>
              </w:rPr>
              <w:t xml:space="preserve">Meetings may be called by: </w:t>
            </w:r>
          </w:p>
          <w:p w:rsidR="00FE4DF6" w:rsidRPr="00932C06" w:rsidRDefault="00FE4DF6">
            <w:pPr>
              <w:rPr>
                <w:rFonts w:ascii="Arial" w:hAnsi="Arial" w:cs="Arial"/>
              </w:rPr>
            </w:pPr>
          </w:p>
        </w:tc>
        <w:tc>
          <w:tcPr>
            <w:tcW w:w="3077" w:type="dxa"/>
          </w:tcPr>
          <w:p w:rsidR="00FE4DF6" w:rsidRPr="00932C06" w:rsidRDefault="00997D95" w:rsidP="00997D95">
            <w:pPr>
              <w:rPr>
                <w:rFonts w:ascii="Arial" w:hAnsi="Arial" w:cs="Arial"/>
              </w:rPr>
            </w:pPr>
            <w:r>
              <w:rPr>
                <w:rFonts w:ascii="Arial" w:hAnsi="Arial" w:cs="Arial"/>
              </w:rPr>
              <w:t xml:space="preserve">To clarify how arrangements for meetings are made having regard to the operation </w:t>
            </w:r>
            <w:r w:rsidR="0017298A">
              <w:rPr>
                <w:rFonts w:ascii="Arial" w:hAnsi="Arial" w:cs="Arial"/>
              </w:rPr>
              <w:t xml:space="preserve">of </w:t>
            </w:r>
            <w:r w:rsidR="00FE4DF6" w:rsidRPr="00932C06">
              <w:rPr>
                <w:rFonts w:ascii="Arial" w:hAnsi="Arial" w:cs="Arial"/>
              </w:rPr>
              <w:t xml:space="preserve">SO 3.1 which </w:t>
            </w:r>
            <w:r>
              <w:rPr>
                <w:rFonts w:ascii="Arial" w:hAnsi="Arial" w:cs="Arial"/>
              </w:rPr>
              <w:t>relates to the</w:t>
            </w:r>
            <w:r w:rsidR="00FE4DF6" w:rsidRPr="00932C06">
              <w:rPr>
                <w:rFonts w:ascii="Arial" w:hAnsi="Arial" w:cs="Arial"/>
              </w:rPr>
              <w:t xml:space="preserve"> date, time and place of meetings</w:t>
            </w:r>
          </w:p>
        </w:tc>
      </w:tr>
      <w:tr w:rsidR="00FE4DF6" w:rsidRPr="00932C06" w:rsidTr="0013606D">
        <w:tc>
          <w:tcPr>
            <w:tcW w:w="568" w:type="dxa"/>
          </w:tcPr>
          <w:p w:rsidR="00FE4DF6" w:rsidRPr="00932C06" w:rsidRDefault="00FE4DF6">
            <w:pPr>
              <w:rPr>
                <w:rFonts w:ascii="Arial" w:hAnsi="Arial" w:cs="Arial"/>
                <w:b/>
              </w:rPr>
            </w:pPr>
            <w:r w:rsidRPr="00932C06">
              <w:rPr>
                <w:rFonts w:ascii="Arial" w:hAnsi="Arial" w:cs="Arial"/>
                <w:b/>
              </w:rPr>
              <w:t>2</w:t>
            </w:r>
          </w:p>
        </w:tc>
        <w:tc>
          <w:tcPr>
            <w:tcW w:w="992" w:type="dxa"/>
          </w:tcPr>
          <w:p w:rsidR="00FE4DF6" w:rsidRPr="00932C06" w:rsidRDefault="00FE4DF6">
            <w:pPr>
              <w:rPr>
                <w:rFonts w:ascii="Arial" w:hAnsi="Arial" w:cs="Arial"/>
              </w:rPr>
            </w:pPr>
            <w:r w:rsidRPr="00932C06">
              <w:rPr>
                <w:rFonts w:ascii="Arial" w:hAnsi="Arial" w:cs="Arial"/>
              </w:rPr>
              <w:t>1.9(iii)</w:t>
            </w:r>
          </w:p>
        </w:tc>
        <w:tc>
          <w:tcPr>
            <w:tcW w:w="2693" w:type="dxa"/>
          </w:tcPr>
          <w:p w:rsidR="00FE4DF6" w:rsidRPr="00932C06" w:rsidRDefault="00FE4DF6" w:rsidP="00FE4DF6">
            <w:pPr>
              <w:pStyle w:val="Default"/>
              <w:rPr>
                <w:sz w:val="22"/>
                <w:szCs w:val="22"/>
              </w:rPr>
            </w:pPr>
            <w:r w:rsidRPr="00932C06">
              <w:t>…</w:t>
            </w:r>
            <w:r w:rsidRPr="004144D5">
              <w:rPr>
                <w:color w:val="FF0000"/>
                <w:sz w:val="22"/>
                <w:szCs w:val="22"/>
              </w:rPr>
              <w:t>approve</w:t>
            </w:r>
            <w:r w:rsidRPr="00932C06">
              <w:rPr>
                <w:sz w:val="22"/>
                <w:szCs w:val="22"/>
              </w:rPr>
              <w:t xml:space="preserve"> nominatio</w:t>
            </w:r>
            <w:r w:rsidR="007B3369" w:rsidRPr="00932C06">
              <w:rPr>
                <w:sz w:val="22"/>
                <w:szCs w:val="22"/>
              </w:rPr>
              <w:t>ns of Councillors appointed to c</w:t>
            </w:r>
            <w:r w:rsidRPr="00932C06">
              <w:rPr>
                <w:sz w:val="22"/>
                <w:szCs w:val="22"/>
              </w:rPr>
              <w:t xml:space="preserve">ommittees. </w:t>
            </w:r>
          </w:p>
          <w:p w:rsidR="00FE4DF6" w:rsidRPr="00932C06" w:rsidRDefault="00FE4DF6">
            <w:pPr>
              <w:rPr>
                <w:rFonts w:ascii="Arial" w:hAnsi="Arial" w:cs="Arial"/>
              </w:rPr>
            </w:pPr>
          </w:p>
        </w:tc>
        <w:tc>
          <w:tcPr>
            <w:tcW w:w="2593" w:type="dxa"/>
          </w:tcPr>
          <w:p w:rsidR="00FE4DF6" w:rsidRPr="00932C06" w:rsidRDefault="00FE4DF6">
            <w:pPr>
              <w:rPr>
                <w:rFonts w:ascii="Arial" w:hAnsi="Arial" w:cs="Arial"/>
              </w:rPr>
            </w:pPr>
            <w:r w:rsidRPr="00932C06">
              <w:rPr>
                <w:rFonts w:ascii="Arial" w:hAnsi="Arial" w:cs="Arial"/>
              </w:rPr>
              <w:t>…</w:t>
            </w:r>
            <w:r w:rsidRPr="004144D5">
              <w:rPr>
                <w:rFonts w:ascii="Arial" w:hAnsi="Arial" w:cs="Arial"/>
                <w:color w:val="4F81BD" w:themeColor="accent1"/>
              </w:rPr>
              <w:t>receive</w:t>
            </w:r>
            <w:r w:rsidRPr="004144D5">
              <w:rPr>
                <w:rFonts w:ascii="Arial" w:hAnsi="Arial" w:cs="Arial"/>
                <w:color w:val="00B0F0"/>
              </w:rPr>
              <w:t xml:space="preserve"> </w:t>
            </w:r>
            <w:r w:rsidRPr="00932C06">
              <w:rPr>
                <w:rFonts w:ascii="Arial" w:hAnsi="Arial" w:cs="Arial"/>
              </w:rPr>
              <w:t xml:space="preserve">nominations of Councillors appointed to committees </w:t>
            </w:r>
            <w:r w:rsidRPr="00D42468">
              <w:rPr>
                <w:rFonts w:ascii="Arial" w:hAnsi="Arial" w:cs="Arial"/>
                <w:color w:val="0070C0"/>
              </w:rPr>
              <w:t>by the participating London Local Authorities</w:t>
            </w:r>
          </w:p>
        </w:tc>
        <w:tc>
          <w:tcPr>
            <w:tcW w:w="3077" w:type="dxa"/>
          </w:tcPr>
          <w:p w:rsidR="00FE4DF6" w:rsidRPr="00932C06" w:rsidRDefault="00FE4DF6" w:rsidP="00683335">
            <w:pPr>
              <w:rPr>
                <w:rFonts w:ascii="Arial" w:hAnsi="Arial" w:cs="Arial"/>
              </w:rPr>
            </w:pPr>
            <w:r w:rsidRPr="00932C06">
              <w:rPr>
                <w:rFonts w:ascii="Arial" w:hAnsi="Arial" w:cs="Arial"/>
              </w:rPr>
              <w:t xml:space="preserve">Clarifies that the </w:t>
            </w:r>
            <w:r w:rsidR="00B12991" w:rsidRPr="00B12991">
              <w:rPr>
                <w:rFonts w:ascii="Arial" w:hAnsi="Arial" w:cs="Arial"/>
              </w:rPr>
              <w:t>participating London Local Authorities</w:t>
            </w:r>
            <w:r w:rsidRPr="00932C06">
              <w:rPr>
                <w:rFonts w:ascii="Arial" w:hAnsi="Arial" w:cs="Arial"/>
              </w:rPr>
              <w:t xml:space="preserve">  appoint to London Councils committee</w:t>
            </w:r>
            <w:r w:rsidR="00997D95">
              <w:rPr>
                <w:rFonts w:ascii="Arial" w:hAnsi="Arial" w:cs="Arial"/>
              </w:rPr>
              <w:t>s</w:t>
            </w:r>
          </w:p>
        </w:tc>
      </w:tr>
      <w:tr w:rsidR="00FE4DF6" w:rsidRPr="00932C06" w:rsidTr="0013606D">
        <w:tc>
          <w:tcPr>
            <w:tcW w:w="568" w:type="dxa"/>
          </w:tcPr>
          <w:p w:rsidR="00FE4DF6" w:rsidRPr="00932C06" w:rsidRDefault="00932C06">
            <w:pPr>
              <w:rPr>
                <w:rFonts w:ascii="Arial" w:hAnsi="Arial" w:cs="Arial"/>
                <w:b/>
              </w:rPr>
            </w:pPr>
            <w:r>
              <w:rPr>
                <w:rFonts w:ascii="Arial" w:hAnsi="Arial" w:cs="Arial"/>
                <w:b/>
              </w:rPr>
              <w:t>3</w:t>
            </w:r>
          </w:p>
        </w:tc>
        <w:tc>
          <w:tcPr>
            <w:tcW w:w="992" w:type="dxa"/>
          </w:tcPr>
          <w:p w:rsidR="00FE4DF6" w:rsidRPr="00932C06" w:rsidRDefault="00FE4DF6">
            <w:pPr>
              <w:rPr>
                <w:rFonts w:ascii="Arial" w:hAnsi="Arial" w:cs="Arial"/>
              </w:rPr>
            </w:pPr>
            <w:r w:rsidRPr="00932C06">
              <w:rPr>
                <w:rFonts w:ascii="Arial" w:hAnsi="Arial" w:cs="Arial"/>
              </w:rPr>
              <w:t>2.6</w:t>
            </w:r>
          </w:p>
        </w:tc>
        <w:tc>
          <w:tcPr>
            <w:tcW w:w="2693" w:type="dxa"/>
          </w:tcPr>
          <w:p w:rsidR="007B3369" w:rsidRPr="00932C06" w:rsidRDefault="00FE4DF6" w:rsidP="007B3369">
            <w:pPr>
              <w:pStyle w:val="Default"/>
            </w:pPr>
            <w:r w:rsidRPr="00D42468">
              <w:rPr>
                <w:color w:val="FF0000"/>
                <w:sz w:val="22"/>
                <w:szCs w:val="22"/>
              </w:rPr>
              <w:t xml:space="preserve">The Lead Member for Equalities of London Councils and </w:t>
            </w:r>
            <w:r w:rsidRPr="00846493">
              <w:rPr>
                <w:color w:val="FF0000"/>
                <w:sz w:val="22"/>
                <w:szCs w:val="22"/>
              </w:rPr>
              <w:t>any</w:t>
            </w:r>
            <w:r w:rsidRPr="00932C06">
              <w:rPr>
                <w:sz w:val="22"/>
                <w:szCs w:val="22"/>
              </w:rPr>
              <w:t xml:space="preserve"> </w:t>
            </w:r>
            <w:r w:rsidRPr="00D42468">
              <w:rPr>
                <w:color w:val="FF0000"/>
                <w:sz w:val="22"/>
                <w:szCs w:val="22"/>
              </w:rPr>
              <w:t xml:space="preserve">other </w:t>
            </w:r>
            <w:r w:rsidRPr="00932C06">
              <w:rPr>
                <w:sz w:val="22"/>
                <w:szCs w:val="22"/>
              </w:rPr>
              <w:t xml:space="preserve">Lead Member </w:t>
            </w:r>
          </w:p>
          <w:p w:rsidR="00FE4DF6" w:rsidRPr="00932C06" w:rsidRDefault="007B3369" w:rsidP="007B3369">
            <w:pPr>
              <w:pStyle w:val="Default"/>
              <w:rPr>
                <w:sz w:val="22"/>
                <w:szCs w:val="22"/>
              </w:rPr>
            </w:pPr>
            <w:proofErr w:type="gramStart"/>
            <w:r w:rsidRPr="00932C06">
              <w:rPr>
                <w:sz w:val="22"/>
                <w:szCs w:val="22"/>
              </w:rPr>
              <w:t>appointed</w:t>
            </w:r>
            <w:proofErr w:type="gramEnd"/>
            <w:r w:rsidRPr="00932C06">
              <w:rPr>
                <w:sz w:val="22"/>
                <w:szCs w:val="22"/>
              </w:rPr>
              <w:t xml:space="preserve"> in respect of any issue…</w:t>
            </w:r>
          </w:p>
        </w:tc>
        <w:tc>
          <w:tcPr>
            <w:tcW w:w="2593" w:type="dxa"/>
          </w:tcPr>
          <w:p w:rsidR="007B3369" w:rsidRPr="00932C06" w:rsidRDefault="007B3369" w:rsidP="007B3369">
            <w:pPr>
              <w:pStyle w:val="Default"/>
            </w:pPr>
            <w:r w:rsidRPr="00846493">
              <w:rPr>
                <w:color w:val="0070C0"/>
                <w:sz w:val="22"/>
                <w:szCs w:val="22"/>
              </w:rPr>
              <w:t>Any</w:t>
            </w:r>
            <w:r w:rsidRPr="00932C06">
              <w:rPr>
                <w:sz w:val="22"/>
                <w:szCs w:val="22"/>
              </w:rPr>
              <w:t xml:space="preserve"> Lead Member </w:t>
            </w:r>
          </w:p>
          <w:p w:rsidR="007B3369" w:rsidRPr="00932C06" w:rsidRDefault="007B3369" w:rsidP="007B3369">
            <w:pPr>
              <w:pStyle w:val="Default"/>
              <w:rPr>
                <w:sz w:val="22"/>
                <w:szCs w:val="22"/>
              </w:rPr>
            </w:pPr>
            <w:proofErr w:type="gramStart"/>
            <w:r w:rsidRPr="00932C06">
              <w:rPr>
                <w:sz w:val="22"/>
                <w:szCs w:val="22"/>
              </w:rPr>
              <w:t>appointed</w:t>
            </w:r>
            <w:proofErr w:type="gramEnd"/>
            <w:r w:rsidRPr="00932C06">
              <w:rPr>
                <w:sz w:val="22"/>
                <w:szCs w:val="22"/>
              </w:rPr>
              <w:t xml:space="preserve"> in respect of any issue…</w:t>
            </w:r>
          </w:p>
          <w:p w:rsidR="00FE4DF6" w:rsidRPr="00932C06" w:rsidRDefault="00FE4DF6">
            <w:pPr>
              <w:rPr>
                <w:rFonts w:ascii="Arial" w:hAnsi="Arial" w:cs="Arial"/>
              </w:rPr>
            </w:pPr>
          </w:p>
        </w:tc>
        <w:tc>
          <w:tcPr>
            <w:tcW w:w="3077" w:type="dxa"/>
          </w:tcPr>
          <w:p w:rsidR="00FE4DF6" w:rsidRPr="00932C06" w:rsidRDefault="007B3369">
            <w:pPr>
              <w:rPr>
                <w:rFonts w:ascii="Arial" w:hAnsi="Arial" w:cs="Arial"/>
              </w:rPr>
            </w:pPr>
            <w:r w:rsidRPr="00932C06">
              <w:rPr>
                <w:rFonts w:ascii="Arial" w:hAnsi="Arial" w:cs="Arial"/>
              </w:rPr>
              <w:t>No need to single out the Lead Member for Equalities.</w:t>
            </w:r>
          </w:p>
        </w:tc>
      </w:tr>
      <w:tr w:rsidR="00932C06" w:rsidRPr="00932C06" w:rsidTr="0013606D">
        <w:tc>
          <w:tcPr>
            <w:tcW w:w="568" w:type="dxa"/>
          </w:tcPr>
          <w:p w:rsidR="00932C06" w:rsidRPr="00932C06" w:rsidRDefault="00932C06">
            <w:pPr>
              <w:rPr>
                <w:rFonts w:ascii="Arial" w:hAnsi="Arial" w:cs="Arial"/>
                <w:b/>
              </w:rPr>
            </w:pPr>
            <w:r>
              <w:rPr>
                <w:rFonts w:ascii="Arial" w:hAnsi="Arial" w:cs="Arial"/>
                <w:b/>
              </w:rPr>
              <w:t>4</w:t>
            </w:r>
          </w:p>
        </w:tc>
        <w:tc>
          <w:tcPr>
            <w:tcW w:w="992" w:type="dxa"/>
          </w:tcPr>
          <w:p w:rsidR="00932C06" w:rsidRPr="00932C06" w:rsidRDefault="00932C06">
            <w:pPr>
              <w:rPr>
                <w:rFonts w:ascii="Arial" w:hAnsi="Arial" w:cs="Arial"/>
              </w:rPr>
            </w:pPr>
            <w:r w:rsidRPr="00932C06">
              <w:rPr>
                <w:rFonts w:ascii="Arial" w:hAnsi="Arial" w:cs="Arial"/>
              </w:rPr>
              <w:t>2.14</w:t>
            </w:r>
          </w:p>
        </w:tc>
        <w:tc>
          <w:tcPr>
            <w:tcW w:w="2693" w:type="dxa"/>
          </w:tcPr>
          <w:p w:rsidR="00932C06" w:rsidRPr="00932C06" w:rsidRDefault="00932C06" w:rsidP="007B3369">
            <w:pPr>
              <w:pStyle w:val="Default"/>
              <w:rPr>
                <w:sz w:val="22"/>
                <w:szCs w:val="22"/>
              </w:rPr>
            </w:pPr>
            <w:r w:rsidRPr="00932C06">
              <w:t>New SO</w:t>
            </w:r>
          </w:p>
        </w:tc>
        <w:tc>
          <w:tcPr>
            <w:tcW w:w="2593" w:type="dxa"/>
          </w:tcPr>
          <w:p w:rsidR="00932C06" w:rsidRPr="00932C06" w:rsidRDefault="00932C06" w:rsidP="00932C06">
            <w:pPr>
              <w:rPr>
                <w:rFonts w:ascii="Arial" w:hAnsi="Arial" w:cs="Arial"/>
              </w:rPr>
            </w:pPr>
            <w:r w:rsidRPr="00932C06">
              <w:rPr>
                <w:rFonts w:ascii="Arial" w:hAnsi="Arial" w:cs="Arial"/>
                <w:iCs/>
                <w:lang w:val="en-US"/>
              </w:rPr>
              <w:t xml:space="preserve">The following shall be the Elected Officers of any </w:t>
            </w:r>
            <w:r w:rsidRPr="00932C06">
              <w:rPr>
                <w:rFonts w:ascii="Arial" w:hAnsi="Arial" w:cs="Arial"/>
                <w:iCs/>
              </w:rPr>
              <w:t>sub-committee appointed by Leaders’ Committee, associated joint committees or sectoral joint committees</w:t>
            </w:r>
            <w:r w:rsidRPr="00932C06">
              <w:rPr>
                <w:rFonts w:ascii="Arial" w:hAnsi="Arial" w:cs="Arial"/>
                <w:iCs/>
                <w:lang w:val="en-US"/>
              </w:rPr>
              <w:t>:</w:t>
            </w:r>
          </w:p>
          <w:p w:rsidR="00932C06" w:rsidRPr="00932C06" w:rsidRDefault="00932C06" w:rsidP="00932C06">
            <w:pPr>
              <w:ind w:left="708" w:hanging="708"/>
              <w:rPr>
                <w:rFonts w:ascii="Arial" w:hAnsi="Arial" w:cs="Arial"/>
              </w:rPr>
            </w:pPr>
            <w:r w:rsidRPr="00932C06">
              <w:rPr>
                <w:rFonts w:ascii="Arial" w:hAnsi="Arial" w:cs="Arial"/>
                <w:iCs/>
                <w:lang w:val="en-US"/>
              </w:rPr>
              <w:t>(</w:t>
            </w:r>
            <w:proofErr w:type="spellStart"/>
            <w:r w:rsidRPr="00932C06">
              <w:rPr>
                <w:rFonts w:ascii="Arial" w:hAnsi="Arial" w:cs="Arial"/>
                <w:iCs/>
                <w:lang w:val="en-US"/>
              </w:rPr>
              <w:t>i</w:t>
            </w:r>
            <w:proofErr w:type="spellEnd"/>
            <w:r w:rsidRPr="00932C06">
              <w:rPr>
                <w:rFonts w:ascii="Arial" w:hAnsi="Arial" w:cs="Arial"/>
                <w:iCs/>
                <w:lang w:val="en-US"/>
              </w:rPr>
              <w:t>)</w:t>
            </w:r>
            <w:r w:rsidRPr="00932C06">
              <w:rPr>
                <w:rFonts w:ascii="Arial" w:hAnsi="Arial" w:cs="Arial"/>
                <w:iCs/>
                <w:sz w:val="14"/>
                <w:szCs w:val="14"/>
                <w:lang w:val="en-US"/>
              </w:rPr>
              <w:t xml:space="preserve">            </w:t>
            </w:r>
            <w:r w:rsidRPr="00932C06">
              <w:rPr>
                <w:rFonts w:ascii="Arial" w:hAnsi="Arial" w:cs="Arial"/>
                <w:iCs/>
                <w:lang w:val="en-US"/>
              </w:rPr>
              <w:t>Chair</w:t>
            </w:r>
          </w:p>
          <w:p w:rsidR="00932C06" w:rsidRPr="00932C06" w:rsidRDefault="00932C06" w:rsidP="00932C06">
            <w:pPr>
              <w:ind w:left="708" w:hanging="708"/>
              <w:rPr>
                <w:rFonts w:ascii="Arial" w:hAnsi="Arial" w:cs="Arial"/>
              </w:rPr>
            </w:pPr>
            <w:r w:rsidRPr="00932C06">
              <w:rPr>
                <w:rFonts w:ascii="Arial" w:hAnsi="Arial" w:cs="Arial"/>
                <w:iCs/>
                <w:lang w:val="en-US"/>
              </w:rPr>
              <w:t>(ii)</w:t>
            </w:r>
            <w:r w:rsidRPr="00932C06">
              <w:rPr>
                <w:rFonts w:ascii="Arial" w:hAnsi="Arial" w:cs="Arial"/>
                <w:iCs/>
                <w:sz w:val="14"/>
                <w:szCs w:val="14"/>
                <w:lang w:val="en-US"/>
              </w:rPr>
              <w:t xml:space="preserve">           </w:t>
            </w:r>
            <w:r w:rsidRPr="00932C06">
              <w:rPr>
                <w:rFonts w:ascii="Arial" w:hAnsi="Arial" w:cs="Arial"/>
                <w:iCs/>
                <w:lang w:val="en-US"/>
              </w:rPr>
              <w:t>Vice Chair/Deputy/s</w:t>
            </w:r>
          </w:p>
        </w:tc>
        <w:tc>
          <w:tcPr>
            <w:tcW w:w="3077" w:type="dxa"/>
          </w:tcPr>
          <w:p w:rsidR="00932C06" w:rsidRPr="00932C06" w:rsidRDefault="00997D95" w:rsidP="00997D95">
            <w:pPr>
              <w:rPr>
                <w:rFonts w:ascii="Arial" w:hAnsi="Arial" w:cs="Arial"/>
              </w:rPr>
            </w:pPr>
            <w:r>
              <w:rPr>
                <w:rFonts w:ascii="Arial" w:hAnsi="Arial" w:cs="Arial"/>
              </w:rPr>
              <w:t>Included for the purposes of new urgency arrangements for sub-committees. Also refer to SO</w:t>
            </w:r>
            <w:bookmarkStart w:id="0" w:name="_GoBack"/>
            <w:bookmarkEnd w:id="0"/>
            <w:r>
              <w:rPr>
                <w:rFonts w:ascii="Arial" w:hAnsi="Arial" w:cs="Arial"/>
              </w:rPr>
              <w:t xml:space="preserve"> 19.9  </w:t>
            </w:r>
            <w:r w:rsidR="00932C06">
              <w:rPr>
                <w:rFonts w:ascii="Arial" w:hAnsi="Arial" w:cs="Arial"/>
              </w:rPr>
              <w:t>below</w:t>
            </w:r>
          </w:p>
        </w:tc>
      </w:tr>
      <w:tr w:rsidR="00FE4DF6" w:rsidRPr="00932C06" w:rsidTr="0013606D">
        <w:tc>
          <w:tcPr>
            <w:tcW w:w="568" w:type="dxa"/>
          </w:tcPr>
          <w:p w:rsidR="00FE4DF6" w:rsidRPr="00932C06" w:rsidRDefault="00932C06">
            <w:pPr>
              <w:rPr>
                <w:rFonts w:ascii="Arial" w:hAnsi="Arial" w:cs="Arial"/>
                <w:b/>
              </w:rPr>
            </w:pPr>
            <w:r w:rsidRPr="00932C06">
              <w:rPr>
                <w:rFonts w:ascii="Arial" w:hAnsi="Arial" w:cs="Arial"/>
                <w:b/>
              </w:rPr>
              <w:t>5</w:t>
            </w:r>
          </w:p>
        </w:tc>
        <w:tc>
          <w:tcPr>
            <w:tcW w:w="992" w:type="dxa"/>
          </w:tcPr>
          <w:p w:rsidR="00FE4DF6" w:rsidRPr="00932C06" w:rsidRDefault="007B3369">
            <w:pPr>
              <w:rPr>
                <w:rFonts w:ascii="Arial" w:hAnsi="Arial" w:cs="Arial"/>
              </w:rPr>
            </w:pPr>
            <w:r w:rsidRPr="00932C06">
              <w:rPr>
                <w:rFonts w:ascii="Arial" w:hAnsi="Arial" w:cs="Arial"/>
              </w:rPr>
              <w:t>3.1</w:t>
            </w:r>
          </w:p>
        </w:tc>
        <w:tc>
          <w:tcPr>
            <w:tcW w:w="2693" w:type="dxa"/>
          </w:tcPr>
          <w:p w:rsidR="007B3369" w:rsidRPr="00932C06" w:rsidRDefault="007B3369" w:rsidP="007B3369">
            <w:pPr>
              <w:pStyle w:val="Default"/>
              <w:rPr>
                <w:sz w:val="22"/>
                <w:szCs w:val="22"/>
              </w:rPr>
            </w:pPr>
            <w:r w:rsidRPr="00932C06">
              <w:rPr>
                <w:sz w:val="22"/>
                <w:szCs w:val="22"/>
              </w:rPr>
              <w:t xml:space="preserve">The time and place of meetings will be determined by the Chief Executive and notified in the summons. </w:t>
            </w:r>
          </w:p>
          <w:p w:rsidR="00FE4DF6" w:rsidRPr="00932C06" w:rsidRDefault="00FE4DF6">
            <w:pPr>
              <w:rPr>
                <w:rFonts w:ascii="Arial" w:hAnsi="Arial" w:cs="Arial"/>
              </w:rPr>
            </w:pPr>
          </w:p>
        </w:tc>
        <w:tc>
          <w:tcPr>
            <w:tcW w:w="2593" w:type="dxa"/>
          </w:tcPr>
          <w:p w:rsidR="00FE4DF6" w:rsidRPr="00932C06" w:rsidRDefault="007B3369" w:rsidP="007B3369">
            <w:pPr>
              <w:pStyle w:val="Default"/>
              <w:rPr>
                <w:sz w:val="22"/>
                <w:szCs w:val="22"/>
              </w:rPr>
            </w:pPr>
            <w:r w:rsidRPr="00932C06">
              <w:rPr>
                <w:sz w:val="22"/>
                <w:szCs w:val="22"/>
              </w:rPr>
              <w:t xml:space="preserve">The </w:t>
            </w:r>
            <w:r w:rsidRPr="00D42468">
              <w:rPr>
                <w:color w:val="0070C0"/>
                <w:sz w:val="22"/>
                <w:szCs w:val="22"/>
              </w:rPr>
              <w:t>date</w:t>
            </w:r>
            <w:r w:rsidRPr="00932C06">
              <w:rPr>
                <w:sz w:val="22"/>
                <w:szCs w:val="22"/>
              </w:rPr>
              <w:t xml:space="preserve">, time and place of meetings will be determined by the Chief Executive and notified in the summons. </w:t>
            </w:r>
          </w:p>
        </w:tc>
        <w:tc>
          <w:tcPr>
            <w:tcW w:w="3077" w:type="dxa"/>
          </w:tcPr>
          <w:p w:rsidR="00FE4DF6" w:rsidRPr="00932C06" w:rsidRDefault="00997D95" w:rsidP="00997D95">
            <w:pPr>
              <w:rPr>
                <w:rFonts w:ascii="Arial" w:hAnsi="Arial" w:cs="Arial"/>
              </w:rPr>
            </w:pPr>
            <w:r w:rsidRPr="00997D95">
              <w:rPr>
                <w:rFonts w:ascii="Arial" w:hAnsi="Arial" w:cs="Arial"/>
              </w:rPr>
              <w:t>To clarify how arrangements for meetings are made having regard to the operation SO 1</w:t>
            </w:r>
            <w:r>
              <w:rPr>
                <w:rFonts w:ascii="Arial" w:hAnsi="Arial" w:cs="Arial"/>
              </w:rPr>
              <w:t>.6</w:t>
            </w:r>
            <w:r w:rsidRPr="00997D95">
              <w:rPr>
                <w:rFonts w:ascii="Arial" w:hAnsi="Arial" w:cs="Arial"/>
              </w:rPr>
              <w:t xml:space="preserve"> which relates to </w:t>
            </w:r>
            <w:r>
              <w:rPr>
                <w:rFonts w:ascii="Arial" w:hAnsi="Arial" w:cs="Arial"/>
              </w:rPr>
              <w:t>calling</w:t>
            </w:r>
            <w:r w:rsidRPr="00997D95">
              <w:rPr>
                <w:rFonts w:ascii="Arial" w:hAnsi="Arial" w:cs="Arial"/>
              </w:rPr>
              <w:t xml:space="preserve"> meetings</w:t>
            </w:r>
            <w:r>
              <w:rPr>
                <w:rFonts w:ascii="Arial" w:hAnsi="Arial" w:cs="Arial"/>
              </w:rPr>
              <w:t>.</w:t>
            </w:r>
            <w:r w:rsidRPr="00997D95">
              <w:rPr>
                <w:rFonts w:ascii="Arial" w:hAnsi="Arial" w:cs="Arial"/>
              </w:rPr>
              <w:t xml:space="preserve"> </w:t>
            </w:r>
          </w:p>
        </w:tc>
      </w:tr>
      <w:tr w:rsidR="00FE4DF6" w:rsidRPr="00932C06" w:rsidTr="0013606D">
        <w:tc>
          <w:tcPr>
            <w:tcW w:w="568" w:type="dxa"/>
          </w:tcPr>
          <w:p w:rsidR="00FE4DF6" w:rsidRPr="00932C06" w:rsidRDefault="00932C06">
            <w:pPr>
              <w:rPr>
                <w:rFonts w:ascii="Arial" w:hAnsi="Arial" w:cs="Arial"/>
                <w:b/>
              </w:rPr>
            </w:pPr>
            <w:r w:rsidRPr="00932C06">
              <w:rPr>
                <w:rFonts w:ascii="Arial" w:hAnsi="Arial" w:cs="Arial"/>
                <w:b/>
              </w:rPr>
              <w:t>6</w:t>
            </w:r>
          </w:p>
        </w:tc>
        <w:tc>
          <w:tcPr>
            <w:tcW w:w="992" w:type="dxa"/>
          </w:tcPr>
          <w:p w:rsidR="00FE4DF6" w:rsidRPr="00932C06" w:rsidRDefault="007B3369">
            <w:pPr>
              <w:rPr>
                <w:rFonts w:ascii="Arial" w:hAnsi="Arial" w:cs="Arial"/>
              </w:rPr>
            </w:pPr>
            <w:r w:rsidRPr="00932C06">
              <w:rPr>
                <w:rFonts w:ascii="Arial" w:hAnsi="Arial" w:cs="Arial"/>
              </w:rPr>
              <w:t xml:space="preserve">4.1 </w:t>
            </w:r>
          </w:p>
        </w:tc>
        <w:tc>
          <w:tcPr>
            <w:tcW w:w="2693" w:type="dxa"/>
          </w:tcPr>
          <w:p w:rsidR="007B3369" w:rsidRPr="00932C06" w:rsidRDefault="007B3369" w:rsidP="007B3369">
            <w:pPr>
              <w:pStyle w:val="Default"/>
              <w:rPr>
                <w:sz w:val="22"/>
                <w:szCs w:val="22"/>
              </w:rPr>
            </w:pPr>
            <w:r w:rsidRPr="00932C06">
              <w:rPr>
                <w:sz w:val="22"/>
                <w:szCs w:val="22"/>
              </w:rPr>
              <w:t xml:space="preserve">The Chief Executive will give notice to the public of the time and place of any meeting in accordance with the Access to Information Rules. </w:t>
            </w:r>
          </w:p>
          <w:p w:rsidR="00FE4DF6" w:rsidRPr="00932C06" w:rsidRDefault="00FE4DF6">
            <w:pPr>
              <w:rPr>
                <w:rFonts w:ascii="Arial" w:hAnsi="Arial" w:cs="Arial"/>
              </w:rPr>
            </w:pPr>
          </w:p>
        </w:tc>
        <w:tc>
          <w:tcPr>
            <w:tcW w:w="2593" w:type="dxa"/>
          </w:tcPr>
          <w:p w:rsidR="00FE4DF6" w:rsidRPr="00932C06" w:rsidRDefault="007B3369" w:rsidP="00932C06">
            <w:pPr>
              <w:pStyle w:val="Default"/>
              <w:rPr>
                <w:sz w:val="22"/>
                <w:szCs w:val="22"/>
              </w:rPr>
            </w:pPr>
            <w:r w:rsidRPr="00932C06">
              <w:rPr>
                <w:sz w:val="22"/>
                <w:szCs w:val="22"/>
              </w:rPr>
              <w:t>The Chief Executive will give notice to the public of the time and place of any meeting in accordance with the Access to Information Rules.</w:t>
            </w:r>
            <w:r w:rsidR="00056E2B" w:rsidRPr="00932C06">
              <w:rPr>
                <w:sz w:val="22"/>
                <w:szCs w:val="22"/>
              </w:rPr>
              <w:t xml:space="preserve"> </w:t>
            </w:r>
            <w:r w:rsidRPr="00932C06">
              <w:rPr>
                <w:i/>
                <w:sz w:val="22"/>
                <w:szCs w:val="22"/>
              </w:rPr>
              <w:t>footnote reference</w:t>
            </w:r>
            <w:r w:rsidR="00056E2B" w:rsidRPr="00932C06">
              <w:rPr>
                <w:i/>
                <w:sz w:val="22"/>
                <w:szCs w:val="22"/>
              </w:rPr>
              <w:t xml:space="preserve"> </w:t>
            </w:r>
            <w:r w:rsidR="00056E2B" w:rsidRPr="00D42468">
              <w:rPr>
                <w:color w:val="0070C0"/>
                <w:sz w:val="22"/>
                <w:szCs w:val="22"/>
              </w:rPr>
              <w:t>Under Part VA of the Local Government Act 1972</w:t>
            </w:r>
          </w:p>
        </w:tc>
        <w:tc>
          <w:tcPr>
            <w:tcW w:w="3077" w:type="dxa"/>
          </w:tcPr>
          <w:p w:rsidR="00FE4DF6" w:rsidRPr="00932C06" w:rsidRDefault="00056E2B">
            <w:pPr>
              <w:rPr>
                <w:rFonts w:ascii="Arial" w:hAnsi="Arial" w:cs="Arial"/>
              </w:rPr>
            </w:pPr>
            <w:r w:rsidRPr="00932C06">
              <w:rPr>
                <w:rFonts w:ascii="Arial" w:hAnsi="Arial" w:cs="Arial"/>
              </w:rPr>
              <w:t>Citing reference</w:t>
            </w:r>
            <w:r w:rsidR="00997D95">
              <w:rPr>
                <w:rFonts w:ascii="Arial" w:hAnsi="Arial" w:cs="Arial"/>
              </w:rPr>
              <w:t xml:space="preserve"> for information and clarification</w:t>
            </w:r>
          </w:p>
        </w:tc>
      </w:tr>
      <w:tr w:rsidR="00AB1F70" w:rsidRPr="00932C06" w:rsidTr="0013606D">
        <w:tc>
          <w:tcPr>
            <w:tcW w:w="568" w:type="dxa"/>
          </w:tcPr>
          <w:p w:rsidR="00AB1F70" w:rsidRPr="00932C06" w:rsidRDefault="00791B8C">
            <w:pPr>
              <w:rPr>
                <w:rFonts w:ascii="Arial" w:hAnsi="Arial" w:cs="Arial"/>
                <w:b/>
              </w:rPr>
            </w:pPr>
            <w:r>
              <w:rPr>
                <w:rFonts w:ascii="Arial" w:hAnsi="Arial" w:cs="Arial"/>
                <w:b/>
              </w:rPr>
              <w:t>7</w:t>
            </w:r>
          </w:p>
        </w:tc>
        <w:tc>
          <w:tcPr>
            <w:tcW w:w="992" w:type="dxa"/>
          </w:tcPr>
          <w:p w:rsidR="00AB1F70" w:rsidRDefault="00B12991">
            <w:pPr>
              <w:rPr>
                <w:rFonts w:ascii="Arial" w:hAnsi="Arial" w:cs="Arial"/>
              </w:rPr>
            </w:pPr>
            <w:r>
              <w:rPr>
                <w:rFonts w:ascii="Arial" w:hAnsi="Arial" w:cs="Arial"/>
              </w:rPr>
              <w:t>4.2</w:t>
            </w:r>
          </w:p>
          <w:p w:rsidR="00997D95" w:rsidRPr="00932C06" w:rsidRDefault="00997D95">
            <w:pPr>
              <w:rPr>
                <w:rFonts w:ascii="Arial" w:hAnsi="Arial" w:cs="Arial"/>
              </w:rPr>
            </w:pPr>
          </w:p>
        </w:tc>
        <w:tc>
          <w:tcPr>
            <w:tcW w:w="2693" w:type="dxa"/>
          </w:tcPr>
          <w:p w:rsidR="00AB1F70" w:rsidRPr="004144D5" w:rsidRDefault="00307671" w:rsidP="00683335">
            <w:pPr>
              <w:rPr>
                <w:rFonts w:ascii="Arial" w:hAnsi="Arial" w:cs="Arial"/>
                <w:lang w:val="en-US"/>
              </w:rPr>
            </w:pPr>
            <w:r>
              <w:rPr>
                <w:rFonts w:ascii="Arial" w:hAnsi="Arial" w:cs="Arial"/>
                <w:lang w:val="en-US"/>
              </w:rPr>
              <w:t xml:space="preserve">… </w:t>
            </w:r>
            <w:r w:rsidRPr="00307671">
              <w:rPr>
                <w:rFonts w:ascii="Arial" w:hAnsi="Arial" w:cs="Arial"/>
                <w:lang w:val="en-US"/>
              </w:rPr>
              <w:t xml:space="preserve">The notice will give the date, time and place of each meeting and specify the business to </w:t>
            </w:r>
            <w:r w:rsidRPr="00307671">
              <w:rPr>
                <w:rFonts w:ascii="Arial" w:hAnsi="Arial" w:cs="Arial"/>
                <w:lang w:val="en-US"/>
              </w:rPr>
              <w:lastRenderedPageBreak/>
              <w:t xml:space="preserve">be transacted, and will be accompanied by such reports as are available. </w:t>
            </w:r>
          </w:p>
        </w:tc>
        <w:tc>
          <w:tcPr>
            <w:tcW w:w="2593" w:type="dxa"/>
          </w:tcPr>
          <w:p w:rsidR="00AB1F70" w:rsidRPr="004144D5" w:rsidRDefault="00307671" w:rsidP="00F83F4E">
            <w:pPr>
              <w:rPr>
                <w:rFonts w:ascii="Arial" w:hAnsi="Arial" w:cs="Arial"/>
                <w:lang w:val="en-US"/>
              </w:rPr>
            </w:pPr>
            <w:r w:rsidRPr="00307671">
              <w:rPr>
                <w:rFonts w:ascii="Arial" w:hAnsi="Arial" w:cs="Arial"/>
                <w:lang w:val="en-US"/>
              </w:rPr>
              <w:lastRenderedPageBreak/>
              <w:t xml:space="preserve">… The notice will give the date, time and place of each meeting and specify the business to </w:t>
            </w:r>
            <w:r w:rsidRPr="00307671">
              <w:rPr>
                <w:rFonts w:ascii="Arial" w:hAnsi="Arial" w:cs="Arial"/>
                <w:lang w:val="en-US"/>
              </w:rPr>
              <w:lastRenderedPageBreak/>
              <w:t xml:space="preserve">be transacted, and will be accompanied by such reports as are available. </w:t>
            </w:r>
            <w:r w:rsidRPr="004144D5">
              <w:rPr>
                <w:rFonts w:ascii="Arial" w:hAnsi="Arial" w:cs="Arial"/>
                <w:color w:val="4F81BD" w:themeColor="accent1"/>
                <w:lang w:val="en-US"/>
              </w:rPr>
              <w:t>Where the recipient has given consent for the summons to attend the meeting to be transmitted in electronic form to a particular electronic address (and consent has not been withdrawn), the summons may be sent in electronic form to that address.</w:t>
            </w:r>
          </w:p>
        </w:tc>
        <w:tc>
          <w:tcPr>
            <w:tcW w:w="3077" w:type="dxa"/>
          </w:tcPr>
          <w:p w:rsidR="00A35495" w:rsidRPr="002A1517" w:rsidRDefault="00A35495" w:rsidP="00A35495">
            <w:pPr>
              <w:rPr>
                <w:rFonts w:ascii="Arial" w:hAnsi="Arial" w:cs="Arial"/>
                <w:lang w:val="en-US"/>
              </w:rPr>
            </w:pPr>
            <w:r>
              <w:rPr>
                <w:rFonts w:ascii="Arial" w:hAnsi="Arial" w:cs="Arial"/>
                <w:lang w:val="en-US"/>
              </w:rPr>
              <w:lastRenderedPageBreak/>
              <w:t xml:space="preserve">To reflect the provisions of </w:t>
            </w:r>
            <w:r w:rsidRPr="002A1517">
              <w:rPr>
                <w:rFonts w:ascii="Arial" w:hAnsi="Arial" w:cs="Arial"/>
                <w:lang w:val="en-US"/>
              </w:rPr>
              <w:t xml:space="preserve">The Local Government (Electronic Communications) (England) Order 2015 </w:t>
            </w:r>
            <w:r>
              <w:rPr>
                <w:rFonts w:ascii="Arial" w:hAnsi="Arial" w:cs="Arial"/>
                <w:lang w:val="en-US"/>
              </w:rPr>
              <w:t xml:space="preserve">that </w:t>
            </w:r>
            <w:r w:rsidRPr="002A1517">
              <w:rPr>
                <w:rFonts w:ascii="Arial" w:hAnsi="Arial" w:cs="Arial"/>
                <w:lang w:val="en-US"/>
              </w:rPr>
              <w:lastRenderedPageBreak/>
              <w:t>provide that where a member has given consent</w:t>
            </w:r>
            <w:r>
              <w:rPr>
                <w:rFonts w:ascii="Arial" w:hAnsi="Arial" w:cs="Arial"/>
                <w:lang w:val="en-US"/>
              </w:rPr>
              <w:t>,</w:t>
            </w:r>
            <w:r w:rsidRPr="002A1517">
              <w:rPr>
                <w:rFonts w:ascii="Arial" w:hAnsi="Arial" w:cs="Arial"/>
                <w:lang w:val="en-US"/>
              </w:rPr>
              <w:t xml:space="preserve"> </w:t>
            </w:r>
            <w:r>
              <w:rPr>
                <w:rFonts w:ascii="Arial" w:hAnsi="Arial" w:cs="Arial"/>
                <w:lang w:val="en-US"/>
              </w:rPr>
              <w:t>a</w:t>
            </w:r>
            <w:r w:rsidRPr="002A1517">
              <w:rPr>
                <w:rFonts w:ascii="Arial" w:hAnsi="Arial" w:cs="Arial"/>
                <w:lang w:val="en-US"/>
              </w:rPr>
              <w:t xml:space="preserve"> summons to attend the meeting to be transmitted in electronic form </w:t>
            </w:r>
          </w:p>
          <w:p w:rsidR="00AB1F70" w:rsidRPr="00932C06" w:rsidRDefault="00AB1F70">
            <w:pPr>
              <w:rPr>
                <w:rFonts w:ascii="Arial" w:hAnsi="Arial" w:cs="Arial"/>
              </w:rPr>
            </w:pPr>
          </w:p>
        </w:tc>
      </w:tr>
      <w:tr w:rsidR="00791B8C" w:rsidRPr="00932C06" w:rsidTr="0013606D">
        <w:tc>
          <w:tcPr>
            <w:tcW w:w="568" w:type="dxa"/>
          </w:tcPr>
          <w:p w:rsidR="00791B8C" w:rsidRPr="00932C06" w:rsidRDefault="00791B8C">
            <w:pPr>
              <w:rPr>
                <w:rFonts w:ascii="Arial" w:hAnsi="Arial" w:cs="Arial"/>
                <w:b/>
              </w:rPr>
            </w:pPr>
            <w:r>
              <w:rPr>
                <w:rFonts w:ascii="Arial" w:hAnsi="Arial" w:cs="Arial"/>
                <w:b/>
              </w:rPr>
              <w:lastRenderedPageBreak/>
              <w:t>8</w:t>
            </w:r>
          </w:p>
        </w:tc>
        <w:tc>
          <w:tcPr>
            <w:tcW w:w="992" w:type="dxa"/>
          </w:tcPr>
          <w:p w:rsidR="00791B8C" w:rsidRDefault="00791B8C">
            <w:pPr>
              <w:rPr>
                <w:rFonts w:ascii="Arial" w:hAnsi="Arial" w:cs="Arial"/>
              </w:rPr>
            </w:pPr>
            <w:r>
              <w:rPr>
                <w:rFonts w:ascii="Arial" w:hAnsi="Arial" w:cs="Arial"/>
              </w:rPr>
              <w:t>9.1</w:t>
            </w:r>
          </w:p>
        </w:tc>
        <w:tc>
          <w:tcPr>
            <w:tcW w:w="2693" w:type="dxa"/>
          </w:tcPr>
          <w:p w:rsidR="00791B8C" w:rsidRPr="00932C06" w:rsidRDefault="00307671">
            <w:pPr>
              <w:rPr>
                <w:rFonts w:ascii="Arial" w:hAnsi="Arial" w:cs="Arial"/>
              </w:rPr>
            </w:pPr>
            <w:r w:rsidRPr="00307671">
              <w:rPr>
                <w:rFonts w:ascii="Arial" w:hAnsi="Arial" w:cs="Arial"/>
              </w:rPr>
              <w:t xml:space="preserve">Except for motions which can be moved without notice under Standing Order 10 or consideration of any matters of urgency brought forward by leave of the Chair, written notice of every motion, signed by at least 5 members, must be delivered to the Chief Executive not later than 10 clear days before the date of the meeting and clear days are deemed to exclude the day of delivery, the day of the meeting and any Sunday. </w:t>
            </w:r>
            <w:r w:rsidRPr="00846493">
              <w:rPr>
                <w:rFonts w:ascii="Arial" w:hAnsi="Arial" w:cs="Arial"/>
              </w:rPr>
              <w:t xml:space="preserve">These will be </w:t>
            </w:r>
            <w:r w:rsidRPr="004144D5">
              <w:rPr>
                <w:rFonts w:ascii="Arial" w:hAnsi="Arial" w:cs="Arial"/>
                <w:color w:val="FF0000"/>
              </w:rPr>
              <w:t>entered in a book open to public inspection.</w:t>
            </w:r>
          </w:p>
        </w:tc>
        <w:tc>
          <w:tcPr>
            <w:tcW w:w="2593" w:type="dxa"/>
          </w:tcPr>
          <w:p w:rsidR="00307671" w:rsidRPr="004144D5" w:rsidRDefault="00307671" w:rsidP="00307671">
            <w:pPr>
              <w:rPr>
                <w:rFonts w:ascii="Arial" w:hAnsi="Arial" w:cs="Arial"/>
                <w:szCs w:val="16"/>
                <w:lang w:val="en-US"/>
              </w:rPr>
            </w:pPr>
            <w:r w:rsidRPr="004144D5">
              <w:rPr>
                <w:rFonts w:ascii="Arial" w:hAnsi="Arial" w:cs="Arial"/>
                <w:szCs w:val="16"/>
                <w:lang w:val="en-US"/>
              </w:rPr>
              <w:t xml:space="preserve">Except for motions which can be moved without notice under Standing Order 10 or consideration of any matters of urgency brought forward by leave of the Chair, written notice of every motion, signed by at least 5 members, must be delivered to the Chief Executive not later than 10 clear days before the date of the meeting and clear days are deemed to exclude the day of delivery, the day of the meeting and any Sunday. </w:t>
            </w:r>
            <w:r w:rsidRPr="00846493">
              <w:rPr>
                <w:rFonts w:ascii="Arial" w:hAnsi="Arial" w:cs="Arial"/>
                <w:szCs w:val="16"/>
                <w:lang w:val="en-US"/>
              </w:rPr>
              <w:t>These will be</w:t>
            </w:r>
            <w:r w:rsidRPr="004144D5">
              <w:rPr>
                <w:rFonts w:ascii="Arial" w:hAnsi="Arial" w:cs="Arial"/>
                <w:color w:val="4F81BD" w:themeColor="accent1"/>
                <w:szCs w:val="16"/>
                <w:lang w:val="en-US"/>
              </w:rPr>
              <w:t xml:space="preserve"> open to public inspection.</w:t>
            </w:r>
          </w:p>
          <w:p w:rsidR="00791B8C" w:rsidRDefault="00791B8C" w:rsidP="00F83F4E">
            <w:pPr>
              <w:rPr>
                <w:rStyle w:val="CommentReference"/>
              </w:rPr>
            </w:pPr>
          </w:p>
        </w:tc>
        <w:tc>
          <w:tcPr>
            <w:tcW w:w="3077" w:type="dxa"/>
          </w:tcPr>
          <w:p w:rsidR="00791B8C" w:rsidRPr="00932C06" w:rsidRDefault="00A35495" w:rsidP="00A35495">
            <w:pPr>
              <w:rPr>
                <w:rFonts w:ascii="Arial" w:hAnsi="Arial" w:cs="Arial"/>
              </w:rPr>
            </w:pPr>
            <w:r>
              <w:rPr>
                <w:rFonts w:ascii="Arial" w:hAnsi="Arial" w:cs="Arial"/>
              </w:rPr>
              <w:t>Update to reflect London Councils practices</w:t>
            </w:r>
          </w:p>
        </w:tc>
      </w:tr>
      <w:tr w:rsidR="002E3CCE" w:rsidRPr="00932C06" w:rsidTr="0013606D">
        <w:tc>
          <w:tcPr>
            <w:tcW w:w="568" w:type="dxa"/>
          </w:tcPr>
          <w:p w:rsidR="002E3CCE" w:rsidRDefault="002E3CCE">
            <w:pPr>
              <w:rPr>
                <w:rFonts w:ascii="Arial" w:hAnsi="Arial" w:cs="Arial"/>
                <w:b/>
              </w:rPr>
            </w:pPr>
            <w:r>
              <w:rPr>
                <w:rFonts w:ascii="Arial" w:hAnsi="Arial" w:cs="Arial"/>
                <w:b/>
              </w:rPr>
              <w:t>9</w:t>
            </w:r>
          </w:p>
        </w:tc>
        <w:tc>
          <w:tcPr>
            <w:tcW w:w="992" w:type="dxa"/>
          </w:tcPr>
          <w:p w:rsidR="002E3CCE" w:rsidRDefault="002E3CCE">
            <w:pPr>
              <w:rPr>
                <w:rFonts w:ascii="Arial" w:hAnsi="Arial" w:cs="Arial"/>
              </w:rPr>
            </w:pPr>
            <w:r>
              <w:rPr>
                <w:rFonts w:ascii="Arial" w:hAnsi="Arial" w:cs="Arial"/>
              </w:rPr>
              <w:t>13.2</w:t>
            </w:r>
          </w:p>
        </w:tc>
        <w:tc>
          <w:tcPr>
            <w:tcW w:w="2693" w:type="dxa"/>
          </w:tcPr>
          <w:p w:rsidR="002E3CCE" w:rsidRPr="00932C06" w:rsidRDefault="007452B5">
            <w:pPr>
              <w:rPr>
                <w:rFonts w:ascii="Arial" w:hAnsi="Arial" w:cs="Arial"/>
              </w:rPr>
            </w:pPr>
            <w:r w:rsidRPr="007452B5">
              <w:rPr>
                <w:rFonts w:ascii="Arial" w:hAnsi="Arial" w:cs="Arial"/>
                <w:lang w:val="en-US"/>
              </w:rPr>
              <w:t xml:space="preserve">Subject to Clause 11.1, 12.1 of the Leaders’ Committee Governing Agreement and Standing Order </w:t>
            </w:r>
            <w:r w:rsidRPr="004144D5">
              <w:rPr>
                <w:rFonts w:ascii="Arial" w:hAnsi="Arial" w:cs="Arial"/>
                <w:color w:val="FF0000"/>
                <w:lang w:val="en-US"/>
              </w:rPr>
              <w:t>14.1</w:t>
            </w:r>
            <w:r w:rsidRPr="007452B5">
              <w:rPr>
                <w:rFonts w:ascii="Arial" w:hAnsi="Arial" w:cs="Arial"/>
                <w:lang w:val="en-US"/>
              </w:rPr>
              <w:t>…</w:t>
            </w:r>
          </w:p>
        </w:tc>
        <w:tc>
          <w:tcPr>
            <w:tcW w:w="2593" w:type="dxa"/>
          </w:tcPr>
          <w:p w:rsidR="002E3CCE" w:rsidRPr="004144D5" w:rsidRDefault="007452B5" w:rsidP="00F83F4E">
            <w:pPr>
              <w:rPr>
                <w:rStyle w:val="CommentReference"/>
                <w:rFonts w:ascii="Arial" w:hAnsi="Arial" w:cs="Arial"/>
                <w:sz w:val="22"/>
                <w:szCs w:val="22"/>
              </w:rPr>
            </w:pPr>
            <w:r w:rsidRPr="007452B5">
              <w:rPr>
                <w:rFonts w:ascii="Arial" w:hAnsi="Arial" w:cs="Arial"/>
                <w:lang w:val="en-US"/>
              </w:rPr>
              <w:t xml:space="preserve">Subject to Clause 11.1, 12.1 of the Leaders’ Committee Governing Agreement and Standing Order </w:t>
            </w:r>
            <w:r w:rsidRPr="004144D5">
              <w:rPr>
                <w:rFonts w:ascii="Arial" w:hAnsi="Arial" w:cs="Arial"/>
                <w:color w:val="4F81BD" w:themeColor="accent1"/>
                <w:lang w:val="en-US"/>
              </w:rPr>
              <w:t>21.1</w:t>
            </w:r>
            <w:r>
              <w:rPr>
                <w:rFonts w:ascii="Arial" w:hAnsi="Arial" w:cs="Arial"/>
                <w:lang w:val="en-US"/>
              </w:rPr>
              <w:t>…</w:t>
            </w:r>
          </w:p>
        </w:tc>
        <w:tc>
          <w:tcPr>
            <w:tcW w:w="3077" w:type="dxa"/>
          </w:tcPr>
          <w:p w:rsidR="002E3CCE" w:rsidRPr="00932C06" w:rsidRDefault="007452B5">
            <w:pPr>
              <w:rPr>
                <w:rFonts w:ascii="Arial" w:hAnsi="Arial" w:cs="Arial"/>
              </w:rPr>
            </w:pPr>
            <w:r>
              <w:rPr>
                <w:rFonts w:ascii="Arial" w:hAnsi="Arial" w:cs="Arial"/>
              </w:rPr>
              <w:t>To correct reference</w:t>
            </w:r>
          </w:p>
        </w:tc>
      </w:tr>
      <w:tr w:rsidR="00FE4DF6" w:rsidRPr="00932C06" w:rsidTr="0013606D">
        <w:tc>
          <w:tcPr>
            <w:tcW w:w="568" w:type="dxa"/>
          </w:tcPr>
          <w:p w:rsidR="00FE4DF6" w:rsidRPr="00932C06" w:rsidRDefault="00BC6703">
            <w:pPr>
              <w:rPr>
                <w:rFonts w:ascii="Arial" w:hAnsi="Arial" w:cs="Arial"/>
                <w:b/>
              </w:rPr>
            </w:pPr>
            <w:r>
              <w:rPr>
                <w:rFonts w:ascii="Arial" w:hAnsi="Arial" w:cs="Arial"/>
                <w:b/>
              </w:rPr>
              <w:t>10</w:t>
            </w:r>
          </w:p>
        </w:tc>
        <w:tc>
          <w:tcPr>
            <w:tcW w:w="992" w:type="dxa"/>
          </w:tcPr>
          <w:p w:rsidR="00FE4DF6" w:rsidRPr="00932C06" w:rsidRDefault="00056E2B">
            <w:pPr>
              <w:rPr>
                <w:rFonts w:ascii="Arial" w:hAnsi="Arial" w:cs="Arial"/>
              </w:rPr>
            </w:pPr>
            <w:r w:rsidRPr="00932C06">
              <w:rPr>
                <w:rFonts w:ascii="Arial" w:hAnsi="Arial" w:cs="Arial"/>
              </w:rPr>
              <w:t>13.</w:t>
            </w:r>
            <w:r w:rsidR="00B87119">
              <w:rPr>
                <w:rFonts w:ascii="Arial" w:hAnsi="Arial" w:cs="Arial"/>
              </w:rPr>
              <w:t>5</w:t>
            </w:r>
          </w:p>
        </w:tc>
        <w:tc>
          <w:tcPr>
            <w:tcW w:w="2693" w:type="dxa"/>
          </w:tcPr>
          <w:p w:rsidR="00FE4DF6" w:rsidRPr="00932C06" w:rsidRDefault="00B87119" w:rsidP="00B87119">
            <w:pPr>
              <w:rPr>
                <w:rFonts w:ascii="Arial" w:hAnsi="Arial" w:cs="Arial"/>
              </w:rPr>
            </w:pPr>
            <w:r>
              <w:rPr>
                <w:rFonts w:ascii="Arial" w:hAnsi="Arial" w:cs="Arial"/>
              </w:rPr>
              <w:t>…</w:t>
            </w:r>
            <w:r w:rsidRPr="00932C06" w:rsidDel="00B87119">
              <w:rPr>
                <w:rFonts w:ascii="Arial" w:hAnsi="Arial" w:cs="Arial"/>
              </w:rPr>
              <w:t xml:space="preserve"> </w:t>
            </w:r>
            <w:proofErr w:type="gramStart"/>
            <w:r w:rsidRPr="00C62BEE">
              <w:rPr>
                <w:rFonts w:ascii="Arial" w:hAnsi="Arial" w:cs="Arial"/>
              </w:rPr>
              <w:t>in</w:t>
            </w:r>
            <w:proofErr w:type="gramEnd"/>
            <w:r w:rsidRPr="00C62BEE">
              <w:rPr>
                <w:rFonts w:ascii="Arial" w:hAnsi="Arial" w:cs="Arial"/>
              </w:rPr>
              <w:t xml:space="preserve"> </w:t>
            </w:r>
            <w:r w:rsidR="00F83F4E" w:rsidRPr="00C62BEE">
              <w:rPr>
                <w:rFonts w:ascii="Arial" w:hAnsi="Arial" w:cs="Arial"/>
              </w:rPr>
              <w:t>accordance with 13.6</w:t>
            </w:r>
            <w:r w:rsidR="00F83F4E" w:rsidRPr="00D42468">
              <w:rPr>
                <w:rFonts w:ascii="Arial" w:hAnsi="Arial" w:cs="Arial"/>
                <w:color w:val="FF0000"/>
              </w:rPr>
              <w:t xml:space="preserve"> (b) </w:t>
            </w:r>
            <w:r w:rsidR="00F83F4E" w:rsidRPr="00C62BEE">
              <w:rPr>
                <w:rFonts w:ascii="Arial" w:hAnsi="Arial" w:cs="Arial"/>
              </w:rPr>
              <w:t xml:space="preserve">below. </w:t>
            </w:r>
          </w:p>
        </w:tc>
        <w:tc>
          <w:tcPr>
            <w:tcW w:w="2593" w:type="dxa"/>
          </w:tcPr>
          <w:p w:rsidR="00F83F4E" w:rsidRPr="0013606D" w:rsidRDefault="00B87119" w:rsidP="00F83F4E">
            <w:pPr>
              <w:rPr>
                <w:rFonts w:ascii="Arial" w:hAnsi="Arial" w:cs="Arial"/>
              </w:rPr>
            </w:pPr>
            <w:r>
              <w:rPr>
                <w:rFonts w:ascii="Arial" w:hAnsi="Arial" w:cs="Arial"/>
              </w:rPr>
              <w:t>….</w:t>
            </w:r>
            <w:r w:rsidR="00F83F4E" w:rsidRPr="00932C06">
              <w:rPr>
                <w:rFonts w:ascii="Arial" w:hAnsi="Arial" w:cs="Arial"/>
              </w:rPr>
              <w:t>in accordance with 13.</w:t>
            </w:r>
            <w:r>
              <w:rPr>
                <w:rFonts w:ascii="Arial" w:hAnsi="Arial" w:cs="Arial"/>
              </w:rPr>
              <w:t>6</w:t>
            </w:r>
            <w:r w:rsidR="00F83F4E" w:rsidRPr="00932C06">
              <w:rPr>
                <w:rFonts w:ascii="Arial" w:hAnsi="Arial" w:cs="Arial"/>
              </w:rPr>
              <w:t xml:space="preserve"> </w:t>
            </w:r>
            <w:r w:rsidR="00F83F4E" w:rsidRPr="0013606D">
              <w:rPr>
                <w:rFonts w:ascii="Arial" w:hAnsi="Arial" w:cs="Arial"/>
              </w:rPr>
              <w:t xml:space="preserve">below. </w:t>
            </w:r>
          </w:p>
          <w:p w:rsidR="00FE4DF6" w:rsidRPr="00932C06" w:rsidRDefault="00FE4DF6" w:rsidP="00F83F4E">
            <w:pPr>
              <w:rPr>
                <w:rFonts w:ascii="Arial" w:hAnsi="Arial" w:cs="Arial"/>
              </w:rPr>
            </w:pPr>
          </w:p>
        </w:tc>
        <w:tc>
          <w:tcPr>
            <w:tcW w:w="3077" w:type="dxa"/>
          </w:tcPr>
          <w:p w:rsidR="00FE4DF6" w:rsidRPr="00932C06" w:rsidRDefault="00C62BEE" w:rsidP="0017298A">
            <w:pPr>
              <w:rPr>
                <w:rFonts w:ascii="Arial" w:hAnsi="Arial" w:cs="Arial"/>
              </w:rPr>
            </w:pPr>
            <w:r>
              <w:rPr>
                <w:rFonts w:ascii="Arial" w:hAnsi="Arial" w:cs="Arial"/>
              </w:rPr>
              <w:t>To correct reference</w:t>
            </w:r>
          </w:p>
        </w:tc>
      </w:tr>
      <w:tr w:rsidR="00820EC6" w:rsidRPr="00932C06" w:rsidTr="0013606D">
        <w:tc>
          <w:tcPr>
            <w:tcW w:w="568" w:type="dxa"/>
          </w:tcPr>
          <w:p w:rsidR="00820EC6" w:rsidRPr="00932C06" w:rsidRDefault="00BC6703">
            <w:pPr>
              <w:rPr>
                <w:rFonts w:ascii="Arial" w:hAnsi="Arial" w:cs="Arial"/>
                <w:b/>
              </w:rPr>
            </w:pPr>
            <w:r>
              <w:rPr>
                <w:rFonts w:ascii="Arial" w:hAnsi="Arial" w:cs="Arial"/>
                <w:b/>
              </w:rPr>
              <w:t>11</w:t>
            </w:r>
          </w:p>
        </w:tc>
        <w:tc>
          <w:tcPr>
            <w:tcW w:w="992" w:type="dxa"/>
          </w:tcPr>
          <w:p w:rsidR="00820EC6" w:rsidRPr="00932C06" w:rsidRDefault="00820EC6">
            <w:pPr>
              <w:rPr>
                <w:rFonts w:ascii="Arial" w:hAnsi="Arial" w:cs="Arial"/>
              </w:rPr>
            </w:pPr>
            <w:r>
              <w:rPr>
                <w:rFonts w:ascii="Arial" w:hAnsi="Arial" w:cs="Arial"/>
              </w:rPr>
              <w:t>15.1</w:t>
            </w:r>
          </w:p>
        </w:tc>
        <w:tc>
          <w:tcPr>
            <w:tcW w:w="2693" w:type="dxa"/>
          </w:tcPr>
          <w:p w:rsidR="00820EC6" w:rsidRPr="004144D5" w:rsidRDefault="007452B5">
            <w:pPr>
              <w:rPr>
                <w:rFonts w:ascii="Arial" w:hAnsi="Arial" w:cs="Arial"/>
                <w:lang w:val="en-US"/>
              </w:rPr>
            </w:pPr>
            <w:r w:rsidRPr="007452B5">
              <w:rPr>
                <w:rFonts w:ascii="Arial" w:hAnsi="Arial" w:cs="Arial"/>
                <w:lang w:val="en-US"/>
              </w:rPr>
              <w:t>At every meeting, each representative of a member authority and all other representatives present in accordance with Standing Order 2 (Membership)</w:t>
            </w:r>
            <w:r w:rsidRPr="004144D5">
              <w:rPr>
                <w:rFonts w:ascii="Arial" w:hAnsi="Arial" w:cs="Arial"/>
                <w:color w:val="FF0000"/>
                <w:lang w:val="en-US"/>
              </w:rPr>
              <w:t xml:space="preserve">, shall enter his/her name in an </w:t>
            </w:r>
            <w:r w:rsidRPr="004144D5">
              <w:rPr>
                <w:rFonts w:ascii="Arial" w:hAnsi="Arial" w:cs="Arial"/>
                <w:color w:val="FF0000"/>
                <w:lang w:val="en-US"/>
              </w:rPr>
              <w:lastRenderedPageBreak/>
              <w:t>attendance book provided by the Clerk to the Meeting</w:t>
            </w:r>
            <w:r w:rsidRPr="007452B5">
              <w:rPr>
                <w:rFonts w:ascii="Arial" w:hAnsi="Arial" w:cs="Arial"/>
                <w:lang w:val="en-US"/>
              </w:rPr>
              <w:t>.</w:t>
            </w:r>
          </w:p>
        </w:tc>
        <w:tc>
          <w:tcPr>
            <w:tcW w:w="2593" w:type="dxa"/>
          </w:tcPr>
          <w:p w:rsidR="00820EC6" w:rsidRPr="004144D5" w:rsidRDefault="007452B5" w:rsidP="00F83F4E">
            <w:pPr>
              <w:rPr>
                <w:rFonts w:ascii="Arial" w:hAnsi="Arial" w:cs="Arial"/>
                <w:lang w:val="en-US"/>
              </w:rPr>
            </w:pPr>
            <w:r w:rsidRPr="003F54B3">
              <w:rPr>
                <w:rFonts w:ascii="Arial" w:hAnsi="Arial" w:cs="Arial"/>
                <w:iCs/>
              </w:rPr>
              <w:lastRenderedPageBreak/>
              <w:t xml:space="preserve">At every meeting, </w:t>
            </w:r>
            <w:r w:rsidRPr="007452B5">
              <w:rPr>
                <w:rFonts w:ascii="Arial" w:hAnsi="Arial" w:cs="Arial"/>
                <w:iCs/>
                <w:color w:val="4F81BD" w:themeColor="accent1"/>
              </w:rPr>
              <w:t>the Clerk to the Meeting will</w:t>
            </w:r>
            <w:r w:rsidRPr="00683335">
              <w:rPr>
                <w:rFonts w:ascii="Arial" w:hAnsi="Arial" w:cs="Arial"/>
                <w:iCs/>
                <w:color w:val="4F81BD" w:themeColor="accent1"/>
              </w:rPr>
              <w:t xml:space="preserve"> record the attendance of</w:t>
            </w:r>
            <w:r w:rsidRPr="003F54B3">
              <w:rPr>
                <w:rFonts w:ascii="Arial" w:hAnsi="Arial" w:cs="Arial"/>
                <w:iCs/>
                <w:color w:val="4F81BD" w:themeColor="accent1"/>
              </w:rPr>
              <w:t xml:space="preserve"> </w:t>
            </w:r>
            <w:r w:rsidRPr="007452B5">
              <w:rPr>
                <w:rFonts w:ascii="Arial" w:hAnsi="Arial" w:cs="Arial"/>
                <w:iCs/>
              </w:rPr>
              <w:t>each</w:t>
            </w:r>
            <w:r w:rsidRPr="007452B5">
              <w:rPr>
                <w:rFonts w:ascii="Arial" w:hAnsi="Arial" w:cs="Arial"/>
                <w:lang w:val="en-US"/>
              </w:rPr>
              <w:t xml:space="preserve"> </w:t>
            </w:r>
            <w:r w:rsidRPr="007452B5">
              <w:rPr>
                <w:rFonts w:ascii="Arial" w:hAnsi="Arial" w:cs="Arial"/>
                <w:iCs/>
                <w:lang w:val="en-US"/>
              </w:rPr>
              <w:t xml:space="preserve">representative of a member authority and all other representatives </w:t>
            </w:r>
            <w:r>
              <w:rPr>
                <w:rFonts w:ascii="Arial" w:hAnsi="Arial" w:cs="Arial"/>
                <w:iCs/>
                <w:lang w:val="en-US"/>
              </w:rPr>
              <w:t xml:space="preserve">present in accordance </w:t>
            </w:r>
            <w:r w:rsidRPr="007452B5">
              <w:rPr>
                <w:rFonts w:ascii="Arial" w:hAnsi="Arial" w:cs="Arial"/>
                <w:iCs/>
                <w:lang w:val="en-US"/>
              </w:rPr>
              <w:t>wit</w:t>
            </w:r>
            <w:r>
              <w:rPr>
                <w:rFonts w:ascii="Arial" w:hAnsi="Arial" w:cs="Arial"/>
                <w:iCs/>
                <w:lang w:val="en-US"/>
              </w:rPr>
              <w:t xml:space="preserve">h </w:t>
            </w:r>
            <w:r>
              <w:rPr>
                <w:rFonts w:ascii="Arial" w:hAnsi="Arial" w:cs="Arial"/>
                <w:iCs/>
                <w:lang w:val="en-US"/>
              </w:rPr>
              <w:lastRenderedPageBreak/>
              <w:t>Standing Order 2 (Membership).</w:t>
            </w:r>
          </w:p>
        </w:tc>
        <w:tc>
          <w:tcPr>
            <w:tcW w:w="3077" w:type="dxa"/>
          </w:tcPr>
          <w:p w:rsidR="00820EC6" w:rsidRPr="00932C06" w:rsidRDefault="007452B5">
            <w:pPr>
              <w:rPr>
                <w:rFonts w:ascii="Arial" w:hAnsi="Arial" w:cs="Arial"/>
              </w:rPr>
            </w:pPr>
            <w:r w:rsidRPr="007452B5">
              <w:rPr>
                <w:rFonts w:ascii="Arial" w:hAnsi="Arial" w:cs="Arial"/>
              </w:rPr>
              <w:lastRenderedPageBreak/>
              <w:t>Update to reflect London Councils practices</w:t>
            </w:r>
          </w:p>
        </w:tc>
      </w:tr>
      <w:tr w:rsidR="00FE4DF6" w:rsidRPr="00932C06" w:rsidTr="0013606D">
        <w:tc>
          <w:tcPr>
            <w:tcW w:w="568" w:type="dxa"/>
          </w:tcPr>
          <w:p w:rsidR="00FE4DF6" w:rsidRPr="00932C06" w:rsidRDefault="00BC6703">
            <w:pPr>
              <w:rPr>
                <w:rFonts w:ascii="Arial" w:hAnsi="Arial" w:cs="Arial"/>
                <w:b/>
              </w:rPr>
            </w:pPr>
            <w:r>
              <w:rPr>
                <w:rFonts w:ascii="Arial" w:hAnsi="Arial" w:cs="Arial"/>
                <w:b/>
              </w:rPr>
              <w:lastRenderedPageBreak/>
              <w:t>12</w:t>
            </w:r>
          </w:p>
        </w:tc>
        <w:tc>
          <w:tcPr>
            <w:tcW w:w="992" w:type="dxa"/>
          </w:tcPr>
          <w:p w:rsidR="00FE4DF6" w:rsidRPr="00932C06" w:rsidRDefault="00E025B5">
            <w:pPr>
              <w:rPr>
                <w:rFonts w:ascii="Arial" w:hAnsi="Arial" w:cs="Arial"/>
              </w:rPr>
            </w:pPr>
            <w:r w:rsidRPr="00932C06">
              <w:rPr>
                <w:rFonts w:ascii="Arial" w:hAnsi="Arial" w:cs="Arial"/>
              </w:rPr>
              <w:t>19.6</w:t>
            </w:r>
          </w:p>
        </w:tc>
        <w:tc>
          <w:tcPr>
            <w:tcW w:w="2693" w:type="dxa"/>
          </w:tcPr>
          <w:p w:rsidR="00FE4DF6" w:rsidRPr="00932C06" w:rsidRDefault="00E025B5" w:rsidP="00932C06">
            <w:pPr>
              <w:pStyle w:val="Default"/>
              <w:rPr>
                <w:sz w:val="22"/>
                <w:szCs w:val="22"/>
              </w:rPr>
            </w:pPr>
            <w:r w:rsidRPr="00932C06">
              <w:rPr>
                <w:sz w:val="22"/>
                <w:szCs w:val="22"/>
              </w:rPr>
              <w:t>The urgency procedure to be followed by Transport and Environment Committee is as in 19.1-19.5 above</w:t>
            </w:r>
            <w:r w:rsidRPr="00135253">
              <w:rPr>
                <w:color w:val="auto"/>
                <w:sz w:val="22"/>
                <w:szCs w:val="22"/>
              </w:rPr>
              <w:t xml:space="preserve">, with the substitution of </w:t>
            </w:r>
            <w:r w:rsidRPr="004144D5">
              <w:rPr>
                <w:color w:val="FF0000"/>
                <w:sz w:val="22"/>
                <w:szCs w:val="22"/>
              </w:rPr>
              <w:t xml:space="preserve">“Corporate Director” </w:t>
            </w:r>
            <w:r w:rsidRPr="00135253">
              <w:rPr>
                <w:color w:val="auto"/>
                <w:sz w:val="22"/>
                <w:szCs w:val="22"/>
              </w:rPr>
              <w:t xml:space="preserve">for “Chief Executive” and </w:t>
            </w:r>
            <w:r w:rsidRPr="00932C06">
              <w:rPr>
                <w:sz w:val="22"/>
                <w:szCs w:val="22"/>
              </w:rPr>
              <w:t>referring to the Elected Officers of the Transp</w:t>
            </w:r>
            <w:r w:rsidR="00932C06">
              <w:rPr>
                <w:sz w:val="22"/>
                <w:szCs w:val="22"/>
              </w:rPr>
              <w:t xml:space="preserve">ort and Environment Committee. </w:t>
            </w:r>
          </w:p>
        </w:tc>
        <w:tc>
          <w:tcPr>
            <w:tcW w:w="2593" w:type="dxa"/>
          </w:tcPr>
          <w:p w:rsidR="00135253" w:rsidRDefault="00E025B5" w:rsidP="002721B5">
            <w:pPr>
              <w:pStyle w:val="Default"/>
              <w:rPr>
                <w:rStyle w:val="CommentReference"/>
                <w:rFonts w:asciiTheme="minorHAnsi" w:hAnsiTheme="minorHAnsi" w:cstheme="minorBidi"/>
                <w:color w:val="auto"/>
              </w:rPr>
            </w:pPr>
            <w:r w:rsidRPr="00932C06">
              <w:rPr>
                <w:sz w:val="22"/>
                <w:szCs w:val="22"/>
              </w:rPr>
              <w:t xml:space="preserve">The urgency procedure to be followed by Transport and Environment Committee is as in 19.1-19.5 above, </w:t>
            </w:r>
          </w:p>
          <w:p w:rsidR="00135253" w:rsidRPr="00135253" w:rsidRDefault="00135253" w:rsidP="002721B5">
            <w:pPr>
              <w:pStyle w:val="Default"/>
              <w:rPr>
                <w:rStyle w:val="CommentReference"/>
                <w:rFonts w:asciiTheme="minorHAnsi" w:hAnsiTheme="minorHAnsi" w:cstheme="minorBidi"/>
                <w:color w:val="auto"/>
              </w:rPr>
            </w:pPr>
            <w:r w:rsidRPr="00135253">
              <w:rPr>
                <w:color w:val="auto"/>
                <w:sz w:val="22"/>
                <w:szCs w:val="22"/>
              </w:rPr>
              <w:t xml:space="preserve">with the substitution of </w:t>
            </w:r>
            <w:r w:rsidRPr="00135253">
              <w:rPr>
                <w:color w:val="0070C0"/>
                <w:sz w:val="22"/>
                <w:szCs w:val="22"/>
              </w:rPr>
              <w:t xml:space="preserve">“Director, Transport &amp; Mobility” </w:t>
            </w:r>
            <w:r w:rsidRPr="00135253">
              <w:rPr>
                <w:color w:val="auto"/>
                <w:sz w:val="22"/>
                <w:szCs w:val="22"/>
              </w:rPr>
              <w:t>for “Chief Executive” and</w:t>
            </w:r>
          </w:p>
          <w:p w:rsidR="00FE4DF6" w:rsidRPr="00932C06" w:rsidRDefault="00E025B5" w:rsidP="002721B5">
            <w:pPr>
              <w:pStyle w:val="Default"/>
              <w:rPr>
                <w:sz w:val="22"/>
                <w:szCs w:val="22"/>
              </w:rPr>
            </w:pPr>
            <w:proofErr w:type="gramStart"/>
            <w:r w:rsidRPr="00135253">
              <w:rPr>
                <w:color w:val="auto"/>
                <w:sz w:val="22"/>
                <w:szCs w:val="22"/>
              </w:rPr>
              <w:t>referring</w:t>
            </w:r>
            <w:proofErr w:type="gramEnd"/>
            <w:r w:rsidRPr="00135253">
              <w:rPr>
                <w:color w:val="auto"/>
                <w:sz w:val="22"/>
                <w:szCs w:val="22"/>
              </w:rPr>
              <w:t xml:space="preserve"> to the Elected </w:t>
            </w:r>
            <w:r w:rsidRPr="00932C06">
              <w:rPr>
                <w:sz w:val="22"/>
                <w:szCs w:val="22"/>
              </w:rPr>
              <w:t>Officers of the Transp</w:t>
            </w:r>
            <w:r w:rsidR="00932C06">
              <w:rPr>
                <w:sz w:val="22"/>
                <w:szCs w:val="22"/>
              </w:rPr>
              <w:t>ort and Environment Committee.</w:t>
            </w:r>
          </w:p>
        </w:tc>
        <w:tc>
          <w:tcPr>
            <w:tcW w:w="3077" w:type="dxa"/>
          </w:tcPr>
          <w:p w:rsidR="00FE4DF6" w:rsidRPr="00932C06" w:rsidRDefault="00E025B5">
            <w:pPr>
              <w:rPr>
                <w:rFonts w:ascii="Arial" w:hAnsi="Arial" w:cs="Arial"/>
              </w:rPr>
            </w:pPr>
            <w:r w:rsidRPr="00932C06">
              <w:rPr>
                <w:rFonts w:ascii="Arial" w:hAnsi="Arial" w:cs="Arial"/>
              </w:rPr>
              <w:t>Reflects change to London Councils staffing</w:t>
            </w:r>
            <w:r w:rsidR="00932C06">
              <w:rPr>
                <w:rFonts w:ascii="Arial" w:hAnsi="Arial" w:cs="Arial"/>
              </w:rPr>
              <w:t xml:space="preserve"> structure</w:t>
            </w:r>
          </w:p>
        </w:tc>
      </w:tr>
      <w:tr w:rsidR="00FE4DF6" w:rsidRPr="00932C06" w:rsidTr="0013606D">
        <w:tc>
          <w:tcPr>
            <w:tcW w:w="568" w:type="dxa"/>
          </w:tcPr>
          <w:p w:rsidR="00FE4DF6" w:rsidRPr="00932C06" w:rsidRDefault="00BC6703">
            <w:pPr>
              <w:rPr>
                <w:rFonts w:ascii="Arial" w:hAnsi="Arial" w:cs="Arial"/>
                <w:b/>
              </w:rPr>
            </w:pPr>
            <w:r>
              <w:rPr>
                <w:rFonts w:ascii="Arial" w:hAnsi="Arial" w:cs="Arial"/>
                <w:b/>
              </w:rPr>
              <w:t>13</w:t>
            </w:r>
          </w:p>
        </w:tc>
        <w:tc>
          <w:tcPr>
            <w:tcW w:w="992" w:type="dxa"/>
          </w:tcPr>
          <w:p w:rsidR="00FE4DF6" w:rsidRPr="00932C06" w:rsidRDefault="00932C06">
            <w:pPr>
              <w:rPr>
                <w:rFonts w:ascii="Arial" w:hAnsi="Arial" w:cs="Arial"/>
              </w:rPr>
            </w:pPr>
            <w:r w:rsidRPr="00932C06">
              <w:rPr>
                <w:rFonts w:ascii="Arial" w:hAnsi="Arial" w:cs="Arial"/>
              </w:rPr>
              <w:t>19.9</w:t>
            </w:r>
          </w:p>
        </w:tc>
        <w:tc>
          <w:tcPr>
            <w:tcW w:w="2693" w:type="dxa"/>
          </w:tcPr>
          <w:p w:rsidR="00FE4DF6" w:rsidRPr="00932C06" w:rsidRDefault="00932C06">
            <w:pPr>
              <w:rPr>
                <w:rFonts w:ascii="Arial" w:hAnsi="Arial" w:cs="Arial"/>
              </w:rPr>
            </w:pPr>
            <w:r w:rsidRPr="00932C06">
              <w:rPr>
                <w:rFonts w:ascii="Arial" w:hAnsi="Arial" w:cs="Arial"/>
              </w:rPr>
              <w:t>New SO</w:t>
            </w:r>
          </w:p>
        </w:tc>
        <w:tc>
          <w:tcPr>
            <w:tcW w:w="2593" w:type="dxa"/>
          </w:tcPr>
          <w:p w:rsidR="00932C06" w:rsidRPr="004144D5" w:rsidRDefault="00932C06" w:rsidP="00932C06">
            <w:pPr>
              <w:rPr>
                <w:rFonts w:ascii="Arial" w:hAnsi="Arial" w:cs="Arial"/>
                <w:color w:val="4F81BD" w:themeColor="accent1"/>
              </w:rPr>
            </w:pPr>
            <w:r w:rsidRPr="004144D5">
              <w:rPr>
                <w:rFonts w:ascii="Arial" w:hAnsi="Arial" w:cs="Arial"/>
                <w:iCs/>
                <w:color w:val="4F81BD" w:themeColor="accent1"/>
              </w:rPr>
              <w:t>The urgency procedure to be followed by any sub-committee appointed by Leaders’ Committee, associated joint committees or sectoral joint committees</w:t>
            </w:r>
          </w:p>
          <w:p w:rsidR="00FE4DF6" w:rsidRPr="00932C06" w:rsidRDefault="00932C06" w:rsidP="00877783">
            <w:pPr>
              <w:rPr>
                <w:rFonts w:ascii="Arial" w:hAnsi="Arial" w:cs="Arial"/>
              </w:rPr>
            </w:pPr>
            <w:proofErr w:type="gramStart"/>
            <w:r w:rsidRPr="004144D5">
              <w:rPr>
                <w:rFonts w:ascii="Arial" w:hAnsi="Arial" w:cs="Arial"/>
                <w:iCs/>
                <w:color w:val="4F81BD" w:themeColor="accent1"/>
              </w:rPr>
              <w:t>is</w:t>
            </w:r>
            <w:proofErr w:type="gramEnd"/>
            <w:r w:rsidRPr="004144D5">
              <w:rPr>
                <w:rFonts w:ascii="Arial" w:hAnsi="Arial" w:cs="Arial"/>
                <w:iCs/>
                <w:color w:val="4F81BD" w:themeColor="accent1"/>
              </w:rPr>
              <w:t xml:space="preserve"> as in 19.1-19.5 above, referring to the Elected Officers of that sub-committee</w:t>
            </w:r>
            <w:r w:rsidR="003C4529">
              <w:rPr>
                <w:rFonts w:ascii="Arial" w:hAnsi="Arial" w:cs="Arial"/>
                <w:iCs/>
                <w:color w:val="4F81BD" w:themeColor="accent1"/>
              </w:rPr>
              <w:t xml:space="preserve"> and a Corporate Director or senior officer</w:t>
            </w:r>
            <w:r w:rsidRPr="004144D5">
              <w:rPr>
                <w:rFonts w:ascii="Arial" w:hAnsi="Arial" w:cs="Arial"/>
                <w:iCs/>
                <w:color w:val="4F81BD" w:themeColor="accent1"/>
              </w:rPr>
              <w:t>.</w:t>
            </w:r>
            <w:r w:rsidR="003C4529">
              <w:rPr>
                <w:rFonts w:ascii="Arial" w:hAnsi="Arial" w:cs="Arial"/>
                <w:iCs/>
                <w:color w:val="4F81BD" w:themeColor="accent1"/>
              </w:rPr>
              <w:t xml:space="preserve"> designated by that sub-committee</w:t>
            </w:r>
          </w:p>
        </w:tc>
        <w:tc>
          <w:tcPr>
            <w:tcW w:w="3077" w:type="dxa"/>
          </w:tcPr>
          <w:p w:rsidR="00FE4DF6" w:rsidRPr="00932C06" w:rsidRDefault="00680E51">
            <w:pPr>
              <w:rPr>
                <w:rFonts w:ascii="Arial" w:hAnsi="Arial" w:cs="Arial"/>
              </w:rPr>
            </w:pPr>
            <w:r>
              <w:rPr>
                <w:rFonts w:ascii="Arial" w:hAnsi="Arial" w:cs="Arial"/>
              </w:rPr>
              <w:t>Introduces new urgency arrangements for sub-committees.</w:t>
            </w:r>
          </w:p>
        </w:tc>
      </w:tr>
      <w:tr w:rsidR="00092DE3" w:rsidRPr="00932C06" w:rsidTr="0013606D">
        <w:tc>
          <w:tcPr>
            <w:tcW w:w="568" w:type="dxa"/>
          </w:tcPr>
          <w:p w:rsidR="00092DE3" w:rsidRPr="00932C06" w:rsidRDefault="00BC6703">
            <w:pPr>
              <w:rPr>
                <w:rFonts w:ascii="Arial" w:hAnsi="Arial" w:cs="Arial"/>
                <w:b/>
              </w:rPr>
            </w:pPr>
            <w:r>
              <w:rPr>
                <w:rFonts w:ascii="Arial" w:hAnsi="Arial" w:cs="Arial"/>
                <w:b/>
              </w:rPr>
              <w:t>14</w:t>
            </w:r>
          </w:p>
        </w:tc>
        <w:tc>
          <w:tcPr>
            <w:tcW w:w="992" w:type="dxa"/>
          </w:tcPr>
          <w:p w:rsidR="00092DE3" w:rsidRPr="00932C06" w:rsidRDefault="00092DE3">
            <w:pPr>
              <w:rPr>
                <w:rFonts w:ascii="Arial" w:hAnsi="Arial" w:cs="Arial"/>
              </w:rPr>
            </w:pPr>
            <w:r>
              <w:rPr>
                <w:rFonts w:ascii="Arial" w:hAnsi="Arial" w:cs="Arial"/>
              </w:rPr>
              <w:t>20.6</w:t>
            </w:r>
          </w:p>
        </w:tc>
        <w:tc>
          <w:tcPr>
            <w:tcW w:w="2693" w:type="dxa"/>
          </w:tcPr>
          <w:p w:rsidR="00092DE3" w:rsidRPr="00932C06" w:rsidRDefault="003F2250">
            <w:pPr>
              <w:rPr>
                <w:rFonts w:ascii="Arial" w:hAnsi="Arial" w:cs="Arial"/>
              </w:rPr>
            </w:pPr>
            <w:r>
              <w:rPr>
                <w:rFonts w:ascii="Arial" w:hAnsi="Arial" w:cs="Arial"/>
              </w:rPr>
              <w:t>New SO</w:t>
            </w:r>
          </w:p>
        </w:tc>
        <w:tc>
          <w:tcPr>
            <w:tcW w:w="2593" w:type="dxa"/>
          </w:tcPr>
          <w:p w:rsidR="00092DE3" w:rsidRPr="00932C06" w:rsidRDefault="003F2250" w:rsidP="00932C06">
            <w:pPr>
              <w:rPr>
                <w:rFonts w:ascii="Arial" w:hAnsi="Arial" w:cs="Arial"/>
                <w:iCs/>
              </w:rPr>
            </w:pPr>
            <w:r w:rsidRPr="004144D5">
              <w:rPr>
                <w:rFonts w:ascii="Arial" w:hAnsi="Arial" w:cs="Arial"/>
                <w:iCs/>
                <w:color w:val="4F81BD" w:themeColor="accent1"/>
              </w:rPr>
              <w:t>You must declare any private interests, both pecuniary and non-pecuniary, including your membership of any Trade Union that relate to your public duties and must take steps to resolve any conflicts arising in a way that protects the public interest, including registering and declaring interests</w:t>
            </w:r>
          </w:p>
        </w:tc>
        <w:tc>
          <w:tcPr>
            <w:tcW w:w="3077" w:type="dxa"/>
          </w:tcPr>
          <w:p w:rsidR="00092DE3" w:rsidRDefault="003F2250" w:rsidP="003F2250">
            <w:pPr>
              <w:rPr>
                <w:rFonts w:ascii="Arial" w:hAnsi="Arial" w:cs="Arial"/>
              </w:rPr>
            </w:pPr>
            <w:r>
              <w:rPr>
                <w:rFonts w:ascii="Arial" w:hAnsi="Arial" w:cs="Arial"/>
              </w:rPr>
              <w:t>T</w:t>
            </w:r>
            <w:r w:rsidRPr="003F2250">
              <w:rPr>
                <w:rFonts w:ascii="Arial" w:hAnsi="Arial" w:cs="Arial"/>
              </w:rPr>
              <w:t xml:space="preserve">o give members the opportunity to declare an interest that they feel may be relevant but is not caught by the existing SOs </w:t>
            </w:r>
          </w:p>
        </w:tc>
      </w:tr>
      <w:tr w:rsidR="00BC6703" w:rsidRPr="00932C06" w:rsidTr="0013606D">
        <w:tc>
          <w:tcPr>
            <w:tcW w:w="568" w:type="dxa"/>
          </w:tcPr>
          <w:p w:rsidR="00BC6703" w:rsidRDefault="00BC6703">
            <w:pPr>
              <w:rPr>
                <w:rFonts w:ascii="Arial" w:hAnsi="Arial" w:cs="Arial"/>
                <w:b/>
              </w:rPr>
            </w:pPr>
            <w:r>
              <w:rPr>
                <w:rFonts w:ascii="Arial" w:hAnsi="Arial" w:cs="Arial"/>
                <w:b/>
              </w:rPr>
              <w:t>15</w:t>
            </w:r>
          </w:p>
        </w:tc>
        <w:tc>
          <w:tcPr>
            <w:tcW w:w="992" w:type="dxa"/>
          </w:tcPr>
          <w:p w:rsidR="00BC6703" w:rsidRDefault="003F2250">
            <w:pPr>
              <w:rPr>
                <w:rFonts w:ascii="Arial" w:hAnsi="Arial" w:cs="Arial"/>
              </w:rPr>
            </w:pPr>
            <w:r>
              <w:rPr>
                <w:rFonts w:ascii="Arial" w:hAnsi="Arial" w:cs="Arial"/>
              </w:rPr>
              <w:t>27.2</w:t>
            </w:r>
          </w:p>
        </w:tc>
        <w:tc>
          <w:tcPr>
            <w:tcW w:w="2693" w:type="dxa"/>
          </w:tcPr>
          <w:p w:rsidR="00BC6703" w:rsidRPr="00932C06" w:rsidRDefault="00D9127C">
            <w:pPr>
              <w:rPr>
                <w:rFonts w:ascii="Arial" w:hAnsi="Arial" w:cs="Arial"/>
              </w:rPr>
            </w:pPr>
            <w:r w:rsidRPr="00D9127C">
              <w:rPr>
                <w:rFonts w:ascii="Arial" w:hAnsi="Arial" w:cs="Arial"/>
                <w:lang w:val="en-US"/>
              </w:rPr>
              <w:t xml:space="preserve">Any of these Standing Orders except Standing Orders </w:t>
            </w:r>
            <w:r w:rsidRPr="004144D5">
              <w:rPr>
                <w:rFonts w:ascii="Arial" w:hAnsi="Arial" w:cs="Arial"/>
                <w:color w:val="FF0000"/>
                <w:lang w:val="en-US"/>
              </w:rPr>
              <w:t>13.8</w:t>
            </w:r>
            <w:r w:rsidRPr="00D9127C">
              <w:rPr>
                <w:rFonts w:ascii="Arial" w:hAnsi="Arial" w:cs="Arial"/>
                <w:lang w:val="en-US"/>
              </w:rPr>
              <w:t>, 14.2 and 27.2 may be suspended at any meeting…</w:t>
            </w:r>
          </w:p>
        </w:tc>
        <w:tc>
          <w:tcPr>
            <w:tcW w:w="2593" w:type="dxa"/>
          </w:tcPr>
          <w:p w:rsidR="00BC6703" w:rsidRPr="00932C06" w:rsidRDefault="00D9127C" w:rsidP="00D9127C">
            <w:pPr>
              <w:rPr>
                <w:rFonts w:ascii="Arial" w:hAnsi="Arial" w:cs="Arial"/>
                <w:iCs/>
              </w:rPr>
            </w:pPr>
            <w:r w:rsidRPr="00D9127C">
              <w:rPr>
                <w:rFonts w:ascii="Arial" w:hAnsi="Arial" w:cs="Arial"/>
                <w:iCs/>
                <w:lang w:val="en-US"/>
              </w:rPr>
              <w:t xml:space="preserve">Any of these Standing Orders except Standing Orders </w:t>
            </w:r>
            <w:r w:rsidRPr="004144D5">
              <w:rPr>
                <w:rFonts w:ascii="Arial" w:hAnsi="Arial" w:cs="Arial"/>
                <w:iCs/>
                <w:color w:val="4F81BD" w:themeColor="accent1"/>
                <w:lang w:val="en-US"/>
              </w:rPr>
              <w:t>13.7</w:t>
            </w:r>
            <w:r w:rsidRPr="00D9127C">
              <w:rPr>
                <w:rFonts w:ascii="Arial" w:hAnsi="Arial" w:cs="Arial"/>
                <w:iCs/>
                <w:lang w:val="en-US"/>
              </w:rPr>
              <w:t>, 14.2 and 27.2 may be suspended at any meeting…</w:t>
            </w:r>
          </w:p>
        </w:tc>
        <w:tc>
          <w:tcPr>
            <w:tcW w:w="3077" w:type="dxa"/>
          </w:tcPr>
          <w:p w:rsidR="00BC6703" w:rsidRDefault="007452B5" w:rsidP="007452B5">
            <w:pPr>
              <w:rPr>
                <w:rFonts w:ascii="Arial" w:hAnsi="Arial" w:cs="Arial"/>
              </w:rPr>
            </w:pPr>
            <w:r>
              <w:rPr>
                <w:rFonts w:ascii="Arial" w:hAnsi="Arial" w:cs="Arial"/>
              </w:rPr>
              <w:t>To correct reference</w:t>
            </w:r>
          </w:p>
        </w:tc>
      </w:tr>
    </w:tbl>
    <w:p w:rsidR="003F2250" w:rsidRPr="00932C06" w:rsidRDefault="003F2250" w:rsidP="00D9127C">
      <w:pPr>
        <w:rPr>
          <w:rFonts w:ascii="Arial" w:hAnsi="Arial" w:cs="Arial"/>
        </w:rPr>
      </w:pPr>
    </w:p>
    <w:sectPr w:rsidR="003F2250" w:rsidRPr="00932C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8A" w:rsidRDefault="0017298A" w:rsidP="003F2250">
      <w:pPr>
        <w:spacing w:after="0" w:line="240" w:lineRule="auto"/>
      </w:pPr>
      <w:r>
        <w:separator/>
      </w:r>
    </w:p>
  </w:endnote>
  <w:endnote w:type="continuationSeparator" w:id="0">
    <w:p w:rsidR="0017298A" w:rsidRDefault="0017298A" w:rsidP="003F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C" w:rsidRDefault="008C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C" w:rsidRDefault="008C4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C" w:rsidRDefault="008C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8A" w:rsidRDefault="0017298A" w:rsidP="003F2250">
      <w:pPr>
        <w:spacing w:after="0" w:line="240" w:lineRule="auto"/>
      </w:pPr>
      <w:r>
        <w:separator/>
      </w:r>
    </w:p>
  </w:footnote>
  <w:footnote w:type="continuationSeparator" w:id="0">
    <w:p w:rsidR="0017298A" w:rsidRDefault="0017298A" w:rsidP="003F2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C" w:rsidRDefault="008C4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C" w:rsidRPr="008C492C" w:rsidRDefault="008C492C">
    <w:pPr>
      <w:pStyle w:val="Header"/>
      <w:rPr>
        <w:rFonts w:ascii="Arial" w:hAnsi="Arial" w:cs="Arial"/>
        <w:sz w:val="24"/>
        <w:szCs w:val="24"/>
      </w:rPr>
    </w:pPr>
    <w:r w:rsidRPr="008C492C">
      <w:rPr>
        <w:rFonts w:ascii="Arial" w:hAnsi="Arial" w:cs="Arial"/>
        <w:sz w:val="24"/>
        <w:szCs w:val="24"/>
      </w:rPr>
      <w:t>Item 15B – Appendix 1</w:t>
    </w:r>
  </w:p>
  <w:p w:rsidR="008C492C" w:rsidRDefault="008C4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C" w:rsidRDefault="008C4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238"/>
    <w:multiLevelType w:val="multilevel"/>
    <w:tmpl w:val="99B2B40C"/>
    <w:lvl w:ilvl="0">
      <w:start w:val="3"/>
      <w:numFmt w:val="decimal"/>
      <w:lvlText w:val="%1"/>
      <w:lvlJc w:val="left"/>
      <w:pPr>
        <w:ind w:left="113" w:hanging="428"/>
        <w:jc w:val="left"/>
      </w:pPr>
      <w:rPr>
        <w:rFonts w:ascii="Arial" w:eastAsia="Arial" w:hAnsi="Arial" w:hint="default"/>
        <w:b/>
        <w:bCs/>
        <w:w w:val="100"/>
        <w:sz w:val="22"/>
        <w:szCs w:val="22"/>
      </w:rPr>
    </w:lvl>
    <w:lvl w:ilvl="1">
      <w:start w:val="1"/>
      <w:numFmt w:val="decimal"/>
      <w:lvlText w:val="%1.%2"/>
      <w:lvlJc w:val="left"/>
      <w:pPr>
        <w:ind w:left="831" w:hanging="708"/>
        <w:jc w:val="left"/>
      </w:pPr>
      <w:rPr>
        <w:rFonts w:ascii="Arial" w:eastAsia="Arial" w:hAnsi="Arial" w:hint="default"/>
        <w:spacing w:val="-1"/>
        <w:w w:val="100"/>
        <w:sz w:val="22"/>
        <w:szCs w:val="22"/>
      </w:rPr>
    </w:lvl>
    <w:lvl w:ilvl="2">
      <w:start w:val="1"/>
      <w:numFmt w:val="lowerRoman"/>
      <w:lvlText w:val="(%3)"/>
      <w:lvlJc w:val="left"/>
      <w:pPr>
        <w:ind w:left="1553" w:hanging="708"/>
        <w:jc w:val="left"/>
      </w:pPr>
      <w:rPr>
        <w:rFonts w:ascii="Arial" w:eastAsia="Arial" w:hAnsi="Arial" w:hint="default"/>
        <w:w w:val="100"/>
        <w:sz w:val="22"/>
        <w:szCs w:val="22"/>
      </w:rPr>
    </w:lvl>
    <w:lvl w:ilvl="3">
      <w:start w:val="1"/>
      <w:numFmt w:val="bullet"/>
      <w:lvlText w:val="•"/>
      <w:lvlJc w:val="left"/>
      <w:pPr>
        <w:ind w:left="1560" w:hanging="708"/>
      </w:pPr>
      <w:rPr>
        <w:rFonts w:hint="default"/>
      </w:rPr>
    </w:lvl>
    <w:lvl w:ilvl="4">
      <w:start w:val="1"/>
      <w:numFmt w:val="bullet"/>
      <w:lvlText w:val="•"/>
      <w:lvlJc w:val="left"/>
      <w:pPr>
        <w:ind w:left="1660" w:hanging="708"/>
      </w:pPr>
      <w:rPr>
        <w:rFonts w:hint="default"/>
      </w:rPr>
    </w:lvl>
    <w:lvl w:ilvl="5">
      <w:start w:val="1"/>
      <w:numFmt w:val="bullet"/>
      <w:lvlText w:val="•"/>
      <w:lvlJc w:val="left"/>
      <w:pPr>
        <w:ind w:left="1680" w:hanging="708"/>
      </w:pPr>
      <w:rPr>
        <w:rFonts w:hint="default"/>
      </w:rPr>
    </w:lvl>
    <w:lvl w:ilvl="6">
      <w:start w:val="1"/>
      <w:numFmt w:val="bullet"/>
      <w:lvlText w:val="•"/>
      <w:lvlJc w:val="left"/>
      <w:pPr>
        <w:ind w:left="3308" w:hanging="708"/>
      </w:pPr>
      <w:rPr>
        <w:rFonts w:hint="default"/>
      </w:rPr>
    </w:lvl>
    <w:lvl w:ilvl="7">
      <w:start w:val="1"/>
      <w:numFmt w:val="bullet"/>
      <w:lvlText w:val="•"/>
      <w:lvlJc w:val="left"/>
      <w:pPr>
        <w:ind w:left="4936" w:hanging="708"/>
      </w:pPr>
      <w:rPr>
        <w:rFonts w:hint="default"/>
      </w:rPr>
    </w:lvl>
    <w:lvl w:ilvl="8">
      <w:start w:val="1"/>
      <w:numFmt w:val="bullet"/>
      <w:lvlText w:val="•"/>
      <w:lvlJc w:val="left"/>
      <w:pPr>
        <w:ind w:left="6564" w:hanging="708"/>
      </w:pPr>
      <w:rPr>
        <w:rFonts w:hint="default"/>
      </w:rPr>
    </w:lvl>
  </w:abstractNum>
  <w:abstractNum w:abstractNumId="1">
    <w:nsid w:val="6D3C619A"/>
    <w:multiLevelType w:val="multilevel"/>
    <w:tmpl w:val="87A426FA"/>
    <w:lvl w:ilvl="0">
      <w:start w:val="14"/>
      <w:numFmt w:val="decimal"/>
      <w:lvlText w:val="%1"/>
      <w:lvlJc w:val="left"/>
      <w:pPr>
        <w:ind w:left="112" w:hanging="430"/>
        <w:jc w:val="right"/>
      </w:pPr>
      <w:rPr>
        <w:rFonts w:ascii="Arial" w:eastAsia="Arial" w:hAnsi="Arial" w:hint="default"/>
        <w:b/>
        <w:bCs/>
        <w:spacing w:val="-1"/>
        <w:w w:val="100"/>
        <w:sz w:val="22"/>
        <w:szCs w:val="22"/>
      </w:rPr>
    </w:lvl>
    <w:lvl w:ilvl="1">
      <w:start w:val="1"/>
      <w:numFmt w:val="decimal"/>
      <w:lvlText w:val="%1.%2"/>
      <w:lvlJc w:val="left"/>
      <w:pPr>
        <w:ind w:left="828" w:hanging="708"/>
        <w:jc w:val="left"/>
      </w:pPr>
      <w:rPr>
        <w:rFonts w:ascii="Arial" w:eastAsia="Arial" w:hAnsi="Arial" w:hint="default"/>
        <w:spacing w:val="-1"/>
        <w:w w:val="100"/>
        <w:sz w:val="22"/>
        <w:szCs w:val="22"/>
      </w:rPr>
    </w:lvl>
    <w:lvl w:ilvl="2">
      <w:start w:val="1"/>
      <w:numFmt w:val="lowerRoman"/>
      <w:lvlText w:val="(%3)"/>
      <w:lvlJc w:val="left"/>
      <w:pPr>
        <w:ind w:left="1679" w:hanging="716"/>
        <w:jc w:val="left"/>
      </w:pPr>
      <w:rPr>
        <w:rFonts w:ascii="Arial" w:eastAsia="Arial" w:hAnsi="Arial" w:hint="default"/>
        <w:w w:val="100"/>
        <w:sz w:val="22"/>
        <w:szCs w:val="22"/>
      </w:rPr>
    </w:lvl>
    <w:lvl w:ilvl="3">
      <w:start w:val="1"/>
      <w:numFmt w:val="bullet"/>
      <w:lvlText w:val="•"/>
      <w:lvlJc w:val="left"/>
      <w:pPr>
        <w:ind w:left="900" w:hanging="716"/>
      </w:pPr>
      <w:rPr>
        <w:rFonts w:hint="default"/>
      </w:rPr>
    </w:lvl>
    <w:lvl w:ilvl="4">
      <w:start w:val="1"/>
      <w:numFmt w:val="bullet"/>
      <w:lvlText w:val="•"/>
      <w:lvlJc w:val="left"/>
      <w:pPr>
        <w:ind w:left="920" w:hanging="716"/>
      </w:pPr>
      <w:rPr>
        <w:rFonts w:hint="default"/>
      </w:rPr>
    </w:lvl>
    <w:lvl w:ilvl="5">
      <w:start w:val="1"/>
      <w:numFmt w:val="bullet"/>
      <w:lvlText w:val="•"/>
      <w:lvlJc w:val="left"/>
      <w:pPr>
        <w:ind w:left="1680" w:hanging="716"/>
      </w:pPr>
      <w:rPr>
        <w:rFonts w:hint="default"/>
      </w:rPr>
    </w:lvl>
    <w:lvl w:ilvl="6">
      <w:start w:val="1"/>
      <w:numFmt w:val="bullet"/>
      <w:lvlText w:val="•"/>
      <w:lvlJc w:val="left"/>
      <w:pPr>
        <w:ind w:left="3324" w:hanging="716"/>
      </w:pPr>
      <w:rPr>
        <w:rFonts w:hint="default"/>
      </w:rPr>
    </w:lvl>
    <w:lvl w:ilvl="7">
      <w:start w:val="1"/>
      <w:numFmt w:val="bullet"/>
      <w:lvlText w:val="•"/>
      <w:lvlJc w:val="left"/>
      <w:pPr>
        <w:ind w:left="4968" w:hanging="716"/>
      </w:pPr>
      <w:rPr>
        <w:rFonts w:hint="default"/>
      </w:rPr>
    </w:lvl>
    <w:lvl w:ilvl="8">
      <w:start w:val="1"/>
      <w:numFmt w:val="bullet"/>
      <w:lvlText w:val="•"/>
      <w:lvlJc w:val="left"/>
      <w:pPr>
        <w:ind w:left="6612" w:hanging="716"/>
      </w:pPr>
      <w:rPr>
        <w:rFonts w:hint="default"/>
      </w:rPr>
    </w:lvl>
  </w:abstractNum>
  <w:abstractNum w:abstractNumId="2">
    <w:nsid w:val="7F0A023F"/>
    <w:multiLevelType w:val="multilevel"/>
    <w:tmpl w:val="99B2B40C"/>
    <w:lvl w:ilvl="0">
      <w:start w:val="3"/>
      <w:numFmt w:val="decimal"/>
      <w:lvlText w:val="%1"/>
      <w:lvlJc w:val="left"/>
      <w:pPr>
        <w:ind w:left="113" w:hanging="428"/>
        <w:jc w:val="left"/>
      </w:pPr>
      <w:rPr>
        <w:rFonts w:ascii="Arial" w:eastAsia="Arial" w:hAnsi="Arial" w:hint="default"/>
        <w:b/>
        <w:bCs/>
        <w:w w:val="100"/>
        <w:sz w:val="22"/>
        <w:szCs w:val="22"/>
      </w:rPr>
    </w:lvl>
    <w:lvl w:ilvl="1">
      <w:start w:val="1"/>
      <w:numFmt w:val="decimal"/>
      <w:lvlText w:val="%1.%2"/>
      <w:lvlJc w:val="left"/>
      <w:pPr>
        <w:ind w:left="831" w:hanging="708"/>
        <w:jc w:val="left"/>
      </w:pPr>
      <w:rPr>
        <w:rFonts w:ascii="Arial" w:eastAsia="Arial" w:hAnsi="Arial" w:hint="default"/>
        <w:spacing w:val="-1"/>
        <w:w w:val="100"/>
        <w:sz w:val="22"/>
        <w:szCs w:val="22"/>
      </w:rPr>
    </w:lvl>
    <w:lvl w:ilvl="2">
      <w:start w:val="1"/>
      <w:numFmt w:val="lowerRoman"/>
      <w:lvlText w:val="(%3)"/>
      <w:lvlJc w:val="left"/>
      <w:pPr>
        <w:ind w:left="1553" w:hanging="708"/>
        <w:jc w:val="left"/>
      </w:pPr>
      <w:rPr>
        <w:rFonts w:ascii="Arial" w:eastAsia="Arial" w:hAnsi="Arial" w:hint="default"/>
        <w:w w:val="100"/>
        <w:sz w:val="22"/>
        <w:szCs w:val="22"/>
      </w:rPr>
    </w:lvl>
    <w:lvl w:ilvl="3">
      <w:start w:val="1"/>
      <w:numFmt w:val="bullet"/>
      <w:lvlText w:val="•"/>
      <w:lvlJc w:val="left"/>
      <w:pPr>
        <w:ind w:left="1560" w:hanging="708"/>
      </w:pPr>
      <w:rPr>
        <w:rFonts w:hint="default"/>
      </w:rPr>
    </w:lvl>
    <w:lvl w:ilvl="4">
      <w:start w:val="1"/>
      <w:numFmt w:val="bullet"/>
      <w:lvlText w:val="•"/>
      <w:lvlJc w:val="left"/>
      <w:pPr>
        <w:ind w:left="1660" w:hanging="708"/>
      </w:pPr>
      <w:rPr>
        <w:rFonts w:hint="default"/>
      </w:rPr>
    </w:lvl>
    <w:lvl w:ilvl="5">
      <w:start w:val="1"/>
      <w:numFmt w:val="bullet"/>
      <w:lvlText w:val="•"/>
      <w:lvlJc w:val="left"/>
      <w:pPr>
        <w:ind w:left="1680" w:hanging="708"/>
      </w:pPr>
      <w:rPr>
        <w:rFonts w:hint="default"/>
      </w:rPr>
    </w:lvl>
    <w:lvl w:ilvl="6">
      <w:start w:val="1"/>
      <w:numFmt w:val="bullet"/>
      <w:lvlText w:val="•"/>
      <w:lvlJc w:val="left"/>
      <w:pPr>
        <w:ind w:left="3308" w:hanging="708"/>
      </w:pPr>
      <w:rPr>
        <w:rFonts w:hint="default"/>
      </w:rPr>
    </w:lvl>
    <w:lvl w:ilvl="7">
      <w:start w:val="1"/>
      <w:numFmt w:val="bullet"/>
      <w:lvlText w:val="•"/>
      <w:lvlJc w:val="left"/>
      <w:pPr>
        <w:ind w:left="4936" w:hanging="708"/>
      </w:pPr>
      <w:rPr>
        <w:rFonts w:hint="default"/>
      </w:rPr>
    </w:lvl>
    <w:lvl w:ilvl="8">
      <w:start w:val="1"/>
      <w:numFmt w:val="bullet"/>
      <w:lvlText w:val="•"/>
      <w:lvlJc w:val="left"/>
      <w:pPr>
        <w:ind w:left="6564" w:hanging="70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F6"/>
    <w:rsid w:val="00056E2B"/>
    <w:rsid w:val="00092DE3"/>
    <w:rsid w:val="0013039C"/>
    <w:rsid w:val="00135253"/>
    <w:rsid w:val="0013606D"/>
    <w:rsid w:val="001621C0"/>
    <w:rsid w:val="0017298A"/>
    <w:rsid w:val="002721B5"/>
    <w:rsid w:val="002929CA"/>
    <w:rsid w:val="002A1517"/>
    <w:rsid w:val="002A5058"/>
    <w:rsid w:val="002E3CCE"/>
    <w:rsid w:val="00307671"/>
    <w:rsid w:val="003279B6"/>
    <w:rsid w:val="00335A92"/>
    <w:rsid w:val="003C4529"/>
    <w:rsid w:val="003F2250"/>
    <w:rsid w:val="003F3677"/>
    <w:rsid w:val="004111F0"/>
    <w:rsid w:val="004144D5"/>
    <w:rsid w:val="00680E51"/>
    <w:rsid w:val="00683335"/>
    <w:rsid w:val="00741065"/>
    <w:rsid w:val="007452B5"/>
    <w:rsid w:val="00787F92"/>
    <w:rsid w:val="00791B8C"/>
    <w:rsid w:val="007B3369"/>
    <w:rsid w:val="00820EC6"/>
    <w:rsid w:val="00846493"/>
    <w:rsid w:val="00871163"/>
    <w:rsid w:val="00877783"/>
    <w:rsid w:val="0089077E"/>
    <w:rsid w:val="008C492C"/>
    <w:rsid w:val="00932C06"/>
    <w:rsid w:val="00997D95"/>
    <w:rsid w:val="00A25055"/>
    <w:rsid w:val="00A35495"/>
    <w:rsid w:val="00AB1F70"/>
    <w:rsid w:val="00AB5B64"/>
    <w:rsid w:val="00AF6CEF"/>
    <w:rsid w:val="00B12991"/>
    <w:rsid w:val="00B14D75"/>
    <w:rsid w:val="00B84CE8"/>
    <w:rsid w:val="00B87119"/>
    <w:rsid w:val="00BC6703"/>
    <w:rsid w:val="00C53AC0"/>
    <w:rsid w:val="00C62BEE"/>
    <w:rsid w:val="00CA6787"/>
    <w:rsid w:val="00D048AB"/>
    <w:rsid w:val="00D42468"/>
    <w:rsid w:val="00D9127C"/>
    <w:rsid w:val="00DF1069"/>
    <w:rsid w:val="00E025B5"/>
    <w:rsid w:val="00F83F4E"/>
    <w:rsid w:val="00FE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D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29CA"/>
    <w:rPr>
      <w:sz w:val="16"/>
      <w:szCs w:val="16"/>
    </w:rPr>
  </w:style>
  <w:style w:type="paragraph" w:styleId="CommentText">
    <w:name w:val="annotation text"/>
    <w:basedOn w:val="Normal"/>
    <w:link w:val="CommentTextChar"/>
    <w:uiPriority w:val="99"/>
    <w:semiHidden/>
    <w:unhideWhenUsed/>
    <w:rsid w:val="002929CA"/>
    <w:pPr>
      <w:spacing w:line="240" w:lineRule="auto"/>
    </w:pPr>
    <w:rPr>
      <w:sz w:val="20"/>
      <w:szCs w:val="20"/>
    </w:rPr>
  </w:style>
  <w:style w:type="character" w:customStyle="1" w:styleId="CommentTextChar">
    <w:name w:val="Comment Text Char"/>
    <w:basedOn w:val="DefaultParagraphFont"/>
    <w:link w:val="CommentText"/>
    <w:uiPriority w:val="99"/>
    <w:semiHidden/>
    <w:rsid w:val="002929CA"/>
    <w:rPr>
      <w:sz w:val="20"/>
      <w:szCs w:val="20"/>
    </w:rPr>
  </w:style>
  <w:style w:type="paragraph" w:styleId="CommentSubject">
    <w:name w:val="annotation subject"/>
    <w:basedOn w:val="CommentText"/>
    <w:next w:val="CommentText"/>
    <w:link w:val="CommentSubjectChar"/>
    <w:uiPriority w:val="99"/>
    <w:semiHidden/>
    <w:unhideWhenUsed/>
    <w:rsid w:val="002929CA"/>
    <w:rPr>
      <w:b/>
      <w:bCs/>
    </w:rPr>
  </w:style>
  <w:style w:type="character" w:customStyle="1" w:styleId="CommentSubjectChar">
    <w:name w:val="Comment Subject Char"/>
    <w:basedOn w:val="CommentTextChar"/>
    <w:link w:val="CommentSubject"/>
    <w:uiPriority w:val="99"/>
    <w:semiHidden/>
    <w:rsid w:val="002929CA"/>
    <w:rPr>
      <w:b/>
      <w:bCs/>
      <w:sz w:val="20"/>
      <w:szCs w:val="20"/>
    </w:rPr>
  </w:style>
  <w:style w:type="paragraph" w:styleId="Revision">
    <w:name w:val="Revision"/>
    <w:hidden/>
    <w:uiPriority w:val="99"/>
    <w:semiHidden/>
    <w:rsid w:val="002929CA"/>
    <w:pPr>
      <w:spacing w:after="0" w:line="240" w:lineRule="auto"/>
    </w:pPr>
  </w:style>
  <w:style w:type="paragraph" w:styleId="BalloonText">
    <w:name w:val="Balloon Text"/>
    <w:basedOn w:val="Normal"/>
    <w:link w:val="BalloonTextChar"/>
    <w:uiPriority w:val="99"/>
    <w:semiHidden/>
    <w:unhideWhenUsed/>
    <w:rsid w:val="0029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CA"/>
    <w:rPr>
      <w:rFonts w:ascii="Tahoma" w:hAnsi="Tahoma" w:cs="Tahoma"/>
      <w:sz w:val="16"/>
      <w:szCs w:val="16"/>
    </w:rPr>
  </w:style>
  <w:style w:type="paragraph" w:styleId="ListParagraph">
    <w:name w:val="List Paragraph"/>
    <w:basedOn w:val="Normal"/>
    <w:uiPriority w:val="1"/>
    <w:qFormat/>
    <w:rsid w:val="00307671"/>
    <w:pPr>
      <w:widowControl w:val="0"/>
      <w:spacing w:after="0" w:line="240" w:lineRule="auto"/>
    </w:pPr>
    <w:rPr>
      <w:lang w:val="en-US"/>
    </w:rPr>
  </w:style>
  <w:style w:type="paragraph" w:styleId="Header">
    <w:name w:val="header"/>
    <w:basedOn w:val="Normal"/>
    <w:link w:val="HeaderChar"/>
    <w:uiPriority w:val="99"/>
    <w:unhideWhenUsed/>
    <w:rsid w:val="008C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2C"/>
  </w:style>
  <w:style w:type="paragraph" w:styleId="Footer">
    <w:name w:val="footer"/>
    <w:basedOn w:val="Normal"/>
    <w:link w:val="FooterChar"/>
    <w:uiPriority w:val="99"/>
    <w:unhideWhenUsed/>
    <w:rsid w:val="008C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D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29CA"/>
    <w:rPr>
      <w:sz w:val="16"/>
      <w:szCs w:val="16"/>
    </w:rPr>
  </w:style>
  <w:style w:type="paragraph" w:styleId="CommentText">
    <w:name w:val="annotation text"/>
    <w:basedOn w:val="Normal"/>
    <w:link w:val="CommentTextChar"/>
    <w:uiPriority w:val="99"/>
    <w:semiHidden/>
    <w:unhideWhenUsed/>
    <w:rsid w:val="002929CA"/>
    <w:pPr>
      <w:spacing w:line="240" w:lineRule="auto"/>
    </w:pPr>
    <w:rPr>
      <w:sz w:val="20"/>
      <w:szCs w:val="20"/>
    </w:rPr>
  </w:style>
  <w:style w:type="character" w:customStyle="1" w:styleId="CommentTextChar">
    <w:name w:val="Comment Text Char"/>
    <w:basedOn w:val="DefaultParagraphFont"/>
    <w:link w:val="CommentText"/>
    <w:uiPriority w:val="99"/>
    <w:semiHidden/>
    <w:rsid w:val="002929CA"/>
    <w:rPr>
      <w:sz w:val="20"/>
      <w:szCs w:val="20"/>
    </w:rPr>
  </w:style>
  <w:style w:type="paragraph" w:styleId="CommentSubject">
    <w:name w:val="annotation subject"/>
    <w:basedOn w:val="CommentText"/>
    <w:next w:val="CommentText"/>
    <w:link w:val="CommentSubjectChar"/>
    <w:uiPriority w:val="99"/>
    <w:semiHidden/>
    <w:unhideWhenUsed/>
    <w:rsid w:val="002929CA"/>
    <w:rPr>
      <w:b/>
      <w:bCs/>
    </w:rPr>
  </w:style>
  <w:style w:type="character" w:customStyle="1" w:styleId="CommentSubjectChar">
    <w:name w:val="Comment Subject Char"/>
    <w:basedOn w:val="CommentTextChar"/>
    <w:link w:val="CommentSubject"/>
    <w:uiPriority w:val="99"/>
    <w:semiHidden/>
    <w:rsid w:val="002929CA"/>
    <w:rPr>
      <w:b/>
      <w:bCs/>
      <w:sz w:val="20"/>
      <w:szCs w:val="20"/>
    </w:rPr>
  </w:style>
  <w:style w:type="paragraph" w:styleId="Revision">
    <w:name w:val="Revision"/>
    <w:hidden/>
    <w:uiPriority w:val="99"/>
    <w:semiHidden/>
    <w:rsid w:val="002929CA"/>
    <w:pPr>
      <w:spacing w:after="0" w:line="240" w:lineRule="auto"/>
    </w:pPr>
  </w:style>
  <w:style w:type="paragraph" w:styleId="BalloonText">
    <w:name w:val="Balloon Text"/>
    <w:basedOn w:val="Normal"/>
    <w:link w:val="BalloonTextChar"/>
    <w:uiPriority w:val="99"/>
    <w:semiHidden/>
    <w:unhideWhenUsed/>
    <w:rsid w:val="0029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CA"/>
    <w:rPr>
      <w:rFonts w:ascii="Tahoma" w:hAnsi="Tahoma" w:cs="Tahoma"/>
      <w:sz w:val="16"/>
      <w:szCs w:val="16"/>
    </w:rPr>
  </w:style>
  <w:style w:type="paragraph" w:styleId="ListParagraph">
    <w:name w:val="List Paragraph"/>
    <w:basedOn w:val="Normal"/>
    <w:uiPriority w:val="1"/>
    <w:qFormat/>
    <w:rsid w:val="00307671"/>
    <w:pPr>
      <w:widowControl w:val="0"/>
      <w:spacing w:after="0" w:line="240" w:lineRule="auto"/>
    </w:pPr>
    <w:rPr>
      <w:lang w:val="en-US"/>
    </w:rPr>
  </w:style>
  <w:style w:type="paragraph" w:styleId="Header">
    <w:name w:val="header"/>
    <w:basedOn w:val="Normal"/>
    <w:link w:val="HeaderChar"/>
    <w:uiPriority w:val="99"/>
    <w:unhideWhenUsed/>
    <w:rsid w:val="008C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2C"/>
  </w:style>
  <w:style w:type="paragraph" w:styleId="Footer">
    <w:name w:val="footer"/>
    <w:basedOn w:val="Normal"/>
    <w:link w:val="FooterChar"/>
    <w:uiPriority w:val="99"/>
    <w:unhideWhenUsed/>
    <w:rsid w:val="008C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2767">
      <w:bodyDiv w:val="1"/>
      <w:marLeft w:val="0"/>
      <w:marRight w:val="0"/>
      <w:marTop w:val="0"/>
      <w:marBottom w:val="0"/>
      <w:divBdr>
        <w:top w:val="none" w:sz="0" w:space="0" w:color="auto"/>
        <w:left w:val="none" w:sz="0" w:space="0" w:color="auto"/>
        <w:bottom w:val="none" w:sz="0" w:space="0" w:color="auto"/>
        <w:right w:val="none" w:sz="0" w:space="0" w:color="auto"/>
      </w:divBdr>
    </w:div>
    <w:div w:id="1146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51B4-1519-4B6D-8998-0CBB13DD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DA7BACE7</Template>
  <TotalTime>5</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Gadd</dc:creator>
  <cp:lastModifiedBy>David Dent</cp:lastModifiedBy>
  <cp:revision>4</cp:revision>
  <cp:lastPrinted>2016-05-16T09:22:00Z</cp:lastPrinted>
  <dcterms:created xsi:type="dcterms:W3CDTF">2016-05-26T10:33:00Z</dcterms:created>
  <dcterms:modified xsi:type="dcterms:W3CDTF">2016-05-26T13:49:00Z</dcterms:modified>
</cp:coreProperties>
</file>