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19" w:rsidRDefault="00C4425F" w:rsidP="00061E19">
      <w:pPr>
        <w:pStyle w:val="BodyA"/>
        <w:ind w:left="174"/>
        <w:jc w:val="right"/>
        <w:rPr>
          <w:i/>
        </w:rPr>
      </w:pPr>
      <w:bookmarkStart w:id="0" w:name="_GoBack"/>
      <w:bookmarkEnd w:id="0"/>
      <w:r>
        <w:rPr>
          <w:i/>
        </w:rPr>
        <w:t>Appendix S</w:t>
      </w:r>
      <w:r w:rsidR="00061E19">
        <w:rPr>
          <w:i/>
        </w:rPr>
        <w:t>even</w:t>
      </w:r>
    </w:p>
    <w:p w:rsidR="00061E19" w:rsidRDefault="00C4425F" w:rsidP="00061E19">
      <w:pPr>
        <w:pStyle w:val="BodyA"/>
        <w:ind w:left="174"/>
        <w:jc w:val="right"/>
        <w:rPr>
          <w:i/>
        </w:rPr>
      </w:pPr>
      <w:r>
        <w:rPr>
          <w:i/>
        </w:rPr>
        <w:t>Grants Committee R</w:t>
      </w:r>
      <w:r w:rsidR="00061E19">
        <w:rPr>
          <w:i/>
        </w:rPr>
        <w:t>esolution</w:t>
      </w:r>
      <w:r w:rsidR="007A33A1">
        <w:rPr>
          <w:i/>
        </w:rPr>
        <w:t>,</w:t>
      </w:r>
      <w:r w:rsidR="00061E19">
        <w:rPr>
          <w:i/>
        </w:rPr>
        <w:t xml:space="preserve"> </w:t>
      </w:r>
      <w:r w:rsidR="007A33A1">
        <w:rPr>
          <w:i/>
        </w:rPr>
        <w:t xml:space="preserve">18 </w:t>
      </w:r>
      <w:r w:rsidR="00061E19">
        <w:rPr>
          <w:i/>
        </w:rPr>
        <w:t>November 2015</w:t>
      </w:r>
    </w:p>
    <w:p w:rsidR="00710C57" w:rsidRDefault="00710C57" w:rsidP="00061E19">
      <w:pPr>
        <w:pStyle w:val="BodyA"/>
        <w:ind w:left="174"/>
        <w:jc w:val="right"/>
        <w:rPr>
          <w:i/>
        </w:rPr>
      </w:pPr>
    </w:p>
    <w:p w:rsidR="00061E19" w:rsidRDefault="00061E19" w:rsidP="00061E19">
      <w:pPr>
        <w:pStyle w:val="BodyA"/>
        <w:ind w:left="174"/>
        <w:rPr>
          <w:i/>
        </w:rPr>
      </w:pPr>
    </w:p>
    <w:p w:rsidR="00061E19" w:rsidRPr="004110AC" w:rsidRDefault="00061E19" w:rsidP="00061E19">
      <w:pPr>
        <w:pStyle w:val="BodyA"/>
        <w:ind w:left="174"/>
        <w:rPr>
          <w:i/>
        </w:rPr>
      </w:pPr>
      <w:r w:rsidRPr="004110AC">
        <w:rPr>
          <w:i/>
        </w:rPr>
        <w:t>The Grants Committee would ask the Leaders Committee to note that:</w:t>
      </w:r>
    </w:p>
    <w:p w:rsidR="00061E19" w:rsidRPr="004110AC" w:rsidRDefault="00061E19" w:rsidP="00061E19">
      <w:pPr>
        <w:pStyle w:val="BodyA"/>
        <w:ind w:left="174"/>
        <w:rPr>
          <w:i/>
        </w:rPr>
      </w:pPr>
    </w:p>
    <w:p w:rsidR="00061E19" w:rsidRPr="004110AC" w:rsidRDefault="00061E19" w:rsidP="00061E19">
      <w:pPr>
        <w:pStyle w:val="BodyA"/>
        <w:ind w:left="174"/>
        <w:rPr>
          <w:i/>
        </w:rPr>
      </w:pPr>
      <w:r w:rsidRPr="004110AC">
        <w:rPr>
          <w:i/>
        </w:rPr>
        <w:t xml:space="preserve">There is majority support for a pan-London </w:t>
      </w:r>
      <w:proofErr w:type="spellStart"/>
      <w:r w:rsidRPr="004110AC">
        <w:rPr>
          <w:i/>
        </w:rPr>
        <w:t>programme</w:t>
      </w:r>
      <w:proofErr w:type="spellEnd"/>
      <w:r w:rsidRPr="004110AC">
        <w:rPr>
          <w:i/>
        </w:rPr>
        <w:t xml:space="preserve"> based on agreed principles and that the evidence mostly shows that the current four year </w:t>
      </w:r>
      <w:proofErr w:type="spellStart"/>
      <w:r w:rsidRPr="004110AC">
        <w:rPr>
          <w:i/>
        </w:rPr>
        <w:t>programme</w:t>
      </w:r>
      <w:proofErr w:type="spellEnd"/>
      <w:r w:rsidRPr="004110AC">
        <w:rPr>
          <w:i/>
        </w:rPr>
        <w:t xml:space="preserve"> (2013 to 2017) is delivering for all Londoners, within the limits of the £10m p.a. </w:t>
      </w:r>
      <w:proofErr w:type="spellStart"/>
      <w:r w:rsidRPr="004110AC">
        <w:rPr>
          <w:i/>
        </w:rPr>
        <w:t>programme</w:t>
      </w:r>
      <w:proofErr w:type="spellEnd"/>
      <w:r w:rsidRPr="004110AC">
        <w:rPr>
          <w:i/>
        </w:rPr>
        <w:t xml:space="preserve">. It is important to note that for specialist services, including services for those for groups within equalities protected characteristics, that these can best be </w:t>
      </w:r>
      <w:proofErr w:type="spellStart"/>
      <w:r w:rsidRPr="004110AC">
        <w:rPr>
          <w:i/>
        </w:rPr>
        <w:t>organised</w:t>
      </w:r>
      <w:proofErr w:type="spellEnd"/>
      <w:r w:rsidRPr="004110AC">
        <w:rPr>
          <w:i/>
        </w:rPr>
        <w:t xml:space="preserve"> at</w:t>
      </w:r>
      <w:r>
        <w:rPr>
          <w:i/>
        </w:rPr>
        <w:t xml:space="preserve"> a</w:t>
      </w:r>
      <w:r w:rsidRPr="004110AC">
        <w:rPr>
          <w:i/>
        </w:rPr>
        <w:t xml:space="preserve"> London level. For the two years 2013-2015, headline evidence of outcomes shows that 198,000 new interventions helped Londoners against our priorities. </w:t>
      </w:r>
    </w:p>
    <w:p w:rsidR="00061E19" w:rsidRPr="004110AC" w:rsidRDefault="00061E19" w:rsidP="00061E19">
      <w:pPr>
        <w:pStyle w:val="BodyA"/>
        <w:ind w:left="174"/>
        <w:rPr>
          <w:i/>
        </w:rPr>
      </w:pPr>
    </w:p>
    <w:p w:rsidR="00061E19" w:rsidRPr="004110AC" w:rsidRDefault="00061E19" w:rsidP="00061E19">
      <w:pPr>
        <w:pStyle w:val="BodyA"/>
        <w:ind w:left="174"/>
        <w:rPr>
          <w:i/>
        </w:rPr>
      </w:pPr>
      <w:r w:rsidRPr="004110AC">
        <w:rPr>
          <w:i/>
        </w:rPr>
        <w:t xml:space="preserve">Having considered the performance of the 2013/17 grants </w:t>
      </w:r>
      <w:proofErr w:type="spellStart"/>
      <w:r w:rsidRPr="004110AC">
        <w:rPr>
          <w:i/>
        </w:rPr>
        <w:t>programme</w:t>
      </w:r>
      <w:proofErr w:type="spellEnd"/>
      <w:r w:rsidRPr="004110AC">
        <w:rPr>
          <w:i/>
        </w:rPr>
        <w:t xml:space="preserve"> to date and the results of the recent consultation, Grants Committee recommends to Leaders Committee:</w:t>
      </w:r>
    </w:p>
    <w:p w:rsidR="00061E19" w:rsidRPr="004110AC" w:rsidRDefault="00061E19" w:rsidP="00061E19">
      <w:pPr>
        <w:pStyle w:val="BodyA"/>
        <w:rPr>
          <w:i/>
        </w:rPr>
      </w:pPr>
    </w:p>
    <w:p w:rsidR="00061E19" w:rsidRPr="004110AC" w:rsidRDefault="00061E19" w:rsidP="00061E19">
      <w:pPr>
        <w:pStyle w:val="BodyA"/>
        <w:numPr>
          <w:ilvl w:val="0"/>
          <w:numId w:val="1"/>
        </w:numPr>
        <w:rPr>
          <w:i/>
        </w:rPr>
      </w:pPr>
      <w:r w:rsidRPr="004110AC">
        <w:rPr>
          <w:i/>
        </w:rPr>
        <w:t xml:space="preserve">There is a strong case for continuing a grants </w:t>
      </w:r>
      <w:proofErr w:type="spellStart"/>
      <w:r w:rsidRPr="004110AC">
        <w:rPr>
          <w:i/>
        </w:rPr>
        <w:t>programme</w:t>
      </w:r>
      <w:proofErr w:type="spellEnd"/>
      <w:r w:rsidRPr="004110AC">
        <w:rPr>
          <w:i/>
        </w:rPr>
        <w:t xml:space="preserve"> focused o</w:t>
      </w:r>
      <w:r>
        <w:rPr>
          <w:i/>
        </w:rPr>
        <w:t>n</w:t>
      </w:r>
      <w:r w:rsidRPr="004110AC">
        <w:rPr>
          <w:i/>
        </w:rPr>
        <w:t xml:space="preserve"> combatting sexual and domestic violence and on poverty through </w:t>
      </w:r>
      <w:proofErr w:type="spellStart"/>
      <w:r w:rsidRPr="004110AC">
        <w:rPr>
          <w:i/>
        </w:rPr>
        <w:t>worklessness</w:t>
      </w:r>
      <w:proofErr w:type="spellEnd"/>
      <w:r w:rsidRPr="004110AC">
        <w:rPr>
          <w:i/>
        </w:rPr>
        <w:t xml:space="preserve"> (accessing ESF match funding) for the 2017/21 period;</w:t>
      </w:r>
    </w:p>
    <w:p w:rsidR="00061E19" w:rsidRPr="004110AC" w:rsidRDefault="00061E19" w:rsidP="00061E19">
      <w:pPr>
        <w:pStyle w:val="BodyA"/>
        <w:numPr>
          <w:ilvl w:val="0"/>
          <w:numId w:val="1"/>
        </w:numPr>
        <w:rPr>
          <w:i/>
        </w:rPr>
      </w:pPr>
      <w:r w:rsidRPr="004110AC">
        <w:rPr>
          <w:i/>
        </w:rPr>
        <w:t xml:space="preserve">There may be a case for continuing a </w:t>
      </w:r>
      <w:proofErr w:type="spellStart"/>
      <w:r w:rsidRPr="004110AC">
        <w:rPr>
          <w:i/>
        </w:rPr>
        <w:t>programme</w:t>
      </w:r>
      <w:proofErr w:type="spellEnd"/>
      <w:r w:rsidRPr="004110AC">
        <w:rPr>
          <w:i/>
        </w:rPr>
        <w:t xml:space="preserve"> focused on homelessness provided that Grants and Leaders Committee can be given stronger evidence of where that homelessness currently comes from across London and also that going forward commissions can address the differing priorities between inner and outer London</w:t>
      </w:r>
      <w:r>
        <w:rPr>
          <w:i/>
        </w:rPr>
        <w:t>;</w:t>
      </w:r>
    </w:p>
    <w:p w:rsidR="00061E19" w:rsidRPr="004110AC" w:rsidRDefault="00061E19" w:rsidP="00061E19">
      <w:pPr>
        <w:pStyle w:val="BodyA"/>
        <w:numPr>
          <w:ilvl w:val="0"/>
          <w:numId w:val="1"/>
        </w:numPr>
        <w:rPr>
          <w:i/>
        </w:rPr>
      </w:pPr>
      <w:r w:rsidRPr="004110AC">
        <w:rPr>
          <w:i/>
        </w:rPr>
        <w:t xml:space="preserve">While not without merit, given current financial constraints, there is unlikely to be </w:t>
      </w:r>
      <w:r>
        <w:rPr>
          <w:i/>
        </w:rPr>
        <w:t xml:space="preserve">a </w:t>
      </w:r>
      <w:r w:rsidRPr="004110AC">
        <w:rPr>
          <w:i/>
        </w:rPr>
        <w:t xml:space="preserve">strong enough case for continuing a </w:t>
      </w:r>
      <w:proofErr w:type="spellStart"/>
      <w:r w:rsidRPr="004110AC">
        <w:rPr>
          <w:i/>
        </w:rPr>
        <w:t>programme</w:t>
      </w:r>
      <w:proofErr w:type="spellEnd"/>
      <w:r w:rsidRPr="004110AC">
        <w:rPr>
          <w:i/>
        </w:rPr>
        <w:t xml:space="preserve"> on capacity building in the voluntary sector; and </w:t>
      </w:r>
    </w:p>
    <w:p w:rsidR="00061E19" w:rsidRPr="004110AC" w:rsidRDefault="00061E19" w:rsidP="00061E19">
      <w:pPr>
        <w:pStyle w:val="BodyA"/>
        <w:numPr>
          <w:ilvl w:val="0"/>
          <w:numId w:val="1"/>
        </w:numPr>
        <w:rPr>
          <w:i/>
        </w:rPr>
      </w:pPr>
      <w:r w:rsidRPr="004110AC">
        <w:rPr>
          <w:i/>
        </w:rPr>
        <w:t>Going forward, boroughs need to be assured that:</w:t>
      </w:r>
    </w:p>
    <w:p w:rsidR="00061E19" w:rsidRPr="004110AC" w:rsidRDefault="00061E19" w:rsidP="00061E19">
      <w:pPr>
        <w:pStyle w:val="BodyA"/>
        <w:ind w:left="720"/>
        <w:rPr>
          <w:i/>
        </w:rPr>
      </w:pPr>
    </w:p>
    <w:p w:rsidR="00061E19" w:rsidRPr="004110AC" w:rsidRDefault="00061E19" w:rsidP="00061E19">
      <w:pPr>
        <w:pStyle w:val="BodyA"/>
        <w:numPr>
          <w:ilvl w:val="0"/>
          <w:numId w:val="2"/>
        </w:numPr>
        <w:ind w:left="709" w:hanging="709"/>
        <w:rPr>
          <w:i/>
        </w:rPr>
      </w:pPr>
      <w:r>
        <w:rPr>
          <w:i/>
        </w:rPr>
        <w:t xml:space="preserve">i: </w:t>
      </w:r>
      <w:r w:rsidRPr="004110AC">
        <w:rPr>
          <w:i/>
        </w:rPr>
        <w:t xml:space="preserve">Robust, regular and transparent monitoring and reporting of the activities of the Grants </w:t>
      </w:r>
      <w:proofErr w:type="spellStart"/>
      <w:r w:rsidRPr="004110AC">
        <w:rPr>
          <w:i/>
        </w:rPr>
        <w:t>Programme</w:t>
      </w:r>
      <w:proofErr w:type="spellEnd"/>
      <w:r w:rsidRPr="004110AC">
        <w:rPr>
          <w:i/>
        </w:rPr>
        <w:t xml:space="preserve"> continues so that outcomes benefiting their residents can be evidenced;</w:t>
      </w:r>
    </w:p>
    <w:p w:rsidR="00061E19" w:rsidRDefault="00061E19" w:rsidP="00061E19">
      <w:pPr>
        <w:pStyle w:val="BodyA"/>
        <w:numPr>
          <w:ilvl w:val="0"/>
          <w:numId w:val="2"/>
        </w:numPr>
        <w:ind w:left="709" w:hanging="709"/>
        <w:rPr>
          <w:i/>
        </w:rPr>
      </w:pPr>
    </w:p>
    <w:p w:rsidR="00061E19" w:rsidRPr="004110AC" w:rsidRDefault="00061E19" w:rsidP="00061E19">
      <w:pPr>
        <w:pStyle w:val="BodyA"/>
        <w:numPr>
          <w:ilvl w:val="0"/>
          <w:numId w:val="2"/>
        </w:numPr>
        <w:ind w:left="709" w:hanging="709"/>
        <w:rPr>
          <w:i/>
        </w:rPr>
      </w:pPr>
      <w:r>
        <w:rPr>
          <w:i/>
        </w:rPr>
        <w:t xml:space="preserve">ii: </w:t>
      </w:r>
      <w:r w:rsidRPr="004110AC">
        <w:rPr>
          <w:i/>
        </w:rPr>
        <w:t>That service providers are working in partnership with boro</w:t>
      </w:r>
      <w:r>
        <w:rPr>
          <w:i/>
        </w:rPr>
        <w:t>ugh third s</w:t>
      </w:r>
      <w:r w:rsidRPr="004110AC">
        <w:rPr>
          <w:i/>
        </w:rPr>
        <w:t xml:space="preserve">ector </w:t>
      </w:r>
      <w:proofErr w:type="spellStart"/>
      <w:r w:rsidRPr="004110AC">
        <w:rPr>
          <w:i/>
        </w:rPr>
        <w:t>organisations</w:t>
      </w:r>
      <w:proofErr w:type="spellEnd"/>
      <w:r w:rsidRPr="004110AC">
        <w:rPr>
          <w:i/>
        </w:rPr>
        <w:t>;</w:t>
      </w:r>
    </w:p>
    <w:p w:rsidR="00061E19" w:rsidRDefault="00061E19" w:rsidP="00061E19">
      <w:pPr>
        <w:pStyle w:val="BodyA"/>
        <w:numPr>
          <w:ilvl w:val="0"/>
          <w:numId w:val="2"/>
        </w:numPr>
        <w:ind w:left="709" w:hanging="709"/>
        <w:rPr>
          <w:i/>
        </w:rPr>
      </w:pPr>
    </w:p>
    <w:p w:rsidR="00061E19" w:rsidRPr="004110AC" w:rsidRDefault="00061E19" w:rsidP="00061E19">
      <w:pPr>
        <w:pStyle w:val="BodyA"/>
        <w:numPr>
          <w:ilvl w:val="0"/>
          <w:numId w:val="2"/>
        </w:numPr>
        <w:ind w:left="709" w:hanging="709"/>
        <w:rPr>
          <w:i/>
        </w:rPr>
      </w:pPr>
      <w:r>
        <w:rPr>
          <w:i/>
        </w:rPr>
        <w:t xml:space="preserve">iii: </w:t>
      </w:r>
      <w:r w:rsidRPr="004110AC">
        <w:rPr>
          <w:i/>
        </w:rPr>
        <w:t>That commissioned outcomes can evidence clear and transparent value for money;</w:t>
      </w:r>
    </w:p>
    <w:p w:rsidR="00061E19" w:rsidRDefault="00061E19" w:rsidP="00061E19">
      <w:pPr>
        <w:pStyle w:val="BodyA"/>
        <w:numPr>
          <w:ilvl w:val="0"/>
          <w:numId w:val="2"/>
        </w:numPr>
        <w:ind w:left="709" w:hanging="709"/>
        <w:rPr>
          <w:i/>
        </w:rPr>
      </w:pPr>
    </w:p>
    <w:p w:rsidR="00061E19" w:rsidRPr="004110AC" w:rsidRDefault="00061E19" w:rsidP="00061E19">
      <w:pPr>
        <w:pStyle w:val="BodyA"/>
        <w:numPr>
          <w:ilvl w:val="0"/>
          <w:numId w:val="2"/>
        </w:numPr>
        <w:ind w:left="709" w:hanging="709"/>
        <w:rPr>
          <w:i/>
        </w:rPr>
      </w:pPr>
      <w:r>
        <w:rPr>
          <w:i/>
        </w:rPr>
        <w:t>a</w:t>
      </w:r>
      <w:r w:rsidRPr="004110AC">
        <w:rPr>
          <w:i/>
        </w:rPr>
        <w:t xml:space="preserve">nd </w:t>
      </w:r>
    </w:p>
    <w:p w:rsidR="00061E19" w:rsidRDefault="00061E19" w:rsidP="00061E19">
      <w:pPr>
        <w:pStyle w:val="BodyA"/>
        <w:numPr>
          <w:ilvl w:val="0"/>
          <w:numId w:val="2"/>
        </w:numPr>
        <w:ind w:left="709" w:hanging="709"/>
        <w:rPr>
          <w:i/>
        </w:rPr>
      </w:pPr>
    </w:p>
    <w:p w:rsidR="00061E19" w:rsidRDefault="00061E19" w:rsidP="00061E19">
      <w:pPr>
        <w:pStyle w:val="BodyA"/>
        <w:numPr>
          <w:ilvl w:val="0"/>
          <w:numId w:val="2"/>
        </w:numPr>
        <w:ind w:left="709" w:hanging="709"/>
        <w:rPr>
          <w:i/>
        </w:rPr>
      </w:pPr>
      <w:proofErr w:type="gramStart"/>
      <w:r>
        <w:rPr>
          <w:i/>
        </w:rPr>
        <w:t>iv</w:t>
      </w:r>
      <w:proofErr w:type="gramEnd"/>
      <w:r>
        <w:rPr>
          <w:i/>
        </w:rPr>
        <w:t xml:space="preserve">: </w:t>
      </w:r>
      <w:r w:rsidRPr="004110AC">
        <w:rPr>
          <w:i/>
        </w:rPr>
        <w:t xml:space="preserve">London Councils should facilitate a stronger network of officer relationships between itself, senior Borough officers and </w:t>
      </w:r>
      <w:r>
        <w:rPr>
          <w:i/>
        </w:rPr>
        <w:t>third sector provid</w:t>
      </w:r>
      <w:r w:rsidRPr="004110AC">
        <w:rPr>
          <w:i/>
        </w:rPr>
        <w:t xml:space="preserve">ers and umbrella </w:t>
      </w:r>
      <w:proofErr w:type="spellStart"/>
      <w:r w:rsidRPr="004110AC">
        <w:rPr>
          <w:i/>
        </w:rPr>
        <w:t>organisations</w:t>
      </w:r>
      <w:proofErr w:type="spellEnd"/>
      <w:r w:rsidRPr="004110AC">
        <w:rPr>
          <w:i/>
        </w:rPr>
        <w:t xml:space="preserve"> in each borough to ensure continuing Pan-London ownership of the whole Grants </w:t>
      </w:r>
      <w:proofErr w:type="spellStart"/>
      <w:r w:rsidRPr="004110AC">
        <w:rPr>
          <w:i/>
        </w:rPr>
        <w:t>Programme</w:t>
      </w:r>
      <w:proofErr w:type="spellEnd"/>
      <w:r w:rsidRPr="004110AC">
        <w:rPr>
          <w:i/>
        </w:rPr>
        <w:t>.</w:t>
      </w:r>
    </w:p>
    <w:p w:rsidR="00061E19" w:rsidRPr="004110AC" w:rsidRDefault="00061E19" w:rsidP="00061E19">
      <w:pPr>
        <w:pStyle w:val="BodyA"/>
        <w:numPr>
          <w:ilvl w:val="0"/>
          <w:numId w:val="2"/>
        </w:numPr>
        <w:ind w:left="709" w:hanging="709"/>
        <w:rPr>
          <w:i/>
        </w:rPr>
      </w:pPr>
    </w:p>
    <w:p w:rsidR="00851895" w:rsidRDefault="007D230E"/>
    <w:sectPr w:rsidR="008518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A1" w:rsidRDefault="007A33A1" w:rsidP="007A33A1">
      <w:pPr>
        <w:spacing w:after="0" w:line="240" w:lineRule="auto"/>
      </w:pPr>
      <w:r>
        <w:separator/>
      </w:r>
    </w:p>
  </w:endnote>
  <w:endnote w:type="continuationSeparator" w:id="0">
    <w:p w:rsidR="007A33A1" w:rsidRDefault="007A33A1" w:rsidP="007A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A1" w:rsidRDefault="007A33A1" w:rsidP="007A33A1">
      <w:pPr>
        <w:spacing w:after="0" w:line="240" w:lineRule="auto"/>
      </w:pPr>
      <w:r>
        <w:separator/>
      </w:r>
    </w:p>
  </w:footnote>
  <w:footnote w:type="continuationSeparator" w:id="0">
    <w:p w:rsidR="007A33A1" w:rsidRDefault="007A33A1" w:rsidP="007A3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A1" w:rsidRDefault="007D230E">
    <w:pPr>
      <w:pStyle w:val="Header"/>
    </w:pPr>
    <w:r>
      <w:t>Leaders’ Committee – 22</w:t>
    </w:r>
    <w:r w:rsidRPr="007D230E">
      <w:rPr>
        <w:vertAlign w:val="superscript"/>
      </w:rPr>
      <w:t>nd</w:t>
    </w:r>
    <w:r>
      <w:t xml:space="preserve"> March </w:t>
    </w:r>
    <w:proofErr w:type="gramStart"/>
    <w:r>
      <w:t xml:space="preserve">- </w:t>
    </w:r>
    <w:r w:rsidR="007A33A1">
      <w:t xml:space="preserve"> Item</w:t>
    </w:r>
    <w:proofErr w:type="gramEnd"/>
    <w:r w:rsidR="007A33A1">
      <w:t xml:space="preserve"> 4, Appendix 7</w:t>
    </w:r>
  </w:p>
  <w:p w:rsidR="007A33A1" w:rsidRDefault="007A3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3C29"/>
    <w:multiLevelType w:val="hybridMultilevel"/>
    <w:tmpl w:val="6CF2022E"/>
    <w:lvl w:ilvl="0" w:tplc="0809001B">
      <w:start w:val="1"/>
      <w:numFmt w:val="lowerRoman"/>
      <w:lvlText w:val="%1."/>
      <w:lvlJc w:val="right"/>
      <w:pPr>
        <w:ind w:left="-22" w:hanging="360"/>
      </w:pPr>
    </w:lvl>
    <w:lvl w:ilvl="1" w:tplc="08090019" w:tentative="1">
      <w:start w:val="1"/>
      <w:numFmt w:val="lowerLetter"/>
      <w:lvlText w:val="%2."/>
      <w:lvlJc w:val="left"/>
      <w:pPr>
        <w:ind w:left="698" w:hanging="360"/>
      </w:pPr>
    </w:lvl>
    <w:lvl w:ilvl="2" w:tplc="0809001B" w:tentative="1">
      <w:start w:val="1"/>
      <w:numFmt w:val="lowerRoman"/>
      <w:lvlText w:val="%3."/>
      <w:lvlJc w:val="right"/>
      <w:pPr>
        <w:ind w:left="1418" w:hanging="180"/>
      </w:pPr>
    </w:lvl>
    <w:lvl w:ilvl="3" w:tplc="0809000F" w:tentative="1">
      <w:start w:val="1"/>
      <w:numFmt w:val="decimal"/>
      <w:lvlText w:val="%4."/>
      <w:lvlJc w:val="left"/>
      <w:pPr>
        <w:ind w:left="2138" w:hanging="360"/>
      </w:pPr>
    </w:lvl>
    <w:lvl w:ilvl="4" w:tplc="08090019" w:tentative="1">
      <w:start w:val="1"/>
      <w:numFmt w:val="lowerLetter"/>
      <w:lvlText w:val="%5."/>
      <w:lvlJc w:val="left"/>
      <w:pPr>
        <w:ind w:left="2858" w:hanging="360"/>
      </w:pPr>
    </w:lvl>
    <w:lvl w:ilvl="5" w:tplc="0809001B" w:tentative="1">
      <w:start w:val="1"/>
      <w:numFmt w:val="lowerRoman"/>
      <w:lvlText w:val="%6."/>
      <w:lvlJc w:val="right"/>
      <w:pPr>
        <w:ind w:left="3578" w:hanging="180"/>
      </w:pPr>
    </w:lvl>
    <w:lvl w:ilvl="6" w:tplc="0809000F" w:tentative="1">
      <w:start w:val="1"/>
      <w:numFmt w:val="decimal"/>
      <w:lvlText w:val="%7."/>
      <w:lvlJc w:val="left"/>
      <w:pPr>
        <w:ind w:left="4298" w:hanging="360"/>
      </w:pPr>
    </w:lvl>
    <w:lvl w:ilvl="7" w:tplc="08090019" w:tentative="1">
      <w:start w:val="1"/>
      <w:numFmt w:val="lowerLetter"/>
      <w:lvlText w:val="%8."/>
      <w:lvlJc w:val="left"/>
      <w:pPr>
        <w:ind w:left="5018" w:hanging="360"/>
      </w:pPr>
    </w:lvl>
    <w:lvl w:ilvl="8" w:tplc="0809001B" w:tentative="1">
      <w:start w:val="1"/>
      <w:numFmt w:val="lowerRoman"/>
      <w:lvlText w:val="%9."/>
      <w:lvlJc w:val="right"/>
      <w:pPr>
        <w:ind w:left="5738" w:hanging="180"/>
      </w:pPr>
    </w:lvl>
  </w:abstractNum>
  <w:abstractNum w:abstractNumId="1">
    <w:nsid w:val="747A45DB"/>
    <w:multiLevelType w:val="hybridMultilevel"/>
    <w:tmpl w:val="1690F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19"/>
    <w:rsid w:val="00061E19"/>
    <w:rsid w:val="00476447"/>
    <w:rsid w:val="00710C57"/>
    <w:rsid w:val="0071277E"/>
    <w:rsid w:val="007A33A1"/>
    <w:rsid w:val="007D230E"/>
    <w:rsid w:val="00C4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61E1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paragraph" w:styleId="Header">
    <w:name w:val="header"/>
    <w:basedOn w:val="Normal"/>
    <w:link w:val="HeaderChar"/>
    <w:uiPriority w:val="99"/>
    <w:unhideWhenUsed/>
    <w:rsid w:val="007A3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3A1"/>
  </w:style>
  <w:style w:type="paragraph" w:styleId="Footer">
    <w:name w:val="footer"/>
    <w:basedOn w:val="Normal"/>
    <w:link w:val="FooterChar"/>
    <w:uiPriority w:val="99"/>
    <w:unhideWhenUsed/>
    <w:rsid w:val="007A3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3A1"/>
  </w:style>
  <w:style w:type="paragraph" w:styleId="BalloonText">
    <w:name w:val="Balloon Text"/>
    <w:basedOn w:val="Normal"/>
    <w:link w:val="BalloonTextChar"/>
    <w:uiPriority w:val="99"/>
    <w:semiHidden/>
    <w:unhideWhenUsed/>
    <w:rsid w:val="007A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61E1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paragraph" w:styleId="Header">
    <w:name w:val="header"/>
    <w:basedOn w:val="Normal"/>
    <w:link w:val="HeaderChar"/>
    <w:uiPriority w:val="99"/>
    <w:unhideWhenUsed/>
    <w:rsid w:val="007A3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3A1"/>
  </w:style>
  <w:style w:type="paragraph" w:styleId="Footer">
    <w:name w:val="footer"/>
    <w:basedOn w:val="Normal"/>
    <w:link w:val="FooterChar"/>
    <w:uiPriority w:val="99"/>
    <w:unhideWhenUsed/>
    <w:rsid w:val="007A3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3A1"/>
  </w:style>
  <w:style w:type="paragraph" w:styleId="BalloonText">
    <w:name w:val="Balloon Text"/>
    <w:basedOn w:val="Normal"/>
    <w:link w:val="BalloonTextChar"/>
    <w:uiPriority w:val="99"/>
    <w:semiHidden/>
    <w:unhideWhenUsed/>
    <w:rsid w:val="007A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709E72B5</Template>
  <TotalTime>4</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Makepeace-Gray</dc:creator>
  <cp:lastModifiedBy>Lisa Dominic</cp:lastModifiedBy>
  <cp:revision>5</cp:revision>
  <dcterms:created xsi:type="dcterms:W3CDTF">2016-02-29T23:25:00Z</dcterms:created>
  <dcterms:modified xsi:type="dcterms:W3CDTF">2016-03-10T13:53:00Z</dcterms:modified>
</cp:coreProperties>
</file>