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C3EBB6" w14:textId="0F623E44" w:rsidR="000B3D7D" w:rsidRPr="005B30A8" w:rsidRDefault="00D1005C">
      <w:pPr>
        <w:rPr>
          <w:rFonts w:ascii="Arial" w:hAnsi="Arial" w:cs="Arial"/>
          <w:b/>
          <w:sz w:val="28"/>
        </w:rPr>
      </w:pPr>
      <w:r w:rsidRPr="005B30A8">
        <w:rPr>
          <w:rFonts w:ascii="Arial" w:hAnsi="Arial" w:cs="Arial"/>
          <w:b/>
          <w:sz w:val="28"/>
        </w:rPr>
        <w:t>Summary of results</w:t>
      </w:r>
      <w:r w:rsidR="00D01852">
        <w:rPr>
          <w:rFonts w:ascii="Arial" w:hAnsi="Arial" w:cs="Arial"/>
          <w:b/>
          <w:sz w:val="28"/>
        </w:rPr>
        <w:t xml:space="preserve"> – Borough Employment and Skills Services Survey 2022/23</w:t>
      </w:r>
    </w:p>
    <w:p w14:paraId="3103AC9B" w14:textId="77777777" w:rsidR="005B30A8" w:rsidRDefault="005B30A8">
      <w:pPr>
        <w:rPr>
          <w:rFonts w:ascii="Arial" w:hAnsi="Arial" w:cs="Arial"/>
          <w:b/>
        </w:rPr>
      </w:pPr>
    </w:p>
    <w:p w14:paraId="321F3C08" w14:textId="5B4CEBEC" w:rsidR="0093023A" w:rsidRPr="00153BAC" w:rsidRDefault="0093023A">
      <w:pPr>
        <w:rPr>
          <w:rFonts w:ascii="Arial" w:hAnsi="Arial" w:cs="Arial"/>
          <w:b/>
          <w:sz w:val="24"/>
        </w:rPr>
      </w:pPr>
      <w:r w:rsidRPr="00153BAC">
        <w:rPr>
          <w:rFonts w:ascii="Arial" w:hAnsi="Arial" w:cs="Arial"/>
          <w:b/>
          <w:sz w:val="24"/>
        </w:rPr>
        <w:t xml:space="preserve">Background and methodology </w:t>
      </w:r>
    </w:p>
    <w:p w14:paraId="4A2267BA" w14:textId="20278F68" w:rsidR="0093023A" w:rsidRPr="00211561" w:rsidRDefault="005B30A8">
      <w:pPr>
        <w:rPr>
          <w:rFonts w:ascii="Arial" w:hAnsi="Arial" w:cs="Arial"/>
        </w:rPr>
      </w:pPr>
      <w:r w:rsidRPr="00211561">
        <w:rPr>
          <w:rFonts w:ascii="Arial" w:hAnsi="Arial" w:cs="Arial"/>
        </w:rPr>
        <w:t xml:space="preserve">In </w:t>
      </w:r>
      <w:r w:rsidR="00D01852">
        <w:rPr>
          <w:rFonts w:ascii="Arial" w:hAnsi="Arial" w:cs="Arial"/>
        </w:rPr>
        <w:t>March</w:t>
      </w:r>
      <w:r w:rsidR="00822414">
        <w:rPr>
          <w:rFonts w:ascii="Arial" w:hAnsi="Arial" w:cs="Arial"/>
        </w:rPr>
        <w:t xml:space="preserve"> </w:t>
      </w:r>
      <w:r w:rsidRPr="00211561">
        <w:rPr>
          <w:rFonts w:ascii="Arial" w:hAnsi="Arial" w:cs="Arial"/>
        </w:rPr>
        <w:t>202</w:t>
      </w:r>
      <w:r w:rsidR="00A71398">
        <w:rPr>
          <w:rFonts w:ascii="Arial" w:hAnsi="Arial" w:cs="Arial"/>
        </w:rPr>
        <w:t>3</w:t>
      </w:r>
      <w:r w:rsidRPr="00211561">
        <w:rPr>
          <w:rFonts w:ascii="Arial" w:hAnsi="Arial" w:cs="Arial"/>
        </w:rPr>
        <w:t xml:space="preserve">, London Councils </w:t>
      </w:r>
      <w:r w:rsidRPr="007E60C6">
        <w:rPr>
          <w:rFonts w:ascii="Arial" w:hAnsi="Arial" w:cs="Arial"/>
        </w:rPr>
        <w:t xml:space="preserve">surveyed London boroughs </w:t>
      </w:r>
      <w:r w:rsidR="00601525" w:rsidRPr="007E60C6">
        <w:rPr>
          <w:rFonts w:ascii="Arial" w:hAnsi="Arial" w:cs="Arial"/>
        </w:rPr>
        <w:t xml:space="preserve">about their employment and skills services, and how these have changed </w:t>
      </w:r>
      <w:r w:rsidR="00822414">
        <w:rPr>
          <w:rFonts w:ascii="Arial" w:hAnsi="Arial" w:cs="Arial"/>
        </w:rPr>
        <w:t xml:space="preserve">to promote good </w:t>
      </w:r>
      <w:r w:rsidR="001F0FED">
        <w:rPr>
          <w:rFonts w:ascii="Arial" w:hAnsi="Arial" w:cs="Arial"/>
        </w:rPr>
        <w:t xml:space="preserve">quality </w:t>
      </w:r>
      <w:r w:rsidR="00822414">
        <w:rPr>
          <w:rFonts w:ascii="Arial" w:hAnsi="Arial" w:cs="Arial"/>
        </w:rPr>
        <w:t xml:space="preserve">working practices and </w:t>
      </w:r>
      <w:r w:rsidR="00A92BDB">
        <w:rPr>
          <w:rFonts w:ascii="Arial" w:hAnsi="Arial" w:cs="Arial"/>
        </w:rPr>
        <w:t>respond to skills shortages</w:t>
      </w:r>
      <w:r w:rsidR="00BB6367">
        <w:rPr>
          <w:rFonts w:ascii="Arial" w:hAnsi="Arial" w:cs="Arial"/>
        </w:rPr>
        <w:t xml:space="preserve"> i</w:t>
      </w:r>
      <w:r w:rsidR="004D1F24">
        <w:rPr>
          <w:rFonts w:ascii="Arial" w:hAnsi="Arial" w:cs="Arial"/>
        </w:rPr>
        <w:t>n the capital</w:t>
      </w:r>
      <w:r w:rsidR="00601525" w:rsidRPr="007E60C6">
        <w:rPr>
          <w:rFonts w:ascii="Arial" w:hAnsi="Arial" w:cs="Arial"/>
        </w:rPr>
        <w:t xml:space="preserve">. </w:t>
      </w:r>
      <w:r w:rsidR="00032CA9" w:rsidRPr="007E60C6">
        <w:rPr>
          <w:rFonts w:ascii="Arial" w:hAnsi="Arial" w:cs="Arial"/>
        </w:rPr>
        <w:t>The results are compared where applicable with similar survey</w:t>
      </w:r>
      <w:r w:rsidR="00A92BDB">
        <w:rPr>
          <w:rFonts w:ascii="Arial" w:hAnsi="Arial" w:cs="Arial"/>
        </w:rPr>
        <w:t>s</w:t>
      </w:r>
      <w:r w:rsidR="00032CA9" w:rsidRPr="007E60C6">
        <w:rPr>
          <w:rFonts w:ascii="Arial" w:hAnsi="Arial" w:cs="Arial"/>
        </w:rPr>
        <w:t xml:space="preserve"> </w:t>
      </w:r>
      <w:r w:rsidR="004D1F24">
        <w:rPr>
          <w:rFonts w:ascii="Arial" w:hAnsi="Arial" w:cs="Arial"/>
        </w:rPr>
        <w:t>in 2021/</w:t>
      </w:r>
      <w:r w:rsidR="00A71398">
        <w:rPr>
          <w:rFonts w:ascii="Arial" w:hAnsi="Arial" w:cs="Arial"/>
        </w:rPr>
        <w:t>2</w:t>
      </w:r>
      <w:r w:rsidR="002B67FD">
        <w:rPr>
          <w:rFonts w:ascii="Arial" w:hAnsi="Arial" w:cs="Arial"/>
        </w:rPr>
        <w:t>2</w:t>
      </w:r>
      <w:r w:rsidR="00822414">
        <w:rPr>
          <w:rFonts w:ascii="Arial" w:hAnsi="Arial" w:cs="Arial"/>
        </w:rPr>
        <w:t xml:space="preserve"> </w:t>
      </w:r>
      <w:r w:rsidR="00A92BDB">
        <w:rPr>
          <w:rFonts w:ascii="Arial" w:hAnsi="Arial" w:cs="Arial"/>
        </w:rPr>
        <w:t>and</w:t>
      </w:r>
      <w:r w:rsidR="004D1F24">
        <w:rPr>
          <w:rFonts w:ascii="Arial" w:hAnsi="Arial" w:cs="Arial"/>
        </w:rPr>
        <w:t xml:space="preserve"> 2020/21</w:t>
      </w:r>
      <w:r w:rsidR="00032CA9" w:rsidRPr="007E60C6">
        <w:rPr>
          <w:rFonts w:ascii="Arial" w:hAnsi="Arial" w:cs="Arial"/>
        </w:rPr>
        <w:t>.</w:t>
      </w:r>
    </w:p>
    <w:p w14:paraId="56941DFF" w14:textId="4F7A46AE" w:rsidR="00032CA9" w:rsidRDefault="006458B3">
      <w:pPr>
        <w:rPr>
          <w:rFonts w:ascii="Arial" w:hAnsi="Arial" w:cs="Arial"/>
        </w:rPr>
      </w:pPr>
      <w:r w:rsidRPr="00211561">
        <w:rPr>
          <w:rFonts w:ascii="Arial" w:hAnsi="Arial" w:cs="Arial"/>
        </w:rPr>
        <w:t xml:space="preserve">The </w:t>
      </w:r>
      <w:r w:rsidR="004D1F24">
        <w:rPr>
          <w:rFonts w:ascii="Arial" w:hAnsi="Arial" w:cs="Arial"/>
        </w:rPr>
        <w:t>2022/</w:t>
      </w:r>
      <w:r w:rsidRPr="00211561">
        <w:rPr>
          <w:rFonts w:ascii="Arial" w:hAnsi="Arial" w:cs="Arial"/>
        </w:rPr>
        <w:t>2</w:t>
      </w:r>
      <w:r w:rsidR="00A71398">
        <w:rPr>
          <w:rFonts w:ascii="Arial" w:hAnsi="Arial" w:cs="Arial"/>
        </w:rPr>
        <w:t>3</w:t>
      </w:r>
      <w:r w:rsidRPr="00211561">
        <w:rPr>
          <w:rFonts w:ascii="Arial" w:hAnsi="Arial" w:cs="Arial"/>
        </w:rPr>
        <w:t xml:space="preserve"> survey </w:t>
      </w:r>
      <w:r w:rsidR="00E9238F">
        <w:rPr>
          <w:rFonts w:ascii="Arial" w:hAnsi="Arial" w:cs="Arial"/>
        </w:rPr>
        <w:t>has</w:t>
      </w:r>
      <w:r w:rsidR="006C7C57">
        <w:rPr>
          <w:rFonts w:ascii="Arial" w:hAnsi="Arial" w:cs="Arial"/>
        </w:rPr>
        <w:t xml:space="preserve"> responses from all London borough</w:t>
      </w:r>
      <w:r w:rsidR="00A71398">
        <w:rPr>
          <w:rFonts w:ascii="Arial" w:hAnsi="Arial" w:cs="Arial"/>
        </w:rPr>
        <w:t>s</w:t>
      </w:r>
      <w:r w:rsidR="006B3923">
        <w:rPr>
          <w:rFonts w:ascii="Arial" w:hAnsi="Arial" w:cs="Arial"/>
        </w:rPr>
        <w:t xml:space="preserve"> and the City of London</w:t>
      </w:r>
      <w:r w:rsidR="00746F89" w:rsidRPr="00211561">
        <w:rPr>
          <w:rFonts w:ascii="Arial" w:hAnsi="Arial" w:cs="Arial"/>
        </w:rPr>
        <w:t xml:space="preserve"> – a response rate of </w:t>
      </w:r>
      <w:r w:rsidR="006C7C57">
        <w:rPr>
          <w:rFonts w:ascii="Arial" w:hAnsi="Arial" w:cs="Arial"/>
        </w:rPr>
        <w:t>100</w:t>
      </w:r>
      <w:r w:rsidR="00C3676D" w:rsidRPr="00211561">
        <w:rPr>
          <w:rFonts w:ascii="Arial" w:hAnsi="Arial" w:cs="Arial"/>
        </w:rPr>
        <w:t>%.</w:t>
      </w:r>
      <w:r w:rsidR="00E75814">
        <w:rPr>
          <w:rFonts w:ascii="Arial" w:hAnsi="Arial" w:cs="Arial"/>
        </w:rPr>
        <w:t xml:space="preserve"> </w:t>
      </w:r>
      <w:r w:rsidR="006C7C57">
        <w:rPr>
          <w:rFonts w:ascii="Arial" w:hAnsi="Arial" w:cs="Arial"/>
        </w:rPr>
        <w:t xml:space="preserve">However, not all boroughs responded to all questions so the </w:t>
      </w:r>
      <w:r w:rsidR="00A14907">
        <w:rPr>
          <w:rFonts w:ascii="Arial" w:hAnsi="Arial" w:cs="Arial"/>
        </w:rPr>
        <w:t>response rate for each question is indicated where relevant.</w:t>
      </w:r>
    </w:p>
    <w:p w14:paraId="5A57C312" w14:textId="694C944D" w:rsidR="00303722" w:rsidRPr="00AC4B6B" w:rsidRDefault="00303722" w:rsidP="00303722">
      <w:pPr>
        <w:rPr>
          <w:rFonts w:ascii="Arial" w:hAnsi="Arial" w:cs="Arial"/>
          <w:b/>
          <w:sz w:val="28"/>
          <w:szCs w:val="28"/>
        </w:rPr>
      </w:pPr>
      <w:r w:rsidRPr="00AC4B6B">
        <w:rPr>
          <w:rFonts w:ascii="Arial" w:hAnsi="Arial" w:cs="Arial"/>
          <w:b/>
          <w:sz w:val="28"/>
          <w:szCs w:val="28"/>
        </w:rPr>
        <w:t>Executive summary</w:t>
      </w:r>
    </w:p>
    <w:p w14:paraId="38F37626" w14:textId="0D9C2A12" w:rsidR="006131CF" w:rsidRPr="00EB3208" w:rsidRDefault="00243822" w:rsidP="006131CF">
      <w:pPr>
        <w:pStyle w:val="NormalWeb"/>
        <w:spacing w:before="0" w:beforeAutospacing="0" w:after="160" w:afterAutospacing="0"/>
        <w:rPr>
          <w:rFonts w:ascii="Arial" w:hAnsi="Arial" w:cs="Arial"/>
          <w:sz w:val="22"/>
          <w:szCs w:val="22"/>
        </w:rPr>
      </w:pPr>
      <w:r w:rsidRPr="00EB3208">
        <w:rPr>
          <w:rFonts w:ascii="Arial" w:hAnsi="Arial" w:cs="Arial"/>
          <w:sz w:val="22"/>
          <w:szCs w:val="22"/>
        </w:rPr>
        <w:t>The vast majority of London boroughs (</w:t>
      </w:r>
      <w:r w:rsidR="00085D31" w:rsidRPr="00EB3208">
        <w:rPr>
          <w:rFonts w:ascii="Arial" w:hAnsi="Arial" w:cs="Arial"/>
          <w:sz w:val="22"/>
          <w:szCs w:val="22"/>
        </w:rPr>
        <w:t>88</w:t>
      </w:r>
      <w:r w:rsidRPr="00EB3208">
        <w:rPr>
          <w:rFonts w:ascii="Arial" w:hAnsi="Arial" w:cs="Arial"/>
          <w:sz w:val="22"/>
          <w:szCs w:val="22"/>
        </w:rPr>
        <w:t xml:space="preserve">%) provide a local employment support service. </w:t>
      </w:r>
      <w:r w:rsidR="006131CF" w:rsidRPr="00EB3208">
        <w:rPr>
          <w:rFonts w:ascii="Arial" w:hAnsi="Arial" w:cs="Arial"/>
          <w:sz w:val="22"/>
          <w:szCs w:val="22"/>
        </w:rPr>
        <w:t xml:space="preserve">On average, </w:t>
      </w:r>
      <w:r w:rsidR="00202E8C">
        <w:rPr>
          <w:rFonts w:ascii="Arial" w:hAnsi="Arial" w:cs="Arial"/>
          <w:sz w:val="22"/>
          <w:szCs w:val="22"/>
        </w:rPr>
        <w:t xml:space="preserve">a </w:t>
      </w:r>
      <w:r w:rsidR="006131CF" w:rsidRPr="00EB3208">
        <w:rPr>
          <w:rFonts w:ascii="Arial" w:hAnsi="Arial" w:cs="Arial"/>
          <w:sz w:val="22"/>
          <w:szCs w:val="22"/>
        </w:rPr>
        <w:t>borough</w:t>
      </w:r>
      <w:r w:rsidR="00202E8C">
        <w:rPr>
          <w:rFonts w:ascii="Arial" w:hAnsi="Arial" w:cs="Arial"/>
          <w:sz w:val="22"/>
          <w:szCs w:val="22"/>
        </w:rPr>
        <w:t>’s</w:t>
      </w:r>
      <w:r w:rsidR="006131CF" w:rsidRPr="00EB3208">
        <w:rPr>
          <w:rFonts w:ascii="Arial" w:hAnsi="Arial" w:cs="Arial"/>
          <w:sz w:val="22"/>
          <w:szCs w:val="22"/>
        </w:rPr>
        <w:t xml:space="preserve"> estimated annual budget for employment services was £1,</w:t>
      </w:r>
      <w:r w:rsidR="00085D31" w:rsidRPr="00EB3208">
        <w:rPr>
          <w:rFonts w:ascii="Arial" w:hAnsi="Arial" w:cs="Arial"/>
          <w:sz w:val="22"/>
          <w:szCs w:val="22"/>
        </w:rPr>
        <w:t>396</w:t>
      </w:r>
      <w:r w:rsidR="006131CF" w:rsidRPr="00EB3208">
        <w:rPr>
          <w:rFonts w:ascii="Arial" w:hAnsi="Arial" w:cs="Arial"/>
          <w:sz w:val="22"/>
          <w:szCs w:val="22"/>
        </w:rPr>
        <w:t>,</w:t>
      </w:r>
      <w:r w:rsidR="00085D31" w:rsidRPr="00EB3208">
        <w:rPr>
          <w:rFonts w:ascii="Arial" w:hAnsi="Arial" w:cs="Arial"/>
          <w:sz w:val="22"/>
          <w:szCs w:val="22"/>
        </w:rPr>
        <w:t>929</w:t>
      </w:r>
      <w:r w:rsidR="006131CF" w:rsidRPr="00EB3208">
        <w:rPr>
          <w:rFonts w:ascii="Arial" w:hAnsi="Arial" w:cs="Arial"/>
          <w:sz w:val="22"/>
          <w:szCs w:val="22"/>
        </w:rPr>
        <w:t xml:space="preserve"> – </w:t>
      </w:r>
      <w:r w:rsidR="00085D31" w:rsidRPr="00EB3208">
        <w:rPr>
          <w:rFonts w:ascii="Arial" w:hAnsi="Arial" w:cs="Arial"/>
          <w:sz w:val="22"/>
          <w:szCs w:val="22"/>
        </w:rPr>
        <w:t>slightly less than t</w:t>
      </w:r>
      <w:r w:rsidR="006131CF" w:rsidRPr="00EB3208">
        <w:rPr>
          <w:rFonts w:ascii="Arial" w:hAnsi="Arial" w:cs="Arial"/>
          <w:sz w:val="22"/>
          <w:szCs w:val="22"/>
        </w:rPr>
        <w:t>heir budget in 202</w:t>
      </w:r>
      <w:r w:rsidR="00085D31" w:rsidRPr="00EB3208">
        <w:rPr>
          <w:rFonts w:ascii="Arial" w:hAnsi="Arial" w:cs="Arial"/>
          <w:sz w:val="22"/>
          <w:szCs w:val="22"/>
        </w:rPr>
        <w:t>1/22</w:t>
      </w:r>
      <w:r w:rsidR="006131CF" w:rsidRPr="00EB3208">
        <w:rPr>
          <w:rFonts w:ascii="Arial" w:hAnsi="Arial" w:cs="Arial"/>
          <w:sz w:val="22"/>
          <w:szCs w:val="22"/>
        </w:rPr>
        <w:t xml:space="preserve"> </w:t>
      </w:r>
      <w:r w:rsidR="00085D31" w:rsidRPr="00EB3208">
        <w:rPr>
          <w:rFonts w:ascii="Arial" w:hAnsi="Arial" w:cs="Arial"/>
          <w:sz w:val="22"/>
          <w:szCs w:val="22"/>
        </w:rPr>
        <w:t>(£1,538,826</w:t>
      </w:r>
      <w:r w:rsidR="006B3923" w:rsidRPr="00EB3208">
        <w:rPr>
          <w:rFonts w:ascii="Arial" w:hAnsi="Arial" w:cs="Arial"/>
          <w:sz w:val="22"/>
          <w:szCs w:val="22"/>
        </w:rPr>
        <w:t>).</w:t>
      </w:r>
      <w:r w:rsidR="006131CF" w:rsidRPr="00EB3208">
        <w:rPr>
          <w:rFonts w:ascii="Arial" w:hAnsi="Arial" w:cs="Arial"/>
          <w:sz w:val="22"/>
          <w:szCs w:val="22"/>
        </w:rPr>
        <w:t xml:space="preserve"> However, it varied between £</w:t>
      </w:r>
      <w:r w:rsidR="00085D31" w:rsidRPr="00EB3208">
        <w:rPr>
          <w:rFonts w:ascii="Arial" w:hAnsi="Arial" w:cs="Arial"/>
          <w:sz w:val="22"/>
          <w:szCs w:val="22"/>
        </w:rPr>
        <w:t>75</w:t>
      </w:r>
      <w:r w:rsidR="006131CF" w:rsidRPr="00EB3208">
        <w:rPr>
          <w:rFonts w:ascii="Arial" w:hAnsi="Arial" w:cs="Arial"/>
          <w:sz w:val="22"/>
          <w:szCs w:val="22"/>
        </w:rPr>
        <w:t>,000 and £5.</w:t>
      </w:r>
      <w:r w:rsidR="00085D31" w:rsidRPr="00EB3208">
        <w:rPr>
          <w:rFonts w:ascii="Arial" w:hAnsi="Arial" w:cs="Arial"/>
          <w:sz w:val="22"/>
          <w:szCs w:val="22"/>
        </w:rPr>
        <w:t>4</w:t>
      </w:r>
      <w:r w:rsidR="006131CF" w:rsidRPr="00EB3208">
        <w:rPr>
          <w:rFonts w:ascii="Arial" w:hAnsi="Arial" w:cs="Arial"/>
          <w:sz w:val="22"/>
          <w:szCs w:val="22"/>
        </w:rPr>
        <w:t>m. Boroughs identified Section 106 (</w:t>
      </w:r>
      <w:r w:rsidR="00C3220B" w:rsidRPr="00EB3208">
        <w:rPr>
          <w:rFonts w:ascii="Arial" w:hAnsi="Arial" w:cs="Arial"/>
          <w:sz w:val="22"/>
          <w:szCs w:val="22"/>
        </w:rPr>
        <w:t>69</w:t>
      </w:r>
      <w:r w:rsidR="006131CF" w:rsidRPr="00EB3208">
        <w:rPr>
          <w:rFonts w:ascii="Arial" w:hAnsi="Arial" w:cs="Arial"/>
          <w:sz w:val="22"/>
          <w:szCs w:val="22"/>
        </w:rPr>
        <w:t>%), core council spending (</w:t>
      </w:r>
      <w:r w:rsidR="00C3220B" w:rsidRPr="00EB3208">
        <w:rPr>
          <w:rFonts w:ascii="Arial" w:hAnsi="Arial" w:cs="Arial"/>
          <w:sz w:val="22"/>
          <w:szCs w:val="22"/>
        </w:rPr>
        <w:t>48</w:t>
      </w:r>
      <w:r w:rsidR="006131CF" w:rsidRPr="00EB3208">
        <w:rPr>
          <w:rFonts w:ascii="Arial" w:hAnsi="Arial" w:cs="Arial"/>
          <w:sz w:val="22"/>
          <w:szCs w:val="22"/>
        </w:rPr>
        <w:t xml:space="preserve">%) and the European Social Fund (ESF - </w:t>
      </w:r>
      <w:r w:rsidR="00C3220B" w:rsidRPr="00EB3208">
        <w:rPr>
          <w:rFonts w:ascii="Arial" w:hAnsi="Arial" w:cs="Arial"/>
          <w:sz w:val="22"/>
          <w:szCs w:val="22"/>
        </w:rPr>
        <w:t>59</w:t>
      </w:r>
      <w:r w:rsidR="006131CF" w:rsidRPr="00EB3208">
        <w:rPr>
          <w:rFonts w:ascii="Arial" w:hAnsi="Arial" w:cs="Arial"/>
          <w:sz w:val="22"/>
          <w:szCs w:val="22"/>
        </w:rPr>
        <w:t>%) as key sources of funding for their employment services.</w:t>
      </w:r>
    </w:p>
    <w:p w14:paraId="33894222" w14:textId="3834241B" w:rsidR="0093567A" w:rsidRPr="00EB3208" w:rsidRDefault="006131CF" w:rsidP="006131CF">
      <w:pPr>
        <w:pStyle w:val="NormalWeb"/>
        <w:spacing w:before="0" w:beforeAutospacing="0" w:after="160" w:afterAutospacing="0"/>
        <w:rPr>
          <w:rFonts w:ascii="Arial" w:hAnsi="Arial" w:cs="Arial"/>
          <w:sz w:val="22"/>
          <w:szCs w:val="22"/>
        </w:rPr>
      </w:pPr>
      <w:r w:rsidRPr="00EB3208">
        <w:rPr>
          <w:rFonts w:ascii="Arial" w:hAnsi="Arial" w:cs="Arial"/>
          <w:sz w:val="22"/>
          <w:szCs w:val="22"/>
        </w:rPr>
        <w:t xml:space="preserve">In terms of staff, on average boroughs employ </w:t>
      </w:r>
      <w:r w:rsidR="00C3220B" w:rsidRPr="00EB3208">
        <w:rPr>
          <w:rFonts w:ascii="Arial" w:hAnsi="Arial" w:cs="Arial"/>
          <w:sz w:val="22"/>
          <w:szCs w:val="22"/>
        </w:rPr>
        <w:t>22</w:t>
      </w:r>
      <w:r w:rsidRPr="00EB3208">
        <w:rPr>
          <w:rFonts w:ascii="Arial" w:hAnsi="Arial" w:cs="Arial"/>
          <w:sz w:val="22"/>
          <w:szCs w:val="22"/>
        </w:rPr>
        <w:t xml:space="preserve"> people, </w:t>
      </w:r>
      <w:r w:rsidR="00C3220B" w:rsidRPr="00EB3208">
        <w:rPr>
          <w:rFonts w:ascii="Arial" w:hAnsi="Arial" w:cs="Arial"/>
          <w:sz w:val="22"/>
          <w:szCs w:val="22"/>
        </w:rPr>
        <w:t xml:space="preserve">ranging from a </w:t>
      </w:r>
      <w:r w:rsidRPr="00EB3208">
        <w:rPr>
          <w:rFonts w:ascii="Arial" w:hAnsi="Arial" w:cs="Arial"/>
          <w:sz w:val="22"/>
          <w:szCs w:val="22"/>
        </w:rPr>
        <w:t xml:space="preserve">borough employing </w:t>
      </w:r>
      <w:r w:rsidR="00C3220B" w:rsidRPr="00EB3208">
        <w:rPr>
          <w:rFonts w:ascii="Arial" w:hAnsi="Arial" w:cs="Arial"/>
          <w:sz w:val="22"/>
          <w:szCs w:val="22"/>
        </w:rPr>
        <w:t>one</w:t>
      </w:r>
      <w:r w:rsidRPr="00EB3208">
        <w:rPr>
          <w:rFonts w:ascii="Arial" w:hAnsi="Arial" w:cs="Arial"/>
          <w:sz w:val="22"/>
          <w:szCs w:val="22"/>
        </w:rPr>
        <w:t xml:space="preserve"> and another employing 70 staff members. The number of people using borough employment services annually also ranges significantly between 2</w:t>
      </w:r>
      <w:r w:rsidR="00C3220B" w:rsidRPr="00EB3208">
        <w:rPr>
          <w:rFonts w:ascii="Arial" w:hAnsi="Arial" w:cs="Arial"/>
          <w:sz w:val="22"/>
          <w:szCs w:val="22"/>
        </w:rPr>
        <w:t>30</w:t>
      </w:r>
      <w:r w:rsidRPr="00EB3208">
        <w:rPr>
          <w:rFonts w:ascii="Arial" w:hAnsi="Arial" w:cs="Arial"/>
          <w:sz w:val="22"/>
          <w:szCs w:val="22"/>
        </w:rPr>
        <w:t xml:space="preserve"> and </w:t>
      </w:r>
      <w:r w:rsidR="00C3220B" w:rsidRPr="00EB3208">
        <w:rPr>
          <w:rFonts w:ascii="Arial" w:hAnsi="Arial" w:cs="Arial"/>
          <w:sz w:val="22"/>
          <w:szCs w:val="22"/>
        </w:rPr>
        <w:t>3</w:t>
      </w:r>
      <w:r w:rsidRPr="00EB3208">
        <w:rPr>
          <w:rFonts w:ascii="Arial" w:hAnsi="Arial" w:cs="Arial"/>
          <w:sz w:val="22"/>
          <w:szCs w:val="22"/>
        </w:rPr>
        <w:t>,</w:t>
      </w:r>
      <w:r w:rsidR="00C3220B" w:rsidRPr="00EB3208">
        <w:rPr>
          <w:rFonts w:ascii="Arial" w:hAnsi="Arial" w:cs="Arial"/>
          <w:sz w:val="22"/>
          <w:szCs w:val="22"/>
        </w:rPr>
        <w:t>2</w:t>
      </w:r>
      <w:r w:rsidRPr="00EB3208">
        <w:rPr>
          <w:rFonts w:ascii="Arial" w:hAnsi="Arial" w:cs="Arial"/>
          <w:sz w:val="22"/>
          <w:szCs w:val="22"/>
        </w:rPr>
        <w:t>00, with an average of 1,</w:t>
      </w:r>
      <w:r w:rsidR="00C3220B" w:rsidRPr="00EB3208">
        <w:rPr>
          <w:rFonts w:ascii="Arial" w:hAnsi="Arial" w:cs="Arial"/>
          <w:sz w:val="22"/>
          <w:szCs w:val="22"/>
        </w:rPr>
        <w:t>533</w:t>
      </w:r>
      <w:r w:rsidRPr="00EB3208">
        <w:rPr>
          <w:rFonts w:ascii="Arial" w:hAnsi="Arial" w:cs="Arial"/>
          <w:sz w:val="22"/>
          <w:szCs w:val="22"/>
        </w:rPr>
        <w:t xml:space="preserve">. </w:t>
      </w:r>
    </w:p>
    <w:p w14:paraId="6F084F44" w14:textId="78F749D8" w:rsidR="006131CF" w:rsidRPr="00EB3208" w:rsidRDefault="009C02F2" w:rsidP="006131CF">
      <w:pPr>
        <w:pStyle w:val="NormalWeb"/>
        <w:spacing w:before="0" w:beforeAutospacing="0" w:after="160" w:afterAutospacing="0"/>
        <w:rPr>
          <w:rFonts w:ascii="Arial" w:hAnsi="Arial" w:cs="Arial"/>
          <w:sz w:val="22"/>
          <w:szCs w:val="22"/>
        </w:rPr>
      </w:pPr>
      <w:r w:rsidRPr="00EB3208">
        <w:rPr>
          <w:rFonts w:ascii="Arial" w:hAnsi="Arial" w:cs="Arial"/>
          <w:sz w:val="22"/>
          <w:szCs w:val="22"/>
        </w:rPr>
        <w:t xml:space="preserve">There was </w:t>
      </w:r>
      <w:r w:rsidR="00C3220B" w:rsidRPr="00EB3208">
        <w:rPr>
          <w:rFonts w:ascii="Arial" w:hAnsi="Arial" w:cs="Arial"/>
          <w:sz w:val="22"/>
          <w:szCs w:val="22"/>
        </w:rPr>
        <w:t xml:space="preserve">a slight </w:t>
      </w:r>
      <w:r w:rsidRPr="00EB3208">
        <w:rPr>
          <w:rFonts w:ascii="Arial" w:hAnsi="Arial" w:cs="Arial"/>
          <w:sz w:val="22"/>
          <w:szCs w:val="22"/>
        </w:rPr>
        <w:t xml:space="preserve">expansion in the resources boroughs have put into their job brokerage schemes and the number of Londoners they have been serving. </w:t>
      </w:r>
      <w:r w:rsidR="006131CF" w:rsidRPr="00EB3208">
        <w:rPr>
          <w:rFonts w:ascii="Arial" w:hAnsi="Arial" w:cs="Arial"/>
          <w:sz w:val="22"/>
          <w:szCs w:val="22"/>
        </w:rPr>
        <w:t xml:space="preserve">In total, London boroughs spend </w:t>
      </w:r>
      <w:r w:rsidR="00C3220B" w:rsidRPr="00EB3208">
        <w:rPr>
          <w:rFonts w:ascii="Arial" w:hAnsi="Arial" w:cs="Arial"/>
          <w:sz w:val="22"/>
          <w:szCs w:val="22"/>
        </w:rPr>
        <w:t xml:space="preserve">£39,114,000 (in 2021/22 = </w:t>
      </w:r>
      <w:r w:rsidR="006131CF" w:rsidRPr="00EB3208">
        <w:rPr>
          <w:rFonts w:ascii="Arial" w:hAnsi="Arial" w:cs="Arial"/>
          <w:sz w:val="22"/>
          <w:szCs w:val="22"/>
        </w:rPr>
        <w:t>£35,393,000</w:t>
      </w:r>
      <w:r w:rsidR="00C3220B" w:rsidRPr="00EB3208">
        <w:rPr>
          <w:rFonts w:ascii="Arial" w:hAnsi="Arial" w:cs="Arial"/>
          <w:sz w:val="22"/>
          <w:szCs w:val="22"/>
        </w:rPr>
        <w:t>)</w:t>
      </w:r>
      <w:r w:rsidR="00202E8C">
        <w:rPr>
          <w:rStyle w:val="FootnoteReference"/>
          <w:rFonts w:ascii="Arial" w:hAnsi="Arial" w:cs="Arial"/>
          <w:sz w:val="22"/>
          <w:szCs w:val="22"/>
        </w:rPr>
        <w:footnoteReference w:id="1"/>
      </w:r>
      <w:r w:rsidR="00C3220B" w:rsidRPr="00EB3208">
        <w:rPr>
          <w:rFonts w:ascii="Arial" w:hAnsi="Arial" w:cs="Arial"/>
          <w:sz w:val="22"/>
          <w:szCs w:val="22"/>
        </w:rPr>
        <w:t xml:space="preserve"> </w:t>
      </w:r>
      <w:r w:rsidR="006131CF" w:rsidRPr="00EB3208">
        <w:rPr>
          <w:rFonts w:ascii="Arial" w:hAnsi="Arial" w:cs="Arial"/>
          <w:sz w:val="22"/>
          <w:szCs w:val="22"/>
        </w:rPr>
        <w:t>on their employment services, employ 6</w:t>
      </w:r>
      <w:r w:rsidR="00C3220B" w:rsidRPr="00EB3208">
        <w:rPr>
          <w:rFonts w:ascii="Arial" w:hAnsi="Arial" w:cs="Arial"/>
          <w:sz w:val="22"/>
          <w:szCs w:val="22"/>
        </w:rPr>
        <w:t>60 (2021/22 = 683)</w:t>
      </w:r>
      <w:r w:rsidR="006131CF" w:rsidRPr="00EB3208">
        <w:rPr>
          <w:rFonts w:ascii="Arial" w:hAnsi="Arial" w:cs="Arial"/>
          <w:sz w:val="22"/>
          <w:szCs w:val="22"/>
        </w:rPr>
        <w:t xml:space="preserve"> staff members and support </w:t>
      </w:r>
      <w:r w:rsidR="00845934">
        <w:rPr>
          <w:rFonts w:ascii="Arial" w:hAnsi="Arial" w:cs="Arial"/>
          <w:sz w:val="22"/>
          <w:szCs w:val="22"/>
        </w:rPr>
        <w:t>42</w:t>
      </w:r>
      <w:r w:rsidR="006131CF" w:rsidRPr="00EB3208">
        <w:rPr>
          <w:rFonts w:ascii="Arial" w:hAnsi="Arial" w:cs="Arial"/>
          <w:sz w:val="22"/>
          <w:szCs w:val="22"/>
        </w:rPr>
        <w:t>,</w:t>
      </w:r>
      <w:r w:rsidR="00845934">
        <w:rPr>
          <w:rFonts w:ascii="Arial" w:hAnsi="Arial" w:cs="Arial"/>
          <w:sz w:val="22"/>
          <w:szCs w:val="22"/>
        </w:rPr>
        <w:t>9</w:t>
      </w:r>
      <w:r w:rsidR="00C3220B" w:rsidRPr="00EB3208">
        <w:rPr>
          <w:rFonts w:ascii="Arial" w:hAnsi="Arial" w:cs="Arial"/>
          <w:sz w:val="22"/>
          <w:szCs w:val="22"/>
        </w:rPr>
        <w:t>30</w:t>
      </w:r>
      <w:r w:rsidR="006131CF" w:rsidRPr="00EB3208">
        <w:rPr>
          <w:rFonts w:ascii="Arial" w:hAnsi="Arial" w:cs="Arial"/>
          <w:sz w:val="22"/>
          <w:szCs w:val="22"/>
        </w:rPr>
        <w:t xml:space="preserve"> Londoners. </w:t>
      </w:r>
      <w:r w:rsidR="00845934">
        <w:rPr>
          <w:rFonts w:ascii="Arial" w:hAnsi="Arial" w:cs="Arial"/>
          <w:sz w:val="22"/>
          <w:szCs w:val="22"/>
        </w:rPr>
        <w:t>This is slightly</w:t>
      </w:r>
      <w:r w:rsidR="006131CF" w:rsidRPr="00EB3208">
        <w:rPr>
          <w:rFonts w:ascii="Arial" w:hAnsi="Arial" w:cs="Arial"/>
          <w:sz w:val="22"/>
          <w:szCs w:val="22"/>
        </w:rPr>
        <w:t xml:space="preserve"> </w:t>
      </w:r>
      <w:r w:rsidR="00C3220B" w:rsidRPr="00EB3208">
        <w:rPr>
          <w:rFonts w:ascii="Arial" w:hAnsi="Arial" w:cs="Arial"/>
          <w:sz w:val="22"/>
          <w:szCs w:val="22"/>
        </w:rPr>
        <w:t>lower</w:t>
      </w:r>
      <w:r w:rsidR="006131CF" w:rsidRPr="00EB3208">
        <w:rPr>
          <w:rFonts w:ascii="Arial" w:hAnsi="Arial" w:cs="Arial"/>
          <w:sz w:val="22"/>
          <w:szCs w:val="22"/>
        </w:rPr>
        <w:t xml:space="preserve"> than the numbers reported the previous year</w:t>
      </w:r>
      <w:r w:rsidR="00C3220B" w:rsidRPr="00EB3208">
        <w:rPr>
          <w:rFonts w:ascii="Arial" w:hAnsi="Arial" w:cs="Arial"/>
          <w:sz w:val="22"/>
          <w:szCs w:val="22"/>
        </w:rPr>
        <w:t xml:space="preserve"> (44,274)</w:t>
      </w:r>
      <w:r w:rsidR="003E61C8">
        <w:rPr>
          <w:rFonts w:ascii="Arial" w:hAnsi="Arial" w:cs="Arial"/>
          <w:sz w:val="22"/>
          <w:szCs w:val="22"/>
        </w:rPr>
        <w:t>.</w:t>
      </w:r>
    </w:p>
    <w:p w14:paraId="2CD5DE23" w14:textId="31B50CDC" w:rsidR="006131CF" w:rsidRDefault="006131CF" w:rsidP="006131CF">
      <w:pPr>
        <w:pStyle w:val="NormalWeb"/>
        <w:spacing w:before="0" w:beforeAutospacing="0" w:after="160" w:afterAutospacing="0"/>
        <w:rPr>
          <w:rFonts w:ascii="Arial" w:hAnsi="Arial" w:cs="Arial"/>
          <w:sz w:val="22"/>
          <w:szCs w:val="22"/>
        </w:rPr>
      </w:pPr>
      <w:r w:rsidRPr="00EB3208">
        <w:rPr>
          <w:rFonts w:ascii="Arial" w:hAnsi="Arial" w:cs="Arial"/>
          <w:sz w:val="22"/>
          <w:szCs w:val="22"/>
        </w:rPr>
        <w:t xml:space="preserve">The most common services offered by </w:t>
      </w:r>
      <w:r w:rsidR="00A1540F" w:rsidRPr="00EB3208">
        <w:rPr>
          <w:rFonts w:ascii="Arial" w:hAnsi="Arial" w:cs="Arial"/>
          <w:sz w:val="22"/>
          <w:szCs w:val="22"/>
        </w:rPr>
        <w:t>all,</w:t>
      </w:r>
      <w:r w:rsidRPr="00EB3208">
        <w:rPr>
          <w:rFonts w:ascii="Arial" w:hAnsi="Arial" w:cs="Arial"/>
          <w:sz w:val="22"/>
          <w:szCs w:val="22"/>
        </w:rPr>
        <w:t xml:space="preserve"> or most boroughs include access to local vacancies (100%), interview preparation/coaching (100%), help with CV and job applications (</w:t>
      </w:r>
      <w:r w:rsidR="00D7605C" w:rsidRPr="00EB3208">
        <w:rPr>
          <w:rFonts w:ascii="Arial" w:hAnsi="Arial" w:cs="Arial"/>
          <w:sz w:val="22"/>
          <w:szCs w:val="22"/>
        </w:rPr>
        <w:t>100</w:t>
      </w:r>
      <w:r w:rsidRPr="00EB3208">
        <w:rPr>
          <w:rFonts w:ascii="Arial" w:hAnsi="Arial" w:cs="Arial"/>
          <w:sz w:val="22"/>
          <w:szCs w:val="22"/>
        </w:rPr>
        <w:t>%), employment advisor</w:t>
      </w:r>
      <w:r w:rsidR="002B2644">
        <w:rPr>
          <w:rFonts w:ascii="Arial" w:hAnsi="Arial" w:cs="Arial"/>
          <w:sz w:val="22"/>
          <w:szCs w:val="22"/>
        </w:rPr>
        <w:t>s</w:t>
      </w:r>
      <w:r w:rsidRPr="00EB3208">
        <w:rPr>
          <w:rFonts w:ascii="Arial" w:hAnsi="Arial" w:cs="Arial"/>
          <w:sz w:val="22"/>
          <w:szCs w:val="22"/>
        </w:rPr>
        <w:t xml:space="preserve"> (9</w:t>
      </w:r>
      <w:r w:rsidR="00D7605C" w:rsidRPr="00EB3208">
        <w:rPr>
          <w:rFonts w:ascii="Arial" w:hAnsi="Arial" w:cs="Arial"/>
          <w:sz w:val="22"/>
          <w:szCs w:val="22"/>
        </w:rPr>
        <w:t>7</w:t>
      </w:r>
      <w:r w:rsidRPr="00EB3208">
        <w:rPr>
          <w:rFonts w:ascii="Arial" w:hAnsi="Arial" w:cs="Arial"/>
          <w:sz w:val="22"/>
          <w:szCs w:val="22"/>
        </w:rPr>
        <w:t xml:space="preserve">%) and support to improve skills (93%). </w:t>
      </w:r>
    </w:p>
    <w:p w14:paraId="09BB30E9" w14:textId="77777777" w:rsidR="004C1726" w:rsidRPr="00EB3208" w:rsidRDefault="004C1726" w:rsidP="006131CF">
      <w:pPr>
        <w:pStyle w:val="NormalWeb"/>
        <w:spacing w:before="0" w:beforeAutospacing="0" w:after="160" w:afterAutospacing="0"/>
        <w:rPr>
          <w:rFonts w:ascii="Arial" w:hAnsi="Arial" w:cs="Arial"/>
          <w:sz w:val="22"/>
          <w:szCs w:val="22"/>
        </w:rPr>
      </w:pPr>
    </w:p>
    <w:p w14:paraId="23B7B710" w14:textId="77777777" w:rsidR="006131CF" w:rsidRPr="00EB3208" w:rsidRDefault="006131CF" w:rsidP="006131CF">
      <w:pPr>
        <w:pStyle w:val="NormalWeb"/>
        <w:spacing w:before="0" w:beforeAutospacing="0" w:after="0" w:afterAutospacing="0"/>
        <w:rPr>
          <w:rFonts w:ascii="Arial" w:hAnsi="Arial" w:cs="Arial"/>
          <w:sz w:val="22"/>
          <w:szCs w:val="22"/>
        </w:rPr>
      </w:pPr>
      <w:r w:rsidRPr="00EB3208">
        <w:rPr>
          <w:rFonts w:ascii="Arial" w:hAnsi="Arial" w:cs="Arial"/>
          <w:b/>
          <w:bCs/>
          <w:i/>
          <w:iCs/>
          <w:sz w:val="22"/>
          <w:szCs w:val="22"/>
        </w:rPr>
        <w:t>Local skills and labour market shortages and the government's Plan for Jobs</w:t>
      </w:r>
    </w:p>
    <w:p w14:paraId="59F6AC30" w14:textId="77777777" w:rsidR="006131CF" w:rsidRPr="00EB3208" w:rsidRDefault="006131CF" w:rsidP="006131CF">
      <w:pPr>
        <w:pStyle w:val="NormalWeb"/>
        <w:spacing w:before="0" w:beforeAutospacing="0" w:after="0" w:afterAutospacing="0"/>
        <w:rPr>
          <w:rFonts w:ascii="Arial" w:hAnsi="Arial" w:cs="Arial"/>
          <w:sz w:val="22"/>
          <w:szCs w:val="22"/>
        </w:rPr>
      </w:pPr>
      <w:r w:rsidRPr="00EB3208">
        <w:rPr>
          <w:rFonts w:ascii="Arial" w:hAnsi="Arial" w:cs="Arial"/>
          <w:sz w:val="22"/>
          <w:szCs w:val="22"/>
        </w:rPr>
        <w:t> </w:t>
      </w:r>
    </w:p>
    <w:p w14:paraId="6738A34C" w14:textId="06E9A849" w:rsidR="006131CF" w:rsidRPr="00EB3208" w:rsidRDefault="006131CF" w:rsidP="006131CF">
      <w:pPr>
        <w:pStyle w:val="NormalWeb"/>
        <w:spacing w:before="0" w:beforeAutospacing="0" w:after="0" w:afterAutospacing="0"/>
        <w:rPr>
          <w:rFonts w:ascii="Arial" w:hAnsi="Arial" w:cs="Arial"/>
          <w:sz w:val="22"/>
          <w:szCs w:val="22"/>
        </w:rPr>
      </w:pPr>
      <w:r w:rsidRPr="00EB3208">
        <w:rPr>
          <w:rFonts w:ascii="Arial" w:hAnsi="Arial" w:cs="Arial"/>
          <w:sz w:val="22"/>
          <w:szCs w:val="22"/>
        </w:rPr>
        <w:t>The vast majority of London borough officers (8</w:t>
      </w:r>
      <w:r w:rsidR="00D7605C" w:rsidRPr="00EB3208">
        <w:rPr>
          <w:rFonts w:ascii="Arial" w:hAnsi="Arial" w:cs="Arial"/>
          <w:sz w:val="22"/>
          <w:szCs w:val="22"/>
        </w:rPr>
        <w:t>5</w:t>
      </w:r>
      <w:r w:rsidRPr="00EB3208">
        <w:rPr>
          <w:rFonts w:ascii="Arial" w:hAnsi="Arial" w:cs="Arial"/>
          <w:sz w:val="22"/>
          <w:szCs w:val="22"/>
        </w:rPr>
        <w:t>%) said that they changed their employment service in response to local skills and labour market shortages in the last year. Many did so by building wider partnerships and networks to strengthen links with local employers (</w:t>
      </w:r>
      <w:r w:rsidR="00D7605C" w:rsidRPr="00EB3208">
        <w:rPr>
          <w:rFonts w:ascii="Arial" w:hAnsi="Arial" w:cs="Arial"/>
          <w:sz w:val="22"/>
          <w:szCs w:val="22"/>
        </w:rPr>
        <w:t>93</w:t>
      </w:r>
      <w:r w:rsidRPr="00EB3208">
        <w:rPr>
          <w:rFonts w:ascii="Arial" w:hAnsi="Arial" w:cs="Arial"/>
          <w:sz w:val="22"/>
          <w:szCs w:val="22"/>
        </w:rPr>
        <w:t>%), working with employers to fill vacancies in growing/resilient sectors (8</w:t>
      </w:r>
      <w:r w:rsidR="00D7605C" w:rsidRPr="00EB3208">
        <w:rPr>
          <w:rFonts w:ascii="Arial" w:hAnsi="Arial" w:cs="Arial"/>
          <w:sz w:val="22"/>
          <w:szCs w:val="22"/>
        </w:rPr>
        <w:t>2</w:t>
      </w:r>
      <w:r w:rsidRPr="00EB3208">
        <w:rPr>
          <w:rFonts w:ascii="Arial" w:hAnsi="Arial" w:cs="Arial"/>
          <w:sz w:val="22"/>
          <w:szCs w:val="22"/>
        </w:rPr>
        <w:t>%) and adjusting careers advice and guidance to connect people with in-demand jobs (</w:t>
      </w:r>
      <w:r w:rsidR="00D7605C" w:rsidRPr="00EB3208">
        <w:rPr>
          <w:rFonts w:ascii="Arial" w:hAnsi="Arial" w:cs="Arial"/>
          <w:sz w:val="22"/>
          <w:szCs w:val="22"/>
        </w:rPr>
        <w:t>71</w:t>
      </w:r>
      <w:r w:rsidRPr="00EB3208">
        <w:rPr>
          <w:rFonts w:ascii="Arial" w:hAnsi="Arial" w:cs="Arial"/>
          <w:sz w:val="22"/>
          <w:szCs w:val="22"/>
        </w:rPr>
        <w:t>%).</w:t>
      </w:r>
    </w:p>
    <w:p w14:paraId="02DD901A" w14:textId="77777777" w:rsidR="006131CF" w:rsidRPr="00EB3208" w:rsidRDefault="006131CF" w:rsidP="006131CF">
      <w:pPr>
        <w:pStyle w:val="NormalWeb"/>
        <w:spacing w:before="0" w:beforeAutospacing="0" w:after="0" w:afterAutospacing="0"/>
        <w:rPr>
          <w:rFonts w:ascii="Arial" w:hAnsi="Arial" w:cs="Arial"/>
          <w:sz w:val="22"/>
          <w:szCs w:val="22"/>
        </w:rPr>
      </w:pPr>
      <w:r w:rsidRPr="00EB3208">
        <w:rPr>
          <w:rFonts w:ascii="Arial" w:hAnsi="Arial" w:cs="Arial"/>
          <w:sz w:val="22"/>
          <w:szCs w:val="22"/>
        </w:rPr>
        <w:t> </w:t>
      </w:r>
    </w:p>
    <w:p w14:paraId="08EDE1BB" w14:textId="44D093A8" w:rsidR="006131CF" w:rsidRDefault="006131CF" w:rsidP="006131CF">
      <w:pPr>
        <w:pStyle w:val="NormalWeb"/>
        <w:spacing w:before="0" w:beforeAutospacing="0" w:after="160" w:afterAutospacing="0"/>
        <w:rPr>
          <w:rFonts w:ascii="Arial" w:hAnsi="Arial" w:cs="Arial"/>
          <w:sz w:val="22"/>
          <w:szCs w:val="22"/>
        </w:rPr>
      </w:pPr>
      <w:r w:rsidRPr="00EB3208">
        <w:rPr>
          <w:rFonts w:ascii="Arial" w:hAnsi="Arial" w:cs="Arial"/>
          <w:sz w:val="22"/>
          <w:szCs w:val="22"/>
        </w:rPr>
        <w:t xml:space="preserve">Most London boroughs also continue to engage with the government’s Plan for Jobs </w:t>
      </w:r>
      <w:r w:rsidR="00B337FD">
        <w:rPr>
          <w:rFonts w:ascii="Arial" w:hAnsi="Arial" w:cs="Arial"/>
          <w:sz w:val="22"/>
          <w:szCs w:val="22"/>
        </w:rPr>
        <w:t>and other government support</w:t>
      </w:r>
      <w:r w:rsidRPr="00EB3208">
        <w:rPr>
          <w:rFonts w:ascii="Arial" w:hAnsi="Arial" w:cs="Arial"/>
          <w:sz w:val="22"/>
          <w:szCs w:val="22"/>
        </w:rPr>
        <w:t xml:space="preserve">. The most common elements of the Plan adopted by boroughs </w:t>
      </w:r>
      <w:r w:rsidRPr="00EB3208">
        <w:rPr>
          <w:rFonts w:ascii="Arial" w:hAnsi="Arial" w:cs="Arial"/>
          <w:sz w:val="22"/>
          <w:szCs w:val="22"/>
        </w:rPr>
        <w:lastRenderedPageBreak/>
        <w:t xml:space="preserve">included </w:t>
      </w:r>
      <w:r w:rsidR="00D7605C" w:rsidRPr="00EB3208">
        <w:rPr>
          <w:rFonts w:ascii="Arial" w:hAnsi="Arial" w:cs="Arial"/>
          <w:sz w:val="22"/>
          <w:szCs w:val="22"/>
        </w:rPr>
        <w:t>Multiply</w:t>
      </w:r>
      <w:r w:rsidRPr="00EB3208">
        <w:rPr>
          <w:rFonts w:ascii="Arial" w:hAnsi="Arial" w:cs="Arial"/>
          <w:sz w:val="22"/>
          <w:szCs w:val="22"/>
        </w:rPr>
        <w:t xml:space="preserve"> (</w:t>
      </w:r>
      <w:r w:rsidR="00D7605C" w:rsidRPr="00EB3208">
        <w:rPr>
          <w:rFonts w:ascii="Arial" w:hAnsi="Arial" w:cs="Arial"/>
          <w:sz w:val="22"/>
          <w:szCs w:val="22"/>
        </w:rPr>
        <w:t>67</w:t>
      </w:r>
      <w:r w:rsidRPr="00EB3208">
        <w:rPr>
          <w:rFonts w:ascii="Arial" w:hAnsi="Arial" w:cs="Arial"/>
          <w:sz w:val="22"/>
          <w:szCs w:val="22"/>
        </w:rPr>
        <w:t>%), Sector Based Work Academies (</w:t>
      </w:r>
      <w:r w:rsidR="00D7605C" w:rsidRPr="00EB3208">
        <w:rPr>
          <w:rFonts w:ascii="Arial" w:hAnsi="Arial" w:cs="Arial"/>
          <w:sz w:val="22"/>
          <w:szCs w:val="22"/>
        </w:rPr>
        <w:t>67</w:t>
      </w:r>
      <w:r w:rsidRPr="00EB3208">
        <w:rPr>
          <w:rFonts w:ascii="Arial" w:hAnsi="Arial" w:cs="Arial"/>
          <w:sz w:val="22"/>
          <w:szCs w:val="22"/>
        </w:rPr>
        <w:t>%), apprenticeships support (</w:t>
      </w:r>
      <w:r w:rsidR="00D7605C" w:rsidRPr="00EB3208">
        <w:rPr>
          <w:rFonts w:ascii="Arial" w:hAnsi="Arial" w:cs="Arial"/>
          <w:sz w:val="22"/>
          <w:szCs w:val="22"/>
        </w:rPr>
        <w:t>57</w:t>
      </w:r>
      <w:r w:rsidRPr="00EB3208">
        <w:rPr>
          <w:rFonts w:ascii="Arial" w:hAnsi="Arial" w:cs="Arial"/>
          <w:sz w:val="22"/>
          <w:szCs w:val="22"/>
        </w:rPr>
        <w:t xml:space="preserve">%), </w:t>
      </w:r>
      <w:r w:rsidR="00D7605C" w:rsidRPr="00EB3208">
        <w:rPr>
          <w:rFonts w:ascii="Arial" w:hAnsi="Arial" w:cs="Arial"/>
          <w:sz w:val="22"/>
          <w:szCs w:val="22"/>
        </w:rPr>
        <w:t xml:space="preserve">Restart (43%) and </w:t>
      </w:r>
      <w:r w:rsidRPr="00EB3208">
        <w:rPr>
          <w:rFonts w:ascii="Arial" w:hAnsi="Arial" w:cs="Arial"/>
          <w:sz w:val="22"/>
          <w:szCs w:val="22"/>
        </w:rPr>
        <w:t>Youth Hubs (</w:t>
      </w:r>
      <w:r w:rsidR="00D7605C" w:rsidRPr="00EB3208">
        <w:rPr>
          <w:rFonts w:ascii="Arial" w:hAnsi="Arial" w:cs="Arial"/>
          <w:sz w:val="22"/>
          <w:szCs w:val="22"/>
        </w:rPr>
        <w:t>43</w:t>
      </w:r>
      <w:r w:rsidRPr="00EB3208">
        <w:rPr>
          <w:rFonts w:ascii="Arial" w:hAnsi="Arial" w:cs="Arial"/>
          <w:sz w:val="22"/>
          <w:szCs w:val="22"/>
        </w:rPr>
        <w:t>%)</w:t>
      </w:r>
      <w:r w:rsidR="00D7605C" w:rsidRPr="00EB3208">
        <w:rPr>
          <w:rFonts w:ascii="Arial" w:hAnsi="Arial" w:cs="Arial"/>
          <w:sz w:val="22"/>
          <w:szCs w:val="22"/>
        </w:rPr>
        <w:t xml:space="preserve">. </w:t>
      </w:r>
    </w:p>
    <w:p w14:paraId="10BD7691" w14:textId="77777777" w:rsidR="007262B5" w:rsidRPr="00EB3208" w:rsidRDefault="007262B5" w:rsidP="006131CF">
      <w:pPr>
        <w:pStyle w:val="NormalWeb"/>
        <w:spacing w:before="0" w:beforeAutospacing="0" w:after="160" w:afterAutospacing="0"/>
        <w:rPr>
          <w:rFonts w:ascii="Arial" w:hAnsi="Arial" w:cs="Arial"/>
          <w:sz w:val="22"/>
          <w:szCs w:val="22"/>
        </w:rPr>
      </w:pPr>
    </w:p>
    <w:p w14:paraId="28F983D3" w14:textId="77777777" w:rsidR="006131CF" w:rsidRPr="00EB3208" w:rsidRDefault="006131CF" w:rsidP="006131CF">
      <w:pPr>
        <w:pStyle w:val="NormalWeb"/>
        <w:spacing w:before="0" w:beforeAutospacing="0" w:after="160" w:afterAutospacing="0"/>
        <w:rPr>
          <w:rFonts w:ascii="Arial" w:hAnsi="Arial" w:cs="Arial"/>
          <w:sz w:val="22"/>
          <w:szCs w:val="22"/>
        </w:rPr>
      </w:pPr>
      <w:r w:rsidRPr="00EB3208">
        <w:rPr>
          <w:rFonts w:ascii="Arial" w:hAnsi="Arial" w:cs="Arial"/>
          <w:b/>
          <w:bCs/>
          <w:i/>
          <w:iCs/>
          <w:sz w:val="22"/>
          <w:szCs w:val="22"/>
        </w:rPr>
        <w:t>No Wrong Door, good work and top priority services</w:t>
      </w:r>
    </w:p>
    <w:p w14:paraId="65DE1836" w14:textId="02363E42" w:rsidR="00626B55" w:rsidRDefault="00E87C72" w:rsidP="006131CF">
      <w:pPr>
        <w:pStyle w:val="NormalWeb"/>
        <w:spacing w:before="0" w:beforeAutospacing="0" w:after="160" w:afterAutospacing="0"/>
        <w:rPr>
          <w:rFonts w:ascii="Arial" w:hAnsi="Arial" w:cs="Arial"/>
          <w:sz w:val="22"/>
          <w:szCs w:val="22"/>
        </w:rPr>
      </w:pPr>
      <w:r w:rsidRPr="00E87C72">
        <w:rPr>
          <w:rFonts w:ascii="Arial" w:hAnsi="Arial" w:cs="Arial"/>
          <w:sz w:val="22"/>
          <w:szCs w:val="22"/>
        </w:rPr>
        <w:t>London Councils and the GLA’s ‘No Wrong Door’ programme tackles</w:t>
      </w:r>
      <w:r w:rsidR="00626B55">
        <w:rPr>
          <w:rFonts w:ascii="Arial" w:hAnsi="Arial" w:cs="Arial"/>
          <w:sz w:val="22"/>
          <w:szCs w:val="22"/>
        </w:rPr>
        <w:t xml:space="preserve"> the fragmentation of</w:t>
      </w:r>
      <w:r w:rsidRPr="00E87C72">
        <w:rPr>
          <w:rFonts w:ascii="Arial" w:hAnsi="Arial" w:cs="Arial"/>
          <w:sz w:val="22"/>
          <w:szCs w:val="22"/>
        </w:rPr>
        <w:t xml:space="preserve"> employment and skills provision in London. There </w:t>
      </w:r>
      <w:r w:rsidR="00626B55">
        <w:rPr>
          <w:rFonts w:ascii="Arial" w:hAnsi="Arial" w:cs="Arial"/>
          <w:sz w:val="22"/>
          <w:szCs w:val="22"/>
        </w:rPr>
        <w:t>are</w:t>
      </w:r>
      <w:r w:rsidRPr="00E87C72">
        <w:rPr>
          <w:rFonts w:ascii="Arial" w:hAnsi="Arial" w:cs="Arial"/>
          <w:sz w:val="22"/>
          <w:szCs w:val="22"/>
        </w:rPr>
        <w:t xml:space="preserve"> currently a lot of employment programmes delivered not only by JCP/DWP, but also by SRPs and the boroughs. </w:t>
      </w:r>
      <w:r w:rsidR="00626B55">
        <w:rPr>
          <w:rFonts w:ascii="Arial" w:hAnsi="Arial" w:cs="Arial"/>
          <w:sz w:val="22"/>
          <w:szCs w:val="22"/>
        </w:rPr>
        <w:t>Due to fragmentation of this provision,</w:t>
      </w:r>
      <w:r w:rsidRPr="00E87C72">
        <w:rPr>
          <w:rFonts w:ascii="Arial" w:hAnsi="Arial" w:cs="Arial"/>
          <w:sz w:val="22"/>
          <w:szCs w:val="22"/>
        </w:rPr>
        <w:t xml:space="preserve"> it’s difficult for Londoners to access the right provision at the right time.</w:t>
      </w:r>
      <w:r w:rsidR="00626B55">
        <w:rPr>
          <w:rFonts w:ascii="Arial" w:hAnsi="Arial" w:cs="Arial"/>
          <w:sz w:val="22"/>
          <w:szCs w:val="22"/>
        </w:rPr>
        <w:t xml:space="preserve"> The ‘No Wrong Door’ approach attempts to remedy this problem by joining up provision so that there is no wrong door in</w:t>
      </w:r>
      <w:r w:rsidR="001B08E6">
        <w:rPr>
          <w:rFonts w:ascii="Arial" w:hAnsi="Arial" w:cs="Arial"/>
          <w:sz w:val="22"/>
          <w:szCs w:val="22"/>
        </w:rPr>
        <w:t>to good work for anyone.</w:t>
      </w:r>
    </w:p>
    <w:p w14:paraId="07430BAA" w14:textId="26932D68" w:rsidR="006131CF" w:rsidRPr="00EB3208" w:rsidRDefault="00626B55" w:rsidP="006131CF">
      <w:pPr>
        <w:pStyle w:val="NormalWeb"/>
        <w:spacing w:before="0" w:beforeAutospacing="0" w:after="160" w:afterAutospacing="0"/>
        <w:rPr>
          <w:rFonts w:ascii="Arial" w:hAnsi="Arial" w:cs="Arial"/>
          <w:sz w:val="22"/>
          <w:szCs w:val="22"/>
        </w:rPr>
      </w:pPr>
      <w:r w:rsidRPr="00EB3208">
        <w:rPr>
          <w:rFonts w:ascii="Arial" w:hAnsi="Arial" w:cs="Arial"/>
          <w:sz w:val="22"/>
          <w:szCs w:val="22"/>
        </w:rPr>
        <w:t xml:space="preserve">All London boroughs (100%) have been involved locally or sub-regionally in developing a ‘No Wrong Door’ approach. </w:t>
      </w:r>
      <w:r w:rsidR="006131CF" w:rsidRPr="00EB3208">
        <w:rPr>
          <w:rFonts w:ascii="Arial" w:hAnsi="Arial" w:cs="Arial"/>
          <w:sz w:val="22"/>
          <w:szCs w:val="22"/>
        </w:rPr>
        <w:t xml:space="preserve">Examples include </w:t>
      </w:r>
      <w:r w:rsidR="00B337FD">
        <w:rPr>
          <w:rFonts w:ascii="Arial" w:hAnsi="Arial" w:cs="Arial"/>
          <w:sz w:val="22"/>
          <w:szCs w:val="22"/>
        </w:rPr>
        <w:t>p</w:t>
      </w:r>
      <w:r w:rsidR="00D7605C" w:rsidRPr="00EB3208">
        <w:rPr>
          <w:rFonts w:ascii="Arial" w:hAnsi="Arial" w:cs="Arial"/>
          <w:sz w:val="22"/>
          <w:szCs w:val="22"/>
        </w:rPr>
        <w:t xml:space="preserve">articipating in networks of other employment practitioners (91%), </w:t>
      </w:r>
      <w:r w:rsidR="006131CF" w:rsidRPr="00EB3208">
        <w:rPr>
          <w:rFonts w:ascii="Arial" w:hAnsi="Arial" w:cs="Arial"/>
          <w:sz w:val="22"/>
          <w:szCs w:val="22"/>
        </w:rPr>
        <w:t>closer interaction with adult learning providers and employers (</w:t>
      </w:r>
      <w:r w:rsidR="00D7605C" w:rsidRPr="00EB3208">
        <w:rPr>
          <w:rFonts w:ascii="Arial" w:hAnsi="Arial" w:cs="Arial"/>
          <w:sz w:val="22"/>
          <w:szCs w:val="22"/>
        </w:rPr>
        <w:t>85</w:t>
      </w:r>
      <w:r w:rsidR="006131CF" w:rsidRPr="00EB3208">
        <w:rPr>
          <w:rFonts w:ascii="Arial" w:hAnsi="Arial" w:cs="Arial"/>
          <w:sz w:val="22"/>
          <w:szCs w:val="22"/>
        </w:rPr>
        <w:t xml:space="preserve">%), </w:t>
      </w:r>
      <w:r w:rsidR="00B337FD">
        <w:rPr>
          <w:rFonts w:ascii="Arial" w:hAnsi="Arial" w:cs="Arial"/>
          <w:sz w:val="22"/>
          <w:szCs w:val="22"/>
        </w:rPr>
        <w:t>m</w:t>
      </w:r>
      <w:r w:rsidR="00D7605C" w:rsidRPr="00EB3208">
        <w:rPr>
          <w:rFonts w:ascii="Arial" w:hAnsi="Arial" w:cs="Arial"/>
          <w:sz w:val="22"/>
          <w:szCs w:val="22"/>
        </w:rPr>
        <w:t>apping customer journeys to improve access to services (58%)</w:t>
      </w:r>
      <w:r w:rsidR="005D4FFA">
        <w:rPr>
          <w:rFonts w:ascii="Arial" w:hAnsi="Arial" w:cs="Arial"/>
          <w:sz w:val="22"/>
          <w:szCs w:val="22"/>
        </w:rPr>
        <w:t xml:space="preserve">, </w:t>
      </w:r>
      <w:r w:rsidR="00D7605C" w:rsidRPr="00EB3208">
        <w:rPr>
          <w:rFonts w:ascii="Arial" w:hAnsi="Arial" w:cs="Arial"/>
          <w:sz w:val="22"/>
          <w:szCs w:val="22"/>
        </w:rPr>
        <w:t xml:space="preserve">and developing a </w:t>
      </w:r>
      <w:r w:rsidR="006131CF" w:rsidRPr="00EB3208">
        <w:rPr>
          <w:rFonts w:ascii="Arial" w:hAnsi="Arial" w:cs="Arial"/>
          <w:sz w:val="22"/>
          <w:szCs w:val="22"/>
        </w:rPr>
        <w:t>digital platform to guide people to the right services (5</w:t>
      </w:r>
      <w:r w:rsidR="00D7605C" w:rsidRPr="00EB3208">
        <w:rPr>
          <w:rFonts w:ascii="Arial" w:hAnsi="Arial" w:cs="Arial"/>
          <w:sz w:val="22"/>
          <w:szCs w:val="22"/>
        </w:rPr>
        <w:t>8</w:t>
      </w:r>
      <w:r w:rsidR="006131CF" w:rsidRPr="00EB3208">
        <w:rPr>
          <w:rFonts w:ascii="Arial" w:hAnsi="Arial" w:cs="Arial"/>
          <w:sz w:val="22"/>
          <w:szCs w:val="22"/>
        </w:rPr>
        <w:t>%)</w:t>
      </w:r>
      <w:r w:rsidR="00D7605C" w:rsidRPr="00EB3208">
        <w:rPr>
          <w:rFonts w:ascii="Arial" w:hAnsi="Arial" w:cs="Arial"/>
          <w:sz w:val="22"/>
          <w:szCs w:val="22"/>
        </w:rPr>
        <w:t xml:space="preserve">. </w:t>
      </w:r>
      <w:r w:rsidR="006131CF" w:rsidRPr="00EB3208">
        <w:rPr>
          <w:rFonts w:ascii="Arial" w:hAnsi="Arial" w:cs="Arial"/>
          <w:sz w:val="22"/>
          <w:szCs w:val="22"/>
        </w:rPr>
        <w:t>This suggests that work to expand the ‘</w:t>
      </w:r>
      <w:r w:rsidR="00BD694C" w:rsidRPr="00EB3208">
        <w:rPr>
          <w:rFonts w:ascii="Arial" w:hAnsi="Arial" w:cs="Arial"/>
          <w:sz w:val="22"/>
          <w:szCs w:val="22"/>
        </w:rPr>
        <w:t>N</w:t>
      </w:r>
      <w:r w:rsidR="006131CF" w:rsidRPr="00EB3208">
        <w:rPr>
          <w:rFonts w:ascii="Arial" w:hAnsi="Arial" w:cs="Arial"/>
          <w:sz w:val="22"/>
          <w:szCs w:val="22"/>
        </w:rPr>
        <w:t xml:space="preserve">o </w:t>
      </w:r>
      <w:r w:rsidR="00BD694C" w:rsidRPr="00EB3208">
        <w:rPr>
          <w:rFonts w:ascii="Arial" w:hAnsi="Arial" w:cs="Arial"/>
          <w:sz w:val="22"/>
          <w:szCs w:val="22"/>
        </w:rPr>
        <w:t>W</w:t>
      </w:r>
      <w:r w:rsidR="006131CF" w:rsidRPr="00EB3208">
        <w:rPr>
          <w:rFonts w:ascii="Arial" w:hAnsi="Arial" w:cs="Arial"/>
          <w:sz w:val="22"/>
          <w:szCs w:val="22"/>
        </w:rPr>
        <w:t xml:space="preserve">rong </w:t>
      </w:r>
      <w:r w:rsidR="00BD694C" w:rsidRPr="00EB3208">
        <w:rPr>
          <w:rFonts w:ascii="Arial" w:hAnsi="Arial" w:cs="Arial"/>
          <w:sz w:val="22"/>
          <w:szCs w:val="22"/>
        </w:rPr>
        <w:t>D</w:t>
      </w:r>
      <w:r w:rsidR="006131CF" w:rsidRPr="00EB3208">
        <w:rPr>
          <w:rFonts w:ascii="Arial" w:hAnsi="Arial" w:cs="Arial"/>
          <w:sz w:val="22"/>
          <w:szCs w:val="22"/>
        </w:rPr>
        <w:t xml:space="preserve">oor’ approach across London </w:t>
      </w:r>
      <w:r w:rsidR="00B337FD">
        <w:rPr>
          <w:rFonts w:ascii="Arial" w:hAnsi="Arial" w:cs="Arial"/>
          <w:sz w:val="22"/>
          <w:szCs w:val="22"/>
        </w:rPr>
        <w:t xml:space="preserve">is </w:t>
      </w:r>
      <w:r w:rsidR="006131CF" w:rsidRPr="00EB3208">
        <w:rPr>
          <w:rFonts w:ascii="Arial" w:hAnsi="Arial" w:cs="Arial"/>
          <w:sz w:val="22"/>
          <w:szCs w:val="22"/>
        </w:rPr>
        <w:t>build</w:t>
      </w:r>
      <w:r w:rsidR="00B337FD">
        <w:rPr>
          <w:rFonts w:ascii="Arial" w:hAnsi="Arial" w:cs="Arial"/>
          <w:sz w:val="22"/>
          <w:szCs w:val="22"/>
        </w:rPr>
        <w:t>ing</w:t>
      </w:r>
      <w:r w:rsidR="006131CF" w:rsidRPr="00EB3208">
        <w:rPr>
          <w:rFonts w:ascii="Arial" w:hAnsi="Arial" w:cs="Arial"/>
          <w:sz w:val="22"/>
          <w:szCs w:val="22"/>
        </w:rPr>
        <w:t xml:space="preserve"> on existing local activity.</w:t>
      </w:r>
    </w:p>
    <w:p w14:paraId="32233111" w14:textId="39510F89" w:rsidR="006131CF" w:rsidRPr="00EB3208" w:rsidRDefault="006131CF" w:rsidP="006131CF">
      <w:pPr>
        <w:pStyle w:val="NormalWeb"/>
        <w:spacing w:before="0" w:beforeAutospacing="0" w:after="160" w:afterAutospacing="0"/>
        <w:rPr>
          <w:rFonts w:ascii="Arial" w:hAnsi="Arial" w:cs="Arial"/>
          <w:sz w:val="22"/>
          <w:szCs w:val="22"/>
        </w:rPr>
      </w:pPr>
      <w:r w:rsidRPr="00EB3208">
        <w:rPr>
          <w:rFonts w:ascii="Arial" w:hAnsi="Arial" w:cs="Arial"/>
          <w:sz w:val="22"/>
          <w:szCs w:val="22"/>
        </w:rPr>
        <w:t>Most boroughs (</w:t>
      </w:r>
      <w:r w:rsidR="00D7605C" w:rsidRPr="00EB3208">
        <w:rPr>
          <w:rFonts w:ascii="Arial" w:hAnsi="Arial" w:cs="Arial"/>
          <w:sz w:val="22"/>
          <w:szCs w:val="22"/>
        </w:rPr>
        <w:t>97</w:t>
      </w:r>
      <w:r w:rsidRPr="00EB3208">
        <w:rPr>
          <w:rFonts w:ascii="Arial" w:hAnsi="Arial" w:cs="Arial"/>
          <w:sz w:val="22"/>
          <w:szCs w:val="22"/>
        </w:rPr>
        <w:t>%) also adopted measures to promote good quality working practices at a local level</w:t>
      </w:r>
      <w:r w:rsidR="005D4FFA">
        <w:rPr>
          <w:rFonts w:ascii="Arial" w:hAnsi="Arial" w:cs="Arial"/>
          <w:sz w:val="22"/>
          <w:szCs w:val="22"/>
        </w:rPr>
        <w:t xml:space="preserve">, such as </w:t>
      </w:r>
      <w:r w:rsidRPr="00EB3208">
        <w:rPr>
          <w:rFonts w:ascii="Arial" w:hAnsi="Arial" w:cs="Arial"/>
          <w:sz w:val="22"/>
          <w:szCs w:val="22"/>
        </w:rPr>
        <w:t>promoting the London Living Wage (</w:t>
      </w:r>
      <w:r w:rsidR="00EB3208" w:rsidRPr="00EB3208">
        <w:rPr>
          <w:rFonts w:ascii="Arial" w:hAnsi="Arial" w:cs="Arial"/>
          <w:sz w:val="22"/>
          <w:szCs w:val="22"/>
        </w:rPr>
        <w:t>100%</w:t>
      </w:r>
      <w:r w:rsidRPr="00EB3208">
        <w:rPr>
          <w:rFonts w:ascii="Arial" w:hAnsi="Arial" w:cs="Arial"/>
          <w:sz w:val="22"/>
          <w:szCs w:val="22"/>
        </w:rPr>
        <w:t xml:space="preserve">), </w:t>
      </w:r>
      <w:r w:rsidR="00EB3208" w:rsidRPr="00EB3208">
        <w:rPr>
          <w:rFonts w:ascii="Arial" w:hAnsi="Arial" w:cs="Arial"/>
          <w:sz w:val="22"/>
          <w:szCs w:val="22"/>
        </w:rPr>
        <w:t xml:space="preserve">via their employment services (72%), </w:t>
      </w:r>
      <w:r w:rsidRPr="00EB3208">
        <w:rPr>
          <w:rFonts w:ascii="Arial" w:hAnsi="Arial" w:cs="Arial"/>
          <w:sz w:val="22"/>
          <w:szCs w:val="22"/>
        </w:rPr>
        <w:t>promoting the Mayor's Good Work Standard (</w:t>
      </w:r>
      <w:r w:rsidR="00EB3208" w:rsidRPr="00EB3208">
        <w:rPr>
          <w:rFonts w:ascii="Arial" w:hAnsi="Arial" w:cs="Arial"/>
          <w:sz w:val="22"/>
          <w:szCs w:val="22"/>
        </w:rPr>
        <w:t>69</w:t>
      </w:r>
      <w:r w:rsidRPr="00EB3208">
        <w:rPr>
          <w:rFonts w:ascii="Arial" w:hAnsi="Arial" w:cs="Arial"/>
          <w:sz w:val="22"/>
          <w:szCs w:val="22"/>
        </w:rPr>
        <w:t>%)</w:t>
      </w:r>
      <w:r w:rsidR="005D4FFA">
        <w:rPr>
          <w:rFonts w:ascii="Arial" w:hAnsi="Arial" w:cs="Arial"/>
          <w:sz w:val="22"/>
          <w:szCs w:val="22"/>
        </w:rPr>
        <w:t>,</w:t>
      </w:r>
      <w:r w:rsidRPr="00EB3208">
        <w:rPr>
          <w:rFonts w:ascii="Arial" w:hAnsi="Arial" w:cs="Arial"/>
          <w:sz w:val="22"/>
          <w:szCs w:val="22"/>
        </w:rPr>
        <w:t xml:space="preserve"> and using the borough's procurement policy to promote good work (</w:t>
      </w:r>
      <w:r w:rsidR="00EB3208" w:rsidRPr="00EB3208">
        <w:rPr>
          <w:rFonts w:ascii="Arial" w:hAnsi="Arial" w:cs="Arial"/>
          <w:sz w:val="22"/>
          <w:szCs w:val="22"/>
        </w:rPr>
        <w:t>69</w:t>
      </w:r>
      <w:r w:rsidRPr="00EB3208">
        <w:rPr>
          <w:rFonts w:ascii="Arial" w:hAnsi="Arial" w:cs="Arial"/>
          <w:sz w:val="22"/>
          <w:szCs w:val="22"/>
        </w:rPr>
        <w:t xml:space="preserve">%). </w:t>
      </w:r>
    </w:p>
    <w:p w14:paraId="0B1E3321" w14:textId="56DE1C2F" w:rsidR="006131CF" w:rsidRPr="00EB3208" w:rsidRDefault="00EB3208" w:rsidP="006131CF">
      <w:pPr>
        <w:pStyle w:val="NormalWeb"/>
        <w:spacing w:before="0" w:beforeAutospacing="0" w:after="160" w:afterAutospacing="0"/>
        <w:rPr>
          <w:rFonts w:ascii="Arial" w:hAnsi="Arial" w:cs="Arial"/>
          <w:sz w:val="22"/>
          <w:szCs w:val="22"/>
        </w:rPr>
      </w:pPr>
      <w:r w:rsidRPr="00EB3208">
        <w:rPr>
          <w:rFonts w:ascii="Arial" w:hAnsi="Arial" w:cs="Arial"/>
          <w:sz w:val="22"/>
          <w:szCs w:val="22"/>
        </w:rPr>
        <w:t xml:space="preserve">All </w:t>
      </w:r>
      <w:r w:rsidR="006131CF" w:rsidRPr="00EB3208">
        <w:rPr>
          <w:rFonts w:ascii="Arial" w:hAnsi="Arial" w:cs="Arial"/>
          <w:sz w:val="22"/>
          <w:szCs w:val="22"/>
        </w:rPr>
        <w:t>(</w:t>
      </w:r>
      <w:r w:rsidRPr="00EB3208">
        <w:rPr>
          <w:rFonts w:ascii="Arial" w:hAnsi="Arial" w:cs="Arial"/>
          <w:sz w:val="22"/>
          <w:szCs w:val="22"/>
        </w:rPr>
        <w:t>100</w:t>
      </w:r>
      <w:r w:rsidR="006131CF" w:rsidRPr="00EB3208">
        <w:rPr>
          <w:rFonts w:ascii="Arial" w:hAnsi="Arial" w:cs="Arial"/>
          <w:sz w:val="22"/>
          <w:szCs w:val="22"/>
        </w:rPr>
        <w:t xml:space="preserve">%) of the boroughs </w:t>
      </w:r>
      <w:r w:rsidRPr="00EB3208">
        <w:rPr>
          <w:rFonts w:ascii="Arial" w:hAnsi="Arial" w:cs="Arial"/>
          <w:sz w:val="22"/>
          <w:szCs w:val="22"/>
        </w:rPr>
        <w:t>with an employment service</w:t>
      </w:r>
      <w:r w:rsidR="006131CF" w:rsidRPr="00EB3208">
        <w:rPr>
          <w:rFonts w:ascii="Arial" w:hAnsi="Arial" w:cs="Arial"/>
          <w:sz w:val="22"/>
          <w:szCs w:val="22"/>
        </w:rPr>
        <w:t xml:space="preserve"> said that their Adult and Community Learning Service (ACL) is linked, </w:t>
      </w:r>
      <w:r w:rsidRPr="00EB3208">
        <w:rPr>
          <w:rFonts w:ascii="Arial" w:hAnsi="Arial" w:cs="Arial"/>
          <w:sz w:val="22"/>
          <w:szCs w:val="22"/>
        </w:rPr>
        <w:t xml:space="preserve">and </w:t>
      </w:r>
      <w:r w:rsidR="006131CF" w:rsidRPr="00EB3208">
        <w:rPr>
          <w:rFonts w:ascii="Arial" w:hAnsi="Arial" w:cs="Arial"/>
          <w:sz w:val="22"/>
          <w:szCs w:val="22"/>
        </w:rPr>
        <w:t>two-thirds (6</w:t>
      </w:r>
      <w:r w:rsidRPr="00EB3208">
        <w:rPr>
          <w:rFonts w:ascii="Arial" w:hAnsi="Arial" w:cs="Arial"/>
          <w:sz w:val="22"/>
          <w:szCs w:val="22"/>
        </w:rPr>
        <w:t>7</w:t>
      </w:r>
      <w:r w:rsidR="006131CF" w:rsidRPr="00EB3208">
        <w:rPr>
          <w:rFonts w:ascii="Arial" w:hAnsi="Arial" w:cs="Arial"/>
          <w:sz w:val="22"/>
          <w:szCs w:val="22"/>
        </w:rPr>
        <w:t>%) said they provide skills support to residents in addition to the ACL service.</w:t>
      </w:r>
    </w:p>
    <w:p w14:paraId="209C41EF" w14:textId="36A39C2F" w:rsidR="006131CF" w:rsidRPr="00EB3208" w:rsidRDefault="006131CF" w:rsidP="006131CF">
      <w:pPr>
        <w:pStyle w:val="NormalWeb"/>
        <w:spacing w:before="0" w:beforeAutospacing="0" w:after="0" w:afterAutospacing="0"/>
        <w:rPr>
          <w:rFonts w:ascii="Arial" w:hAnsi="Arial" w:cs="Arial"/>
          <w:sz w:val="22"/>
          <w:szCs w:val="22"/>
        </w:rPr>
      </w:pPr>
      <w:r w:rsidRPr="00EB3208">
        <w:rPr>
          <w:rFonts w:ascii="Arial" w:hAnsi="Arial" w:cs="Arial"/>
          <w:sz w:val="22"/>
          <w:szCs w:val="22"/>
        </w:rPr>
        <w:t>In terms of key priorities to support residents into employment, London boroughs identified developing a 'No Wrong Door' approach to the delivery of employment and skills services</w:t>
      </w:r>
      <w:r w:rsidR="00EB3208" w:rsidRPr="00EB3208">
        <w:rPr>
          <w:rFonts w:ascii="Arial" w:hAnsi="Arial" w:cs="Arial"/>
          <w:sz w:val="22"/>
          <w:szCs w:val="22"/>
        </w:rPr>
        <w:t xml:space="preserve"> alongside health, housing, and other wraparound support</w:t>
      </w:r>
      <w:r w:rsidR="005D4FFA">
        <w:rPr>
          <w:rFonts w:ascii="Arial" w:hAnsi="Arial" w:cs="Arial"/>
          <w:sz w:val="22"/>
          <w:szCs w:val="22"/>
        </w:rPr>
        <w:t>;</w:t>
      </w:r>
      <w:r w:rsidRPr="00EB3208">
        <w:rPr>
          <w:rFonts w:ascii="Arial" w:hAnsi="Arial" w:cs="Arial"/>
          <w:sz w:val="22"/>
          <w:szCs w:val="22"/>
        </w:rPr>
        <w:t xml:space="preserve"> supporting residents into growing and priority sectors, tackling economic inactivity and labour market inequality, and encouraging employers to provide good quality working practices. </w:t>
      </w:r>
    </w:p>
    <w:p w14:paraId="0A212F45" w14:textId="009D55D2" w:rsidR="00EB3208" w:rsidRPr="00EB3208" w:rsidRDefault="00EB3208" w:rsidP="006131CF">
      <w:pPr>
        <w:pStyle w:val="NormalWeb"/>
        <w:spacing w:before="0" w:beforeAutospacing="0" w:after="0" w:afterAutospacing="0"/>
        <w:rPr>
          <w:rFonts w:ascii="Arial" w:hAnsi="Arial" w:cs="Arial"/>
          <w:sz w:val="22"/>
          <w:szCs w:val="22"/>
        </w:rPr>
      </w:pPr>
    </w:p>
    <w:p w14:paraId="1E0E4A33" w14:textId="25415A39" w:rsidR="00EB3208" w:rsidRDefault="00EB3208" w:rsidP="00EB3208">
      <w:pPr>
        <w:rPr>
          <w:rFonts w:ascii="Arial" w:hAnsi="Arial" w:cs="Arial"/>
        </w:rPr>
      </w:pPr>
      <w:r w:rsidRPr="00EB3208">
        <w:rPr>
          <w:rFonts w:ascii="Arial" w:hAnsi="Arial" w:cs="Arial"/>
        </w:rPr>
        <w:t>On working with DWP, boroughs reported good working relationships with room for improvement. Priorities included increasing transparency and communication around referrals in JCP, more opportunities for co-design and co-commissioning of programmes and more data sharing between parties.</w:t>
      </w:r>
      <w:r>
        <w:rPr>
          <w:rFonts w:ascii="Arial" w:hAnsi="Arial" w:cs="Arial"/>
        </w:rPr>
        <w:t xml:space="preserve"> </w:t>
      </w:r>
    </w:p>
    <w:p w14:paraId="2EF2007A" w14:textId="68A85D40" w:rsidR="00EB3208" w:rsidRDefault="00EB3208" w:rsidP="006131CF">
      <w:pPr>
        <w:pStyle w:val="NormalWeb"/>
        <w:spacing w:before="0" w:beforeAutospacing="0" w:after="0" w:afterAutospacing="0"/>
        <w:rPr>
          <w:rFonts w:ascii="Arial" w:hAnsi="Arial" w:cs="Arial"/>
          <w:sz w:val="22"/>
          <w:szCs w:val="22"/>
        </w:rPr>
      </w:pPr>
    </w:p>
    <w:p w14:paraId="4DAE18ED" w14:textId="504317C3" w:rsidR="002D13B2" w:rsidRPr="00BF40BC" w:rsidRDefault="004F63EE">
      <w:pPr>
        <w:rPr>
          <w:rFonts w:ascii="Arial" w:hAnsi="Arial" w:cs="Arial"/>
        </w:rPr>
      </w:pPr>
      <w:r>
        <w:rPr>
          <w:rFonts w:ascii="Arial" w:hAnsi="Arial" w:cs="Arial"/>
          <w:b/>
          <w:sz w:val="24"/>
        </w:rPr>
        <w:br w:type="page"/>
      </w:r>
      <w:r w:rsidR="002D13B2" w:rsidRPr="00153BAC">
        <w:rPr>
          <w:rFonts w:ascii="Arial" w:hAnsi="Arial" w:cs="Arial"/>
          <w:b/>
          <w:sz w:val="24"/>
        </w:rPr>
        <w:lastRenderedPageBreak/>
        <w:t>Providing an employment service</w:t>
      </w:r>
    </w:p>
    <w:p w14:paraId="6EF6C378" w14:textId="4500A4DF" w:rsidR="00F36E44" w:rsidRDefault="00BD7AB1">
      <w:pPr>
        <w:rPr>
          <w:rFonts w:ascii="Arial" w:hAnsi="Arial" w:cs="Arial"/>
        </w:rPr>
      </w:pPr>
      <w:r>
        <w:rPr>
          <w:rFonts w:ascii="Arial" w:hAnsi="Arial" w:cs="Arial"/>
        </w:rPr>
        <w:t xml:space="preserve">Four in five </w:t>
      </w:r>
      <w:r w:rsidR="00A038CF" w:rsidRPr="00211561">
        <w:rPr>
          <w:rFonts w:ascii="Arial" w:hAnsi="Arial" w:cs="Arial"/>
        </w:rPr>
        <w:t>borough respondents (</w:t>
      </w:r>
      <w:r w:rsidR="00294C0E">
        <w:rPr>
          <w:rFonts w:ascii="Arial" w:hAnsi="Arial" w:cs="Arial"/>
        </w:rPr>
        <w:t>88</w:t>
      </w:r>
      <w:r w:rsidR="00A038CF" w:rsidRPr="00211561">
        <w:rPr>
          <w:rFonts w:ascii="Arial" w:hAnsi="Arial" w:cs="Arial"/>
        </w:rPr>
        <w:t xml:space="preserve">%) provide a local employment service – a very similar proportion </w:t>
      </w:r>
      <w:r w:rsidR="00211561" w:rsidRPr="00211561">
        <w:rPr>
          <w:rFonts w:ascii="Arial" w:hAnsi="Arial" w:cs="Arial"/>
        </w:rPr>
        <w:t xml:space="preserve">to </w:t>
      </w:r>
      <w:r w:rsidR="0098799F">
        <w:rPr>
          <w:rFonts w:ascii="Arial" w:hAnsi="Arial" w:cs="Arial"/>
        </w:rPr>
        <w:t>what boroughs indicated</w:t>
      </w:r>
      <w:r w:rsidR="00E75814">
        <w:rPr>
          <w:rFonts w:ascii="Arial" w:hAnsi="Arial" w:cs="Arial"/>
        </w:rPr>
        <w:t xml:space="preserve"> in </w:t>
      </w:r>
      <w:r w:rsidR="002B67FD">
        <w:rPr>
          <w:rFonts w:ascii="Arial" w:hAnsi="Arial" w:cs="Arial"/>
        </w:rPr>
        <w:t>202</w:t>
      </w:r>
      <w:r w:rsidR="004D1F24">
        <w:rPr>
          <w:rFonts w:ascii="Arial" w:hAnsi="Arial" w:cs="Arial"/>
        </w:rPr>
        <w:t>1/22</w:t>
      </w:r>
      <w:r w:rsidR="002B67FD">
        <w:rPr>
          <w:rFonts w:ascii="Arial" w:hAnsi="Arial" w:cs="Arial"/>
        </w:rPr>
        <w:t xml:space="preserve"> (91%) and </w:t>
      </w:r>
      <w:r w:rsidR="00A6429D">
        <w:rPr>
          <w:rFonts w:ascii="Arial" w:hAnsi="Arial" w:cs="Arial"/>
        </w:rPr>
        <w:t>202</w:t>
      </w:r>
      <w:r w:rsidR="002B67FD">
        <w:rPr>
          <w:rFonts w:ascii="Arial" w:hAnsi="Arial" w:cs="Arial"/>
        </w:rPr>
        <w:t>0</w:t>
      </w:r>
      <w:r w:rsidR="004D1F24">
        <w:rPr>
          <w:rFonts w:ascii="Arial" w:hAnsi="Arial" w:cs="Arial"/>
        </w:rPr>
        <w:t>/21</w:t>
      </w:r>
      <w:r w:rsidR="00A6429D">
        <w:rPr>
          <w:rFonts w:ascii="Arial" w:hAnsi="Arial" w:cs="Arial"/>
        </w:rPr>
        <w:t xml:space="preserve"> (88%)</w:t>
      </w:r>
      <w:r w:rsidR="0098799F">
        <w:rPr>
          <w:rFonts w:ascii="Arial" w:hAnsi="Arial" w:cs="Arial"/>
        </w:rPr>
        <w:t xml:space="preserve">. </w:t>
      </w:r>
      <w:r w:rsidR="00037D03">
        <w:rPr>
          <w:rFonts w:ascii="Arial" w:hAnsi="Arial" w:cs="Arial"/>
        </w:rPr>
        <w:t xml:space="preserve">Of the </w:t>
      </w:r>
      <w:r w:rsidR="00CC420A">
        <w:rPr>
          <w:rFonts w:ascii="Arial" w:hAnsi="Arial" w:cs="Arial"/>
        </w:rPr>
        <w:t>four</w:t>
      </w:r>
      <w:r w:rsidR="00037D03">
        <w:rPr>
          <w:rFonts w:ascii="Arial" w:hAnsi="Arial" w:cs="Arial"/>
        </w:rPr>
        <w:t xml:space="preserve"> boroughs that do not provide a</w:t>
      </w:r>
      <w:r w:rsidR="00F73031">
        <w:rPr>
          <w:rFonts w:ascii="Arial" w:hAnsi="Arial" w:cs="Arial"/>
        </w:rPr>
        <w:t xml:space="preserve"> local</w:t>
      </w:r>
      <w:r w:rsidR="00037D03">
        <w:rPr>
          <w:rFonts w:ascii="Arial" w:hAnsi="Arial" w:cs="Arial"/>
        </w:rPr>
        <w:t xml:space="preserve"> employment service</w:t>
      </w:r>
      <w:r w:rsidR="005453A9">
        <w:rPr>
          <w:rStyle w:val="FootnoteReference"/>
          <w:rFonts w:ascii="Arial" w:hAnsi="Arial" w:cs="Arial"/>
        </w:rPr>
        <w:footnoteReference w:id="2"/>
      </w:r>
      <w:r w:rsidR="00037D03">
        <w:rPr>
          <w:rFonts w:ascii="Arial" w:hAnsi="Arial" w:cs="Arial"/>
        </w:rPr>
        <w:t xml:space="preserve">, </w:t>
      </w:r>
      <w:r w:rsidR="00CC420A">
        <w:rPr>
          <w:rFonts w:ascii="Arial" w:hAnsi="Arial" w:cs="Arial"/>
        </w:rPr>
        <w:t>three</w:t>
      </w:r>
      <w:r w:rsidR="00037D03">
        <w:rPr>
          <w:rFonts w:ascii="Arial" w:hAnsi="Arial" w:cs="Arial"/>
        </w:rPr>
        <w:t xml:space="preserve"> signpost to other</w:t>
      </w:r>
      <w:r w:rsidR="00F73031">
        <w:rPr>
          <w:rFonts w:ascii="Arial" w:hAnsi="Arial" w:cs="Arial"/>
        </w:rPr>
        <w:t xml:space="preserve"> employment</w:t>
      </w:r>
      <w:r w:rsidR="00037D03">
        <w:rPr>
          <w:rFonts w:ascii="Arial" w:hAnsi="Arial" w:cs="Arial"/>
        </w:rPr>
        <w:t xml:space="preserve"> services.</w:t>
      </w:r>
      <w:r w:rsidR="00FD3CDF">
        <w:rPr>
          <w:rFonts w:ascii="Arial" w:hAnsi="Arial" w:cs="Arial"/>
        </w:rPr>
        <w:t xml:space="preserve"> Of the boroughs that provide an employment servic</w:t>
      </w:r>
      <w:r>
        <w:rPr>
          <w:rFonts w:ascii="Arial" w:hAnsi="Arial" w:cs="Arial"/>
        </w:rPr>
        <w:t xml:space="preserve">e, </w:t>
      </w:r>
      <w:r w:rsidR="006749E5">
        <w:rPr>
          <w:rFonts w:ascii="Arial" w:hAnsi="Arial" w:cs="Arial"/>
        </w:rPr>
        <w:t>seven</w:t>
      </w:r>
      <w:r>
        <w:rPr>
          <w:rFonts w:ascii="Arial" w:hAnsi="Arial" w:cs="Arial"/>
        </w:rPr>
        <w:t xml:space="preserve"> in ten (</w:t>
      </w:r>
      <w:r w:rsidR="006749E5">
        <w:rPr>
          <w:rFonts w:ascii="Arial" w:hAnsi="Arial" w:cs="Arial"/>
        </w:rPr>
        <w:t>79</w:t>
      </w:r>
      <w:r>
        <w:rPr>
          <w:rFonts w:ascii="Arial" w:hAnsi="Arial" w:cs="Arial"/>
        </w:rPr>
        <w:t>%)</w:t>
      </w:r>
      <w:r w:rsidR="00391CDA">
        <w:rPr>
          <w:rFonts w:ascii="Arial" w:hAnsi="Arial" w:cs="Arial"/>
        </w:rPr>
        <w:t xml:space="preserve"> deliver it in-house – a </w:t>
      </w:r>
      <w:r>
        <w:rPr>
          <w:rFonts w:ascii="Arial" w:hAnsi="Arial" w:cs="Arial"/>
        </w:rPr>
        <w:t xml:space="preserve">higher </w:t>
      </w:r>
      <w:r w:rsidR="00391CDA">
        <w:rPr>
          <w:rFonts w:ascii="Arial" w:hAnsi="Arial" w:cs="Arial"/>
        </w:rPr>
        <w:t>proportion</w:t>
      </w:r>
      <w:r>
        <w:rPr>
          <w:rFonts w:ascii="Arial" w:hAnsi="Arial" w:cs="Arial"/>
        </w:rPr>
        <w:t xml:space="preserve"> </w:t>
      </w:r>
      <w:r w:rsidR="00391CDA">
        <w:rPr>
          <w:rFonts w:ascii="Arial" w:hAnsi="Arial" w:cs="Arial"/>
        </w:rPr>
        <w:t xml:space="preserve">than the one recorded in </w:t>
      </w:r>
      <w:r>
        <w:rPr>
          <w:rFonts w:ascii="Arial" w:hAnsi="Arial" w:cs="Arial"/>
        </w:rPr>
        <w:t>202</w:t>
      </w:r>
      <w:r w:rsidR="00850913">
        <w:rPr>
          <w:rFonts w:ascii="Arial" w:hAnsi="Arial" w:cs="Arial"/>
        </w:rPr>
        <w:t>1</w:t>
      </w:r>
      <w:r w:rsidR="00AA388F">
        <w:rPr>
          <w:rFonts w:ascii="Arial" w:hAnsi="Arial" w:cs="Arial"/>
        </w:rPr>
        <w:t>/22</w:t>
      </w:r>
      <w:r>
        <w:rPr>
          <w:rFonts w:ascii="Arial" w:hAnsi="Arial" w:cs="Arial"/>
        </w:rPr>
        <w:t xml:space="preserve"> (75%) and much higher than that recorded in </w:t>
      </w:r>
      <w:r w:rsidR="00391CDA">
        <w:rPr>
          <w:rFonts w:ascii="Arial" w:hAnsi="Arial" w:cs="Arial"/>
        </w:rPr>
        <w:t>2020</w:t>
      </w:r>
      <w:r w:rsidR="00AA388F">
        <w:rPr>
          <w:rFonts w:ascii="Arial" w:hAnsi="Arial" w:cs="Arial"/>
        </w:rPr>
        <w:t>/21</w:t>
      </w:r>
      <w:r w:rsidR="00391CDA">
        <w:rPr>
          <w:rFonts w:ascii="Arial" w:hAnsi="Arial" w:cs="Arial"/>
        </w:rPr>
        <w:t xml:space="preserve"> (54</w:t>
      </w:r>
      <w:r>
        <w:rPr>
          <w:rFonts w:ascii="Arial" w:hAnsi="Arial" w:cs="Arial"/>
        </w:rPr>
        <w:t>%).</w:t>
      </w:r>
      <w:r w:rsidR="00887342">
        <w:rPr>
          <w:rFonts w:ascii="Arial" w:hAnsi="Arial" w:cs="Arial"/>
        </w:rPr>
        <w:t xml:space="preserve">This shows that borough services </w:t>
      </w:r>
      <w:r w:rsidR="006C44CA">
        <w:rPr>
          <w:rFonts w:ascii="Arial" w:hAnsi="Arial" w:cs="Arial"/>
        </w:rPr>
        <w:t xml:space="preserve">in London </w:t>
      </w:r>
      <w:r>
        <w:rPr>
          <w:rFonts w:ascii="Arial" w:hAnsi="Arial" w:cs="Arial"/>
        </w:rPr>
        <w:t>continue to recover and that there is a renewed focus on employment in the past year.</w:t>
      </w:r>
      <w:r w:rsidR="006C44CA">
        <w:rPr>
          <w:rFonts w:ascii="Arial" w:hAnsi="Arial" w:cs="Arial"/>
        </w:rPr>
        <w:t xml:space="preserve"> </w:t>
      </w:r>
    </w:p>
    <w:p w14:paraId="1D846BD1" w14:textId="7CE3133B" w:rsidR="00A93A5D" w:rsidRDefault="000A2150">
      <w:pPr>
        <w:rPr>
          <w:rFonts w:ascii="Arial" w:hAnsi="Arial" w:cs="Arial"/>
        </w:rPr>
      </w:pPr>
      <w:r>
        <w:rPr>
          <w:rFonts w:ascii="Arial" w:hAnsi="Arial" w:cs="Arial"/>
        </w:rPr>
        <w:t xml:space="preserve">Under one in ten </w:t>
      </w:r>
      <w:r w:rsidR="00E56A05">
        <w:rPr>
          <w:rFonts w:ascii="Arial" w:hAnsi="Arial" w:cs="Arial"/>
        </w:rPr>
        <w:t xml:space="preserve">boroughs </w:t>
      </w:r>
      <w:r w:rsidR="008178AC">
        <w:rPr>
          <w:rFonts w:ascii="Arial" w:hAnsi="Arial" w:cs="Arial"/>
        </w:rPr>
        <w:t>(</w:t>
      </w:r>
      <w:r>
        <w:rPr>
          <w:rFonts w:ascii="Arial" w:hAnsi="Arial" w:cs="Arial"/>
        </w:rPr>
        <w:t>7</w:t>
      </w:r>
      <w:r w:rsidR="008178AC">
        <w:rPr>
          <w:rFonts w:ascii="Arial" w:hAnsi="Arial" w:cs="Arial"/>
        </w:rPr>
        <w:t>%)</w:t>
      </w:r>
      <w:r w:rsidR="00E56A05">
        <w:rPr>
          <w:rFonts w:ascii="Arial" w:hAnsi="Arial" w:cs="Arial"/>
        </w:rPr>
        <w:t xml:space="preserve"> </w:t>
      </w:r>
      <w:r>
        <w:rPr>
          <w:rFonts w:ascii="Arial" w:hAnsi="Arial" w:cs="Arial"/>
        </w:rPr>
        <w:t xml:space="preserve">solely </w:t>
      </w:r>
      <w:r w:rsidR="002F1C82">
        <w:rPr>
          <w:rFonts w:ascii="Arial" w:hAnsi="Arial" w:cs="Arial"/>
        </w:rPr>
        <w:t>commission out their service to another organisation</w:t>
      </w:r>
      <w:r w:rsidR="00E56A05">
        <w:rPr>
          <w:rFonts w:ascii="Arial" w:hAnsi="Arial" w:cs="Arial"/>
        </w:rPr>
        <w:t xml:space="preserve">, while </w:t>
      </w:r>
      <w:r w:rsidR="000830AA">
        <w:rPr>
          <w:rFonts w:ascii="Arial" w:hAnsi="Arial" w:cs="Arial"/>
        </w:rPr>
        <w:t>one in ten (1</w:t>
      </w:r>
      <w:r w:rsidR="001F025B">
        <w:rPr>
          <w:rFonts w:ascii="Arial" w:hAnsi="Arial" w:cs="Arial"/>
        </w:rPr>
        <w:t>4</w:t>
      </w:r>
      <w:r w:rsidR="000830AA">
        <w:rPr>
          <w:rFonts w:ascii="Arial" w:hAnsi="Arial" w:cs="Arial"/>
        </w:rPr>
        <w:t>%) have both an in-house and commissioned service</w:t>
      </w:r>
      <w:r w:rsidR="003E3D43">
        <w:rPr>
          <w:rFonts w:ascii="Arial" w:hAnsi="Arial" w:cs="Arial"/>
        </w:rPr>
        <w:t>.</w:t>
      </w:r>
    </w:p>
    <w:p w14:paraId="59203F0F" w14:textId="15D1DF24" w:rsidR="00540B93" w:rsidRPr="00633417" w:rsidRDefault="00540B93" w:rsidP="00AA3F9B">
      <w:pPr>
        <w:spacing w:after="0"/>
        <w:rPr>
          <w:rFonts w:ascii="Arial" w:hAnsi="Arial" w:cs="Arial"/>
          <w:b/>
          <w:i/>
          <w:sz w:val="20"/>
        </w:rPr>
      </w:pPr>
      <w:r w:rsidRPr="00633417">
        <w:rPr>
          <w:rFonts w:ascii="Arial" w:hAnsi="Arial" w:cs="Arial"/>
          <w:b/>
          <w:i/>
          <w:sz w:val="20"/>
        </w:rPr>
        <w:t>Figure 1.</w:t>
      </w:r>
      <w:r w:rsidR="00633417" w:rsidRPr="00633417">
        <w:rPr>
          <w:rFonts w:ascii="Arial" w:hAnsi="Arial" w:cs="Arial"/>
          <w:b/>
          <w:i/>
          <w:sz w:val="20"/>
        </w:rPr>
        <w:t xml:space="preserve"> How does your borough deliver its local employment support service; </w:t>
      </w:r>
      <w:r w:rsidR="00AA3F9B" w:rsidRPr="00633417">
        <w:rPr>
          <w:rFonts w:ascii="Arial" w:hAnsi="Arial" w:cs="Arial"/>
          <w:b/>
          <w:i/>
          <w:sz w:val="20"/>
        </w:rPr>
        <w:t>commissioned or in-hous</w:t>
      </w:r>
      <w:r w:rsidR="00633417" w:rsidRPr="00633417">
        <w:rPr>
          <w:rFonts w:ascii="Arial" w:hAnsi="Arial" w:cs="Arial"/>
          <w:b/>
          <w:i/>
          <w:sz w:val="20"/>
        </w:rPr>
        <w:t>e</w:t>
      </w:r>
      <w:r w:rsidR="00AA3F9B" w:rsidRPr="00633417">
        <w:rPr>
          <w:rFonts w:ascii="Arial" w:hAnsi="Arial" w:cs="Arial"/>
          <w:b/>
          <w:i/>
          <w:sz w:val="20"/>
        </w:rPr>
        <w:t>?</w:t>
      </w:r>
    </w:p>
    <w:p w14:paraId="4F856893" w14:textId="3D35E417" w:rsidR="003E3D43" w:rsidRPr="00633417" w:rsidRDefault="00AA388F" w:rsidP="00AA3F9B">
      <w:pPr>
        <w:spacing w:after="0"/>
        <w:jc w:val="center"/>
        <w:rPr>
          <w:rFonts w:ascii="Arial" w:hAnsi="Arial" w:cs="Arial"/>
        </w:rPr>
      </w:pPr>
      <w:r w:rsidRPr="00633417">
        <w:rPr>
          <w:noProof/>
        </w:rPr>
        <w:drawing>
          <wp:inline distT="0" distB="0" distL="0" distR="0" wp14:anchorId="127CCEAD" wp14:editId="30D9A80D">
            <wp:extent cx="5638800" cy="2743200"/>
            <wp:effectExtent l="0" t="0" r="0" b="0"/>
            <wp:docPr id="11" name="Chart 11">
              <a:extLst xmlns:a="http://schemas.openxmlformats.org/drawingml/2006/main">
                <a:ext uri="{FF2B5EF4-FFF2-40B4-BE49-F238E27FC236}">
                  <a16:creationId xmlns:a16="http://schemas.microsoft.com/office/drawing/2014/main" id="{26004C22-C461-4ECF-854C-DB2AAABFFE0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442D39F8" w14:textId="14064FE4" w:rsidR="00F73031" w:rsidRDefault="00AA3F9B" w:rsidP="00AA3F9B">
      <w:pPr>
        <w:spacing w:after="0"/>
        <w:jc w:val="right"/>
        <w:rPr>
          <w:rFonts w:ascii="Arial" w:hAnsi="Arial" w:cs="Arial"/>
          <w:sz w:val="20"/>
        </w:rPr>
      </w:pPr>
      <w:r w:rsidRPr="00633417">
        <w:rPr>
          <w:rFonts w:ascii="Arial" w:hAnsi="Arial" w:cs="Arial"/>
          <w:sz w:val="20"/>
        </w:rPr>
        <w:t>Base: 2</w:t>
      </w:r>
      <w:r w:rsidR="00633417" w:rsidRPr="00633417">
        <w:rPr>
          <w:rFonts w:ascii="Arial" w:hAnsi="Arial" w:cs="Arial"/>
          <w:sz w:val="20"/>
        </w:rPr>
        <w:t>9</w:t>
      </w:r>
      <w:r w:rsidRPr="00633417">
        <w:rPr>
          <w:rFonts w:ascii="Arial" w:hAnsi="Arial" w:cs="Arial"/>
          <w:sz w:val="20"/>
        </w:rPr>
        <w:t xml:space="preserve"> responses.</w:t>
      </w:r>
    </w:p>
    <w:p w14:paraId="02FC16E1" w14:textId="1C066D30" w:rsidR="00E56A05" w:rsidRDefault="00E56A05" w:rsidP="00AA3F9B">
      <w:pPr>
        <w:spacing w:after="0"/>
        <w:jc w:val="right"/>
        <w:rPr>
          <w:rFonts w:ascii="Arial" w:hAnsi="Arial" w:cs="Arial"/>
          <w:sz w:val="20"/>
        </w:rPr>
      </w:pPr>
    </w:p>
    <w:p w14:paraId="3D978DCD" w14:textId="2562A555" w:rsidR="00E56A05" w:rsidRPr="00153BAC" w:rsidRDefault="00C9556A" w:rsidP="00E56A05">
      <w:pPr>
        <w:rPr>
          <w:rFonts w:ascii="Arial" w:hAnsi="Arial" w:cs="Arial"/>
          <w:b/>
          <w:sz w:val="24"/>
        </w:rPr>
      </w:pPr>
      <w:r w:rsidRPr="00153BAC">
        <w:rPr>
          <w:rFonts w:ascii="Arial" w:hAnsi="Arial" w:cs="Arial"/>
          <w:b/>
          <w:sz w:val="24"/>
        </w:rPr>
        <w:t>Funding</w:t>
      </w:r>
    </w:p>
    <w:p w14:paraId="20549026" w14:textId="1A6EC3DA" w:rsidR="00B657DB" w:rsidRDefault="00597D4A" w:rsidP="0025545C">
      <w:pPr>
        <w:rPr>
          <w:rFonts w:ascii="Arial" w:hAnsi="Arial" w:cs="Arial"/>
        </w:rPr>
      </w:pPr>
      <w:r>
        <w:rPr>
          <w:rFonts w:ascii="Arial" w:hAnsi="Arial" w:cs="Arial"/>
        </w:rPr>
        <w:t xml:space="preserve">On average, </w:t>
      </w:r>
      <w:r w:rsidR="00202E8C">
        <w:rPr>
          <w:rFonts w:ascii="Arial" w:hAnsi="Arial" w:cs="Arial"/>
        </w:rPr>
        <w:t xml:space="preserve">a </w:t>
      </w:r>
      <w:r>
        <w:rPr>
          <w:rFonts w:ascii="Arial" w:hAnsi="Arial" w:cs="Arial"/>
        </w:rPr>
        <w:t>borough</w:t>
      </w:r>
      <w:r w:rsidR="00202E8C">
        <w:rPr>
          <w:rFonts w:ascii="Arial" w:hAnsi="Arial" w:cs="Arial"/>
        </w:rPr>
        <w:t>’s</w:t>
      </w:r>
      <w:r>
        <w:rPr>
          <w:rFonts w:ascii="Arial" w:hAnsi="Arial" w:cs="Arial"/>
        </w:rPr>
        <w:t xml:space="preserve"> estimated annual budget </w:t>
      </w:r>
      <w:r w:rsidR="00125EB0">
        <w:rPr>
          <w:rFonts w:ascii="Arial" w:hAnsi="Arial" w:cs="Arial"/>
        </w:rPr>
        <w:t xml:space="preserve">for their employment services in </w:t>
      </w:r>
      <w:r w:rsidR="007F2658">
        <w:rPr>
          <w:rFonts w:ascii="Arial" w:hAnsi="Arial" w:cs="Arial"/>
        </w:rPr>
        <w:t>202</w:t>
      </w:r>
      <w:r w:rsidR="003F2A86">
        <w:rPr>
          <w:rFonts w:ascii="Arial" w:hAnsi="Arial" w:cs="Arial"/>
        </w:rPr>
        <w:t>2</w:t>
      </w:r>
      <w:r w:rsidR="00633417">
        <w:rPr>
          <w:rFonts w:ascii="Arial" w:hAnsi="Arial" w:cs="Arial"/>
        </w:rPr>
        <w:t>/23</w:t>
      </w:r>
      <w:r w:rsidR="00125EB0">
        <w:rPr>
          <w:rFonts w:ascii="Arial" w:hAnsi="Arial" w:cs="Arial"/>
        </w:rPr>
        <w:t xml:space="preserve"> was </w:t>
      </w:r>
      <w:r w:rsidR="00A95A15">
        <w:rPr>
          <w:rFonts w:ascii="Arial" w:hAnsi="Arial" w:cs="Arial"/>
        </w:rPr>
        <w:t>£1,</w:t>
      </w:r>
      <w:r w:rsidR="007F2658">
        <w:rPr>
          <w:rFonts w:ascii="Arial" w:hAnsi="Arial" w:cs="Arial"/>
        </w:rPr>
        <w:t>396,929</w:t>
      </w:r>
      <w:r w:rsidR="00A95A15">
        <w:rPr>
          <w:rFonts w:ascii="Arial" w:hAnsi="Arial" w:cs="Arial"/>
        </w:rPr>
        <w:t xml:space="preserve"> –</w:t>
      </w:r>
      <w:r w:rsidR="005D0C78">
        <w:rPr>
          <w:rFonts w:ascii="Arial" w:hAnsi="Arial" w:cs="Arial"/>
        </w:rPr>
        <w:t xml:space="preserve"> </w:t>
      </w:r>
      <w:r w:rsidR="003F2A86">
        <w:rPr>
          <w:rFonts w:ascii="Arial" w:hAnsi="Arial" w:cs="Arial"/>
        </w:rPr>
        <w:t>just under</w:t>
      </w:r>
      <w:r w:rsidR="00A95A15">
        <w:rPr>
          <w:rFonts w:ascii="Arial" w:hAnsi="Arial" w:cs="Arial"/>
        </w:rPr>
        <w:t xml:space="preserve"> their budget in 202</w:t>
      </w:r>
      <w:r w:rsidR="003F2A86">
        <w:rPr>
          <w:rFonts w:ascii="Arial" w:hAnsi="Arial" w:cs="Arial"/>
        </w:rPr>
        <w:t>1</w:t>
      </w:r>
      <w:r w:rsidR="005D0C78">
        <w:rPr>
          <w:rFonts w:ascii="Arial" w:hAnsi="Arial" w:cs="Arial"/>
        </w:rPr>
        <w:t>/22</w:t>
      </w:r>
      <w:r w:rsidR="00A95A15">
        <w:rPr>
          <w:rFonts w:ascii="Arial" w:hAnsi="Arial" w:cs="Arial"/>
        </w:rPr>
        <w:t xml:space="preserve"> (£</w:t>
      </w:r>
      <w:r w:rsidR="007F2658">
        <w:rPr>
          <w:rFonts w:ascii="Arial" w:hAnsi="Arial" w:cs="Arial"/>
        </w:rPr>
        <w:t>1,538,826</w:t>
      </w:r>
      <w:r w:rsidR="00A95A15">
        <w:rPr>
          <w:rFonts w:ascii="Arial" w:hAnsi="Arial" w:cs="Arial"/>
        </w:rPr>
        <w:t>).</w:t>
      </w:r>
      <w:r w:rsidR="00E325FC">
        <w:rPr>
          <w:rFonts w:ascii="Arial" w:hAnsi="Arial" w:cs="Arial"/>
        </w:rPr>
        <w:t xml:space="preserve"> However, this varied largely with a range between £</w:t>
      </w:r>
      <w:r w:rsidR="003F2A86">
        <w:rPr>
          <w:rFonts w:ascii="Arial" w:hAnsi="Arial" w:cs="Arial"/>
        </w:rPr>
        <w:t>75,000</w:t>
      </w:r>
      <w:r w:rsidR="00E325FC">
        <w:rPr>
          <w:rFonts w:ascii="Arial" w:hAnsi="Arial" w:cs="Arial"/>
        </w:rPr>
        <w:t xml:space="preserve"> and £</w:t>
      </w:r>
      <w:r w:rsidR="00294D2E">
        <w:rPr>
          <w:rFonts w:ascii="Arial" w:hAnsi="Arial" w:cs="Arial"/>
        </w:rPr>
        <w:t>5.</w:t>
      </w:r>
      <w:r w:rsidR="003F2A86">
        <w:rPr>
          <w:rFonts w:ascii="Arial" w:hAnsi="Arial" w:cs="Arial"/>
        </w:rPr>
        <w:t>4</w:t>
      </w:r>
      <w:r w:rsidR="00294D2E">
        <w:rPr>
          <w:rFonts w:ascii="Arial" w:hAnsi="Arial" w:cs="Arial"/>
        </w:rPr>
        <w:t>m.</w:t>
      </w:r>
      <w:r w:rsidR="00A44C29">
        <w:rPr>
          <w:rFonts w:ascii="Arial" w:hAnsi="Arial" w:cs="Arial"/>
        </w:rPr>
        <w:t xml:space="preserve"> In total, London boroughs spent </w:t>
      </w:r>
      <w:r w:rsidR="000A1103">
        <w:rPr>
          <w:rFonts w:ascii="Arial" w:hAnsi="Arial" w:cs="Arial"/>
        </w:rPr>
        <w:t>£3</w:t>
      </w:r>
      <w:r w:rsidR="003F2A86">
        <w:rPr>
          <w:rFonts w:ascii="Arial" w:hAnsi="Arial" w:cs="Arial"/>
        </w:rPr>
        <w:t>9</w:t>
      </w:r>
      <w:r w:rsidR="000A1103">
        <w:rPr>
          <w:rFonts w:ascii="Arial" w:hAnsi="Arial" w:cs="Arial"/>
        </w:rPr>
        <w:t>,</w:t>
      </w:r>
      <w:r w:rsidR="003F2A86">
        <w:rPr>
          <w:rFonts w:ascii="Arial" w:hAnsi="Arial" w:cs="Arial"/>
        </w:rPr>
        <w:t>114</w:t>
      </w:r>
      <w:r w:rsidR="000A1103">
        <w:rPr>
          <w:rFonts w:ascii="Arial" w:hAnsi="Arial" w:cs="Arial"/>
        </w:rPr>
        <w:t>,000 on their employment services in 202</w:t>
      </w:r>
      <w:r w:rsidR="003F2A86">
        <w:rPr>
          <w:rFonts w:ascii="Arial" w:hAnsi="Arial" w:cs="Arial"/>
        </w:rPr>
        <w:t>2</w:t>
      </w:r>
      <w:r w:rsidR="005D0C78">
        <w:rPr>
          <w:rFonts w:ascii="Arial" w:hAnsi="Arial" w:cs="Arial"/>
        </w:rPr>
        <w:t>/23</w:t>
      </w:r>
      <w:r w:rsidR="000A1103">
        <w:rPr>
          <w:rFonts w:ascii="Arial" w:hAnsi="Arial" w:cs="Arial"/>
        </w:rPr>
        <w:t xml:space="preserve"> </w:t>
      </w:r>
      <w:r w:rsidR="00FE2236">
        <w:rPr>
          <w:rFonts w:ascii="Arial" w:hAnsi="Arial" w:cs="Arial"/>
        </w:rPr>
        <w:t>–</w:t>
      </w:r>
      <w:r w:rsidR="003F2A86">
        <w:rPr>
          <w:rFonts w:ascii="Arial" w:hAnsi="Arial" w:cs="Arial"/>
        </w:rPr>
        <w:t xml:space="preserve"> almost </w:t>
      </w:r>
      <w:r w:rsidR="00FE2236">
        <w:rPr>
          <w:rFonts w:ascii="Arial" w:hAnsi="Arial" w:cs="Arial"/>
        </w:rPr>
        <w:t>£</w:t>
      </w:r>
      <w:r w:rsidR="003F2A86">
        <w:rPr>
          <w:rFonts w:ascii="Arial" w:hAnsi="Arial" w:cs="Arial"/>
        </w:rPr>
        <w:t>4</w:t>
      </w:r>
      <w:r w:rsidR="00FE2236">
        <w:rPr>
          <w:rFonts w:ascii="Arial" w:hAnsi="Arial" w:cs="Arial"/>
        </w:rPr>
        <w:t xml:space="preserve"> million more than their spen</w:t>
      </w:r>
      <w:r w:rsidR="005141E0">
        <w:rPr>
          <w:rFonts w:ascii="Arial" w:hAnsi="Arial" w:cs="Arial"/>
        </w:rPr>
        <w:t>d</w:t>
      </w:r>
      <w:r w:rsidR="00FE2236">
        <w:rPr>
          <w:rFonts w:ascii="Arial" w:hAnsi="Arial" w:cs="Arial"/>
        </w:rPr>
        <w:t xml:space="preserve"> in 202</w:t>
      </w:r>
      <w:r w:rsidR="003F2A86">
        <w:rPr>
          <w:rFonts w:ascii="Arial" w:hAnsi="Arial" w:cs="Arial"/>
        </w:rPr>
        <w:t>1</w:t>
      </w:r>
      <w:r w:rsidR="005D0C78">
        <w:rPr>
          <w:rFonts w:ascii="Arial" w:hAnsi="Arial" w:cs="Arial"/>
        </w:rPr>
        <w:t>/22</w:t>
      </w:r>
      <w:r w:rsidR="003F2A86">
        <w:rPr>
          <w:rFonts w:ascii="Arial" w:hAnsi="Arial" w:cs="Arial"/>
        </w:rPr>
        <w:t xml:space="preserve"> </w:t>
      </w:r>
      <w:r w:rsidR="00FE2236">
        <w:rPr>
          <w:rFonts w:ascii="Arial" w:hAnsi="Arial" w:cs="Arial"/>
        </w:rPr>
        <w:t>(</w:t>
      </w:r>
      <w:r w:rsidR="003F2A86">
        <w:rPr>
          <w:rFonts w:ascii="Arial" w:hAnsi="Arial" w:cs="Arial"/>
        </w:rPr>
        <w:t>£35,393,000</w:t>
      </w:r>
      <w:r w:rsidR="00FE2236">
        <w:rPr>
          <w:rFonts w:ascii="Arial" w:hAnsi="Arial" w:cs="Arial"/>
        </w:rPr>
        <w:t>).</w:t>
      </w:r>
      <w:r w:rsidR="00BD57B6">
        <w:rPr>
          <w:rStyle w:val="FootnoteReference"/>
          <w:rFonts w:ascii="Arial" w:hAnsi="Arial" w:cs="Arial"/>
        </w:rPr>
        <w:footnoteReference w:id="3"/>
      </w:r>
    </w:p>
    <w:p w14:paraId="76954314" w14:textId="30E90957" w:rsidR="00792A64" w:rsidRDefault="00792A64" w:rsidP="00507D23">
      <w:pPr>
        <w:rPr>
          <w:rFonts w:ascii="Arial" w:hAnsi="Arial" w:cs="Arial"/>
        </w:rPr>
      </w:pPr>
      <w:r>
        <w:rPr>
          <w:rFonts w:ascii="Arial" w:hAnsi="Arial" w:cs="Arial"/>
        </w:rPr>
        <w:t>Boroughs’</w:t>
      </w:r>
      <w:r w:rsidR="0088161E">
        <w:rPr>
          <w:rFonts w:ascii="Arial" w:hAnsi="Arial" w:cs="Arial"/>
        </w:rPr>
        <w:t xml:space="preserve"> </w:t>
      </w:r>
      <w:r>
        <w:rPr>
          <w:rFonts w:ascii="Arial" w:hAnsi="Arial" w:cs="Arial"/>
        </w:rPr>
        <w:t>spen</w:t>
      </w:r>
      <w:r w:rsidR="005141E0">
        <w:rPr>
          <w:rFonts w:ascii="Arial" w:hAnsi="Arial" w:cs="Arial"/>
        </w:rPr>
        <w:t>d</w:t>
      </w:r>
      <w:r>
        <w:rPr>
          <w:rFonts w:ascii="Arial" w:hAnsi="Arial" w:cs="Arial"/>
        </w:rPr>
        <w:t xml:space="preserve"> on their employment services has progressively been increasing </w:t>
      </w:r>
      <w:r w:rsidR="0070030E">
        <w:rPr>
          <w:rFonts w:ascii="Arial" w:hAnsi="Arial" w:cs="Arial"/>
        </w:rPr>
        <w:t>in the last three years</w:t>
      </w:r>
      <w:r w:rsidR="00C92733">
        <w:rPr>
          <w:rFonts w:ascii="Arial" w:hAnsi="Arial" w:cs="Arial"/>
        </w:rPr>
        <w:t xml:space="preserve">, which is likely in response to the </w:t>
      </w:r>
      <w:r w:rsidR="00B7670D">
        <w:rPr>
          <w:rFonts w:ascii="Arial" w:hAnsi="Arial" w:cs="Arial"/>
        </w:rPr>
        <w:t>rising unemployment caused by the pandemic</w:t>
      </w:r>
      <w:r w:rsidR="00B17137">
        <w:rPr>
          <w:rFonts w:ascii="Arial" w:hAnsi="Arial" w:cs="Arial"/>
        </w:rPr>
        <w:t>, and a more recent focus on the economically inactive</w:t>
      </w:r>
      <w:r w:rsidR="00B7670D">
        <w:rPr>
          <w:rFonts w:ascii="Arial" w:hAnsi="Arial" w:cs="Arial"/>
        </w:rPr>
        <w:t>.</w:t>
      </w:r>
      <w:r w:rsidR="0070030E">
        <w:rPr>
          <w:rFonts w:ascii="Arial" w:hAnsi="Arial" w:cs="Arial"/>
        </w:rPr>
        <w:t xml:space="preserve"> The proportion of boroughs that spen</w:t>
      </w:r>
      <w:r w:rsidR="005141E0">
        <w:rPr>
          <w:rFonts w:ascii="Arial" w:hAnsi="Arial" w:cs="Arial"/>
        </w:rPr>
        <w:t>t</w:t>
      </w:r>
      <w:r w:rsidR="0070030E">
        <w:rPr>
          <w:rFonts w:ascii="Arial" w:hAnsi="Arial" w:cs="Arial"/>
        </w:rPr>
        <w:t xml:space="preserve"> more than a million increased </w:t>
      </w:r>
      <w:r w:rsidR="00B17137">
        <w:rPr>
          <w:rFonts w:ascii="Arial" w:hAnsi="Arial" w:cs="Arial"/>
        </w:rPr>
        <w:t xml:space="preserve">from </w:t>
      </w:r>
      <w:r w:rsidR="00900204">
        <w:rPr>
          <w:rFonts w:ascii="Arial" w:hAnsi="Arial" w:cs="Arial"/>
        </w:rPr>
        <w:t>36% in 2020</w:t>
      </w:r>
      <w:r w:rsidR="005D0C78">
        <w:rPr>
          <w:rFonts w:ascii="Arial" w:hAnsi="Arial" w:cs="Arial"/>
        </w:rPr>
        <w:t>/21</w:t>
      </w:r>
      <w:r w:rsidR="00B17137">
        <w:rPr>
          <w:rFonts w:ascii="Arial" w:hAnsi="Arial" w:cs="Arial"/>
        </w:rPr>
        <w:t xml:space="preserve"> to</w:t>
      </w:r>
      <w:r w:rsidR="00900204">
        <w:rPr>
          <w:rFonts w:ascii="Arial" w:hAnsi="Arial" w:cs="Arial"/>
        </w:rPr>
        <w:t xml:space="preserve"> 57% in 202</w:t>
      </w:r>
      <w:r w:rsidR="00E370B1">
        <w:rPr>
          <w:rFonts w:ascii="Arial" w:hAnsi="Arial" w:cs="Arial"/>
        </w:rPr>
        <w:t>1</w:t>
      </w:r>
      <w:r w:rsidR="005D0C78">
        <w:rPr>
          <w:rFonts w:ascii="Arial" w:hAnsi="Arial" w:cs="Arial"/>
        </w:rPr>
        <w:t>/22</w:t>
      </w:r>
      <w:r w:rsidR="00B17137">
        <w:rPr>
          <w:rFonts w:ascii="Arial" w:hAnsi="Arial" w:cs="Arial"/>
        </w:rPr>
        <w:t>, and has settled at this proportion (57%) in 2022</w:t>
      </w:r>
      <w:r w:rsidR="005D0C78">
        <w:rPr>
          <w:rFonts w:ascii="Arial" w:hAnsi="Arial" w:cs="Arial"/>
        </w:rPr>
        <w:t>/23</w:t>
      </w:r>
      <w:r w:rsidR="00B17137">
        <w:rPr>
          <w:rFonts w:ascii="Arial" w:hAnsi="Arial" w:cs="Arial"/>
        </w:rPr>
        <w:t>.</w:t>
      </w:r>
      <w:r w:rsidR="00900204">
        <w:rPr>
          <w:rFonts w:ascii="Arial" w:hAnsi="Arial" w:cs="Arial"/>
        </w:rPr>
        <w:t xml:space="preserve"> In 202</w:t>
      </w:r>
      <w:r w:rsidR="00B17137">
        <w:rPr>
          <w:rFonts w:ascii="Arial" w:hAnsi="Arial" w:cs="Arial"/>
        </w:rPr>
        <w:t>2</w:t>
      </w:r>
      <w:r w:rsidR="005D0C78">
        <w:rPr>
          <w:rFonts w:ascii="Arial" w:hAnsi="Arial" w:cs="Arial"/>
        </w:rPr>
        <w:t>/23</w:t>
      </w:r>
      <w:r w:rsidR="00900204">
        <w:rPr>
          <w:rFonts w:ascii="Arial" w:hAnsi="Arial" w:cs="Arial"/>
        </w:rPr>
        <w:t>, a quarter</w:t>
      </w:r>
      <w:r w:rsidR="00FA6272">
        <w:rPr>
          <w:rFonts w:ascii="Arial" w:hAnsi="Arial" w:cs="Arial"/>
        </w:rPr>
        <w:t xml:space="preserve"> (2</w:t>
      </w:r>
      <w:r w:rsidR="00B17137">
        <w:rPr>
          <w:rFonts w:ascii="Arial" w:hAnsi="Arial" w:cs="Arial"/>
        </w:rPr>
        <w:t>5</w:t>
      </w:r>
      <w:r w:rsidR="00FA6272">
        <w:rPr>
          <w:rFonts w:ascii="Arial" w:hAnsi="Arial" w:cs="Arial"/>
        </w:rPr>
        <w:t>%)</w:t>
      </w:r>
      <w:r w:rsidR="00900204">
        <w:rPr>
          <w:rFonts w:ascii="Arial" w:hAnsi="Arial" w:cs="Arial"/>
        </w:rPr>
        <w:t xml:space="preserve"> of boroughs</w:t>
      </w:r>
      <w:r w:rsidR="00B17137">
        <w:rPr>
          <w:rFonts w:ascii="Arial" w:hAnsi="Arial" w:cs="Arial"/>
        </w:rPr>
        <w:t xml:space="preserve"> </w:t>
      </w:r>
      <w:r w:rsidR="00900204">
        <w:rPr>
          <w:rFonts w:ascii="Arial" w:hAnsi="Arial" w:cs="Arial"/>
        </w:rPr>
        <w:t xml:space="preserve">spent less than </w:t>
      </w:r>
      <w:r w:rsidR="00900204">
        <w:rPr>
          <w:rFonts w:ascii="Arial" w:hAnsi="Arial" w:cs="Arial"/>
        </w:rPr>
        <w:lastRenderedPageBreak/>
        <w:t xml:space="preserve">£500,000 on their employment services and </w:t>
      </w:r>
      <w:r w:rsidR="0051327E">
        <w:rPr>
          <w:rFonts w:ascii="Arial" w:hAnsi="Arial" w:cs="Arial"/>
        </w:rPr>
        <w:t>close to a fifth (1</w:t>
      </w:r>
      <w:r w:rsidR="00B17137">
        <w:rPr>
          <w:rFonts w:ascii="Arial" w:hAnsi="Arial" w:cs="Arial"/>
        </w:rPr>
        <w:t>8</w:t>
      </w:r>
      <w:r w:rsidR="0051327E">
        <w:rPr>
          <w:rFonts w:ascii="Arial" w:hAnsi="Arial" w:cs="Arial"/>
        </w:rPr>
        <w:t xml:space="preserve">%) spent between £500,000 and a </w:t>
      </w:r>
      <w:r w:rsidR="00B17137">
        <w:rPr>
          <w:rFonts w:ascii="Arial" w:hAnsi="Arial" w:cs="Arial"/>
        </w:rPr>
        <w:t>£1 million</w:t>
      </w:r>
      <w:r w:rsidR="0051327E">
        <w:rPr>
          <w:rFonts w:ascii="Arial" w:hAnsi="Arial" w:cs="Arial"/>
        </w:rPr>
        <w:t xml:space="preserve">. </w:t>
      </w:r>
    </w:p>
    <w:p w14:paraId="42A636EB" w14:textId="0AEC6923" w:rsidR="00507D23" w:rsidRDefault="000745E7" w:rsidP="003046C8">
      <w:pPr>
        <w:spacing w:after="0"/>
        <w:rPr>
          <w:rFonts w:ascii="Arial" w:hAnsi="Arial" w:cs="Arial"/>
        </w:rPr>
      </w:pPr>
      <w:r>
        <w:rPr>
          <w:rFonts w:ascii="Arial" w:hAnsi="Arial" w:cs="Arial"/>
        </w:rPr>
        <w:t>Boroughs identified</w:t>
      </w:r>
      <w:r w:rsidR="00300271">
        <w:rPr>
          <w:rFonts w:ascii="Arial" w:hAnsi="Arial" w:cs="Arial"/>
        </w:rPr>
        <w:t xml:space="preserve"> </w:t>
      </w:r>
      <w:r w:rsidR="00DE7315">
        <w:rPr>
          <w:rFonts w:ascii="Arial" w:hAnsi="Arial" w:cs="Arial"/>
        </w:rPr>
        <w:t>Section 106 (</w:t>
      </w:r>
      <w:r w:rsidR="0070728A">
        <w:rPr>
          <w:rFonts w:ascii="Arial" w:hAnsi="Arial" w:cs="Arial"/>
        </w:rPr>
        <w:t>69</w:t>
      </w:r>
      <w:r w:rsidR="009A34D9">
        <w:rPr>
          <w:rFonts w:ascii="Arial" w:hAnsi="Arial" w:cs="Arial"/>
        </w:rPr>
        <w:t xml:space="preserve">%), </w:t>
      </w:r>
      <w:r w:rsidR="00CD6CDD">
        <w:rPr>
          <w:rFonts w:ascii="Arial" w:hAnsi="Arial" w:cs="Arial"/>
        </w:rPr>
        <w:t>the European Social Fund</w:t>
      </w:r>
      <w:r w:rsidR="009A34D9">
        <w:rPr>
          <w:rFonts w:ascii="Arial" w:hAnsi="Arial" w:cs="Arial"/>
        </w:rPr>
        <w:t xml:space="preserve"> (</w:t>
      </w:r>
      <w:r w:rsidR="00CD6CDD">
        <w:rPr>
          <w:rFonts w:ascii="Arial" w:hAnsi="Arial" w:cs="Arial"/>
        </w:rPr>
        <w:t>ESF - 59</w:t>
      </w:r>
      <w:r w:rsidR="009A34D9">
        <w:rPr>
          <w:rFonts w:ascii="Arial" w:hAnsi="Arial" w:cs="Arial"/>
        </w:rPr>
        <w:t xml:space="preserve">%) and </w:t>
      </w:r>
      <w:r w:rsidR="00CD6CDD">
        <w:rPr>
          <w:rFonts w:ascii="Arial" w:hAnsi="Arial" w:cs="Arial"/>
        </w:rPr>
        <w:t>core council spending (4</w:t>
      </w:r>
      <w:r w:rsidR="00736C02">
        <w:rPr>
          <w:rFonts w:ascii="Arial" w:hAnsi="Arial" w:cs="Arial"/>
        </w:rPr>
        <w:t>8</w:t>
      </w:r>
      <w:r w:rsidR="00CD6CDD">
        <w:rPr>
          <w:rFonts w:ascii="Arial" w:hAnsi="Arial" w:cs="Arial"/>
        </w:rPr>
        <w:t xml:space="preserve">%) </w:t>
      </w:r>
      <w:r w:rsidR="009A34D9">
        <w:rPr>
          <w:rFonts w:ascii="Arial" w:hAnsi="Arial" w:cs="Arial"/>
        </w:rPr>
        <w:t xml:space="preserve">as key sources of funding for their employment services. </w:t>
      </w:r>
      <w:r w:rsidR="003B584C">
        <w:rPr>
          <w:rFonts w:ascii="Arial" w:hAnsi="Arial" w:cs="Arial"/>
        </w:rPr>
        <w:t xml:space="preserve">This is </w:t>
      </w:r>
      <w:r w:rsidR="00664AB4">
        <w:rPr>
          <w:rFonts w:ascii="Arial" w:hAnsi="Arial" w:cs="Arial"/>
        </w:rPr>
        <w:t xml:space="preserve">somewhat </w:t>
      </w:r>
      <w:r w:rsidR="003B584C">
        <w:rPr>
          <w:rFonts w:ascii="Arial" w:hAnsi="Arial" w:cs="Arial"/>
        </w:rPr>
        <w:t xml:space="preserve">concerning as the ESF will come to an end </w:t>
      </w:r>
      <w:r w:rsidR="00CD6CDD">
        <w:rPr>
          <w:rFonts w:ascii="Arial" w:hAnsi="Arial" w:cs="Arial"/>
        </w:rPr>
        <w:t xml:space="preserve">this year </w:t>
      </w:r>
      <w:r w:rsidR="003B584C">
        <w:rPr>
          <w:rFonts w:ascii="Arial" w:hAnsi="Arial" w:cs="Arial"/>
        </w:rPr>
        <w:t xml:space="preserve">and </w:t>
      </w:r>
      <w:r w:rsidR="00664AB4">
        <w:rPr>
          <w:rFonts w:ascii="Arial" w:hAnsi="Arial" w:cs="Arial"/>
        </w:rPr>
        <w:t xml:space="preserve">there are government proposals to replace Section 106 with a </w:t>
      </w:r>
      <w:r w:rsidR="00BA153C">
        <w:rPr>
          <w:rFonts w:ascii="Arial" w:hAnsi="Arial" w:cs="Arial"/>
        </w:rPr>
        <w:t>N</w:t>
      </w:r>
      <w:r w:rsidR="00664AB4">
        <w:rPr>
          <w:rFonts w:ascii="Arial" w:hAnsi="Arial" w:cs="Arial"/>
        </w:rPr>
        <w:t>ational Infrastructure Levy.</w:t>
      </w:r>
      <w:r w:rsidR="00CD6CDD">
        <w:rPr>
          <w:rFonts w:ascii="Arial" w:hAnsi="Arial" w:cs="Arial"/>
        </w:rPr>
        <w:t xml:space="preserve"> T</w:t>
      </w:r>
      <w:r w:rsidR="00BC11D8">
        <w:rPr>
          <w:rFonts w:ascii="Arial" w:hAnsi="Arial" w:cs="Arial"/>
        </w:rPr>
        <w:t>his could have a severe impact on many councils’ ability to fund an employment service.</w:t>
      </w:r>
      <w:r w:rsidR="00AD5AB5">
        <w:rPr>
          <w:rFonts w:ascii="Arial" w:hAnsi="Arial" w:cs="Arial"/>
        </w:rPr>
        <w:t xml:space="preserve"> </w:t>
      </w:r>
      <w:r w:rsidR="00826208">
        <w:rPr>
          <w:rFonts w:ascii="Arial" w:hAnsi="Arial" w:cs="Arial"/>
        </w:rPr>
        <w:t xml:space="preserve">Other sources of funding mentioned by borough respondents included </w:t>
      </w:r>
      <w:r w:rsidR="00D04C8B">
        <w:rPr>
          <w:rFonts w:ascii="Arial" w:hAnsi="Arial" w:cs="Arial"/>
        </w:rPr>
        <w:t>DWP</w:t>
      </w:r>
      <w:r w:rsidR="00CD6CDD">
        <w:rPr>
          <w:rFonts w:ascii="Arial" w:hAnsi="Arial" w:cs="Arial"/>
        </w:rPr>
        <w:t xml:space="preserve">, </w:t>
      </w:r>
      <w:r w:rsidR="00D04C8B">
        <w:rPr>
          <w:rFonts w:ascii="Arial" w:hAnsi="Arial" w:cs="Arial"/>
        </w:rPr>
        <w:t>GLA funded programmes</w:t>
      </w:r>
      <w:r w:rsidR="00CD6CDD">
        <w:rPr>
          <w:rFonts w:ascii="Arial" w:hAnsi="Arial" w:cs="Arial"/>
        </w:rPr>
        <w:t xml:space="preserve">, </w:t>
      </w:r>
      <w:r w:rsidR="009E2D8B">
        <w:rPr>
          <w:rFonts w:ascii="Arial" w:hAnsi="Arial" w:cs="Arial"/>
        </w:rPr>
        <w:t>the</w:t>
      </w:r>
      <w:r w:rsidR="00D04C8B">
        <w:rPr>
          <w:rFonts w:ascii="Arial" w:hAnsi="Arial" w:cs="Arial"/>
        </w:rPr>
        <w:t xml:space="preserve"> </w:t>
      </w:r>
      <w:r w:rsidR="004264A3">
        <w:rPr>
          <w:rFonts w:ascii="Arial" w:hAnsi="Arial" w:cs="Arial"/>
        </w:rPr>
        <w:t>Community Infrastructure Levy</w:t>
      </w:r>
      <w:r w:rsidR="00CD6CDD">
        <w:rPr>
          <w:rFonts w:ascii="Arial" w:hAnsi="Arial" w:cs="Arial"/>
        </w:rPr>
        <w:t xml:space="preserve"> and COVID-19 grants.</w:t>
      </w:r>
    </w:p>
    <w:p w14:paraId="3A89AEDC" w14:textId="77777777" w:rsidR="00AD5AB5" w:rsidRDefault="00AD5AB5" w:rsidP="003046C8">
      <w:pPr>
        <w:spacing w:after="0"/>
        <w:rPr>
          <w:rFonts w:ascii="Arial" w:hAnsi="Arial" w:cs="Arial"/>
        </w:rPr>
      </w:pPr>
    </w:p>
    <w:p w14:paraId="3BB8D5D9" w14:textId="7CAE01D8" w:rsidR="00AA6C90" w:rsidRPr="00EA4995" w:rsidRDefault="002B5003" w:rsidP="003046C8">
      <w:pPr>
        <w:spacing w:after="0"/>
        <w:rPr>
          <w:rFonts w:ascii="Arial" w:hAnsi="Arial" w:cs="Arial"/>
          <w:b/>
          <w:i/>
          <w:sz w:val="20"/>
        </w:rPr>
      </w:pPr>
      <w:r w:rsidRPr="00EA4995">
        <w:rPr>
          <w:rFonts w:ascii="Arial" w:hAnsi="Arial" w:cs="Arial"/>
          <w:b/>
          <w:i/>
          <w:sz w:val="20"/>
        </w:rPr>
        <w:t>Figure 2.</w:t>
      </w:r>
      <w:r w:rsidR="003046C8" w:rsidRPr="00EA4995">
        <w:rPr>
          <w:rFonts w:ascii="Arial" w:hAnsi="Arial" w:cs="Arial"/>
          <w:b/>
          <w:i/>
          <w:sz w:val="20"/>
        </w:rPr>
        <w:t xml:space="preserve"> What is your estimated annual budget for your employment services?</w:t>
      </w:r>
    </w:p>
    <w:p w14:paraId="73AC2993" w14:textId="50ED11A8" w:rsidR="002B5003" w:rsidRPr="00EA4995" w:rsidRDefault="00EA4995" w:rsidP="002B5003">
      <w:pPr>
        <w:spacing w:after="0"/>
        <w:rPr>
          <w:rFonts w:ascii="Arial" w:hAnsi="Arial" w:cs="Arial"/>
        </w:rPr>
      </w:pPr>
      <w:r w:rsidRPr="00EA4995">
        <w:rPr>
          <w:noProof/>
        </w:rPr>
        <w:drawing>
          <wp:inline distT="0" distB="0" distL="0" distR="0" wp14:anchorId="761B7304" wp14:editId="08F20A3A">
            <wp:extent cx="5838825" cy="2743200"/>
            <wp:effectExtent l="0" t="0" r="9525" b="0"/>
            <wp:docPr id="1" name="Chart 1">
              <a:extLst xmlns:a="http://schemas.openxmlformats.org/drawingml/2006/main">
                <a:ext uri="{FF2B5EF4-FFF2-40B4-BE49-F238E27FC236}">
                  <a16:creationId xmlns:a16="http://schemas.microsoft.com/office/drawing/2014/main" id="{BBC296F4-BE80-48EB-9FA4-26AB71E6D0D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7B3E3B95" w14:textId="102E7609" w:rsidR="00234BD2" w:rsidRDefault="002B5003" w:rsidP="00153BAC">
      <w:pPr>
        <w:spacing w:after="0"/>
        <w:jc w:val="right"/>
        <w:rPr>
          <w:rFonts w:ascii="Arial" w:hAnsi="Arial" w:cs="Arial"/>
          <w:sz w:val="20"/>
        </w:rPr>
      </w:pPr>
      <w:r w:rsidRPr="00EA4995">
        <w:rPr>
          <w:rFonts w:ascii="Arial" w:hAnsi="Arial" w:cs="Arial"/>
          <w:sz w:val="20"/>
        </w:rPr>
        <w:t xml:space="preserve">Base: </w:t>
      </w:r>
      <w:r w:rsidR="00BB3631" w:rsidRPr="00EA4995">
        <w:rPr>
          <w:rFonts w:ascii="Arial" w:hAnsi="Arial" w:cs="Arial"/>
          <w:sz w:val="20"/>
        </w:rPr>
        <w:t>2</w:t>
      </w:r>
      <w:r w:rsidR="00EA4995" w:rsidRPr="00EA4995">
        <w:rPr>
          <w:rFonts w:ascii="Arial" w:hAnsi="Arial" w:cs="Arial"/>
          <w:sz w:val="20"/>
        </w:rPr>
        <w:t>8</w:t>
      </w:r>
      <w:r w:rsidR="00BB3631" w:rsidRPr="00EA4995">
        <w:rPr>
          <w:rFonts w:ascii="Arial" w:hAnsi="Arial" w:cs="Arial"/>
          <w:sz w:val="20"/>
        </w:rPr>
        <w:t xml:space="preserve"> responses in 2022</w:t>
      </w:r>
      <w:r w:rsidR="00EA4995" w:rsidRPr="00EA4995">
        <w:rPr>
          <w:rFonts w:ascii="Arial" w:hAnsi="Arial" w:cs="Arial"/>
          <w:sz w:val="20"/>
        </w:rPr>
        <w:t>/23</w:t>
      </w:r>
      <w:r w:rsidR="00BB3631" w:rsidRPr="00EA4995">
        <w:rPr>
          <w:rFonts w:ascii="Arial" w:hAnsi="Arial" w:cs="Arial"/>
          <w:sz w:val="20"/>
        </w:rPr>
        <w:t xml:space="preserve">, </w:t>
      </w:r>
      <w:r w:rsidRPr="00EA4995">
        <w:rPr>
          <w:rFonts w:ascii="Arial" w:hAnsi="Arial" w:cs="Arial"/>
          <w:sz w:val="20"/>
        </w:rPr>
        <w:t>2</w:t>
      </w:r>
      <w:r w:rsidR="00EA4995" w:rsidRPr="00EA4995">
        <w:rPr>
          <w:rFonts w:ascii="Arial" w:hAnsi="Arial" w:cs="Arial"/>
          <w:sz w:val="20"/>
        </w:rPr>
        <w:t>3</w:t>
      </w:r>
      <w:r w:rsidRPr="00EA4995">
        <w:rPr>
          <w:rFonts w:ascii="Arial" w:hAnsi="Arial" w:cs="Arial"/>
          <w:sz w:val="20"/>
        </w:rPr>
        <w:t xml:space="preserve"> responses</w:t>
      </w:r>
      <w:r w:rsidR="00EA0F26" w:rsidRPr="00EA4995">
        <w:rPr>
          <w:rFonts w:ascii="Arial" w:hAnsi="Arial" w:cs="Arial"/>
          <w:sz w:val="20"/>
        </w:rPr>
        <w:t xml:space="preserve"> in 202</w:t>
      </w:r>
      <w:r w:rsidR="00EA4995" w:rsidRPr="00EA4995">
        <w:rPr>
          <w:rFonts w:ascii="Arial" w:hAnsi="Arial" w:cs="Arial"/>
          <w:sz w:val="20"/>
        </w:rPr>
        <w:t>1/22</w:t>
      </w:r>
      <w:r w:rsidR="00484D6A" w:rsidRPr="00EA4995">
        <w:rPr>
          <w:rFonts w:ascii="Arial" w:hAnsi="Arial" w:cs="Arial"/>
          <w:sz w:val="20"/>
        </w:rPr>
        <w:t xml:space="preserve"> and </w:t>
      </w:r>
      <w:r w:rsidR="00EA4995" w:rsidRPr="00EA4995">
        <w:rPr>
          <w:rFonts w:ascii="Arial" w:hAnsi="Arial" w:cs="Arial"/>
          <w:sz w:val="20"/>
        </w:rPr>
        <w:t>25</w:t>
      </w:r>
      <w:r w:rsidR="00484D6A" w:rsidRPr="00EA4995">
        <w:rPr>
          <w:rFonts w:ascii="Arial" w:hAnsi="Arial" w:cs="Arial"/>
          <w:sz w:val="20"/>
        </w:rPr>
        <w:t xml:space="preserve"> responses in 20</w:t>
      </w:r>
      <w:r w:rsidR="00EA4995" w:rsidRPr="00EA4995">
        <w:rPr>
          <w:rFonts w:ascii="Arial" w:hAnsi="Arial" w:cs="Arial"/>
          <w:sz w:val="20"/>
        </w:rPr>
        <w:t>20/21</w:t>
      </w:r>
      <w:r w:rsidR="00484D6A" w:rsidRPr="00EA4995">
        <w:rPr>
          <w:rFonts w:ascii="Arial" w:hAnsi="Arial" w:cs="Arial"/>
          <w:sz w:val="20"/>
        </w:rPr>
        <w:t>.</w:t>
      </w:r>
    </w:p>
    <w:p w14:paraId="53AF9FA7" w14:textId="77777777" w:rsidR="00153BAC" w:rsidRPr="00153BAC" w:rsidRDefault="00153BAC" w:rsidP="00153BAC">
      <w:pPr>
        <w:spacing w:after="0"/>
        <w:jc w:val="right"/>
        <w:rPr>
          <w:rFonts w:ascii="Arial" w:hAnsi="Arial" w:cs="Arial"/>
          <w:sz w:val="20"/>
        </w:rPr>
      </w:pPr>
    </w:p>
    <w:p w14:paraId="03E929FA" w14:textId="766B9DEB" w:rsidR="00C9556A" w:rsidRPr="00153BAC" w:rsidRDefault="00C9556A" w:rsidP="001767DF">
      <w:pPr>
        <w:rPr>
          <w:rFonts w:ascii="Arial" w:hAnsi="Arial" w:cs="Arial"/>
          <w:b/>
          <w:noProof/>
          <w:sz w:val="24"/>
          <w:lang w:eastAsia="en-GB"/>
        </w:rPr>
      </w:pPr>
      <w:r w:rsidRPr="00153BAC">
        <w:rPr>
          <w:rFonts w:ascii="Arial" w:hAnsi="Arial" w:cs="Arial"/>
          <w:b/>
          <w:noProof/>
          <w:sz w:val="24"/>
          <w:lang w:eastAsia="en-GB"/>
        </w:rPr>
        <w:t xml:space="preserve">Employment services size and scope </w:t>
      </w:r>
    </w:p>
    <w:p w14:paraId="1B4D6298" w14:textId="7A24D6EA" w:rsidR="008F7D05" w:rsidRDefault="003A470C" w:rsidP="0088446A">
      <w:pPr>
        <w:rPr>
          <w:rFonts w:ascii="Arial" w:hAnsi="Arial" w:cs="Arial"/>
          <w:noProof/>
          <w:lang w:eastAsia="en-GB"/>
        </w:rPr>
      </w:pPr>
      <w:r>
        <w:rPr>
          <w:rFonts w:ascii="Arial" w:hAnsi="Arial" w:cs="Arial"/>
          <w:noProof/>
          <w:lang w:eastAsia="en-GB"/>
        </w:rPr>
        <w:t>On average, boroughs employ 2</w:t>
      </w:r>
      <w:r w:rsidR="00E116A0">
        <w:rPr>
          <w:rFonts w:ascii="Arial" w:hAnsi="Arial" w:cs="Arial"/>
          <w:noProof/>
          <w:lang w:eastAsia="en-GB"/>
        </w:rPr>
        <w:t>2</w:t>
      </w:r>
      <w:r>
        <w:rPr>
          <w:rFonts w:ascii="Arial" w:hAnsi="Arial" w:cs="Arial"/>
          <w:noProof/>
          <w:lang w:eastAsia="en-GB"/>
        </w:rPr>
        <w:t xml:space="preserve"> staff in t</w:t>
      </w:r>
      <w:r w:rsidR="001A4210">
        <w:rPr>
          <w:rFonts w:ascii="Arial" w:hAnsi="Arial" w:cs="Arial"/>
          <w:noProof/>
          <w:lang w:eastAsia="en-GB"/>
        </w:rPr>
        <w:t xml:space="preserve">heir </w:t>
      </w:r>
      <w:r w:rsidR="00BB4539">
        <w:rPr>
          <w:rFonts w:ascii="Arial" w:hAnsi="Arial" w:cs="Arial"/>
          <w:noProof/>
          <w:lang w:eastAsia="en-GB"/>
        </w:rPr>
        <w:t>local employment services</w:t>
      </w:r>
      <w:r w:rsidR="00BA153C">
        <w:rPr>
          <w:rStyle w:val="FootnoteReference"/>
          <w:rFonts w:ascii="Arial" w:hAnsi="Arial" w:cs="Arial"/>
          <w:noProof/>
          <w:lang w:eastAsia="en-GB"/>
        </w:rPr>
        <w:footnoteReference w:id="4"/>
      </w:r>
      <w:r w:rsidR="00BB4539">
        <w:rPr>
          <w:rFonts w:ascii="Arial" w:hAnsi="Arial" w:cs="Arial"/>
          <w:noProof/>
          <w:lang w:eastAsia="en-GB"/>
        </w:rPr>
        <w:t xml:space="preserve">. However, this ranges widely with one borough employing </w:t>
      </w:r>
      <w:r w:rsidR="003B13AF">
        <w:rPr>
          <w:rFonts w:ascii="Arial" w:hAnsi="Arial" w:cs="Arial"/>
          <w:noProof/>
          <w:lang w:eastAsia="en-GB"/>
        </w:rPr>
        <w:t>70 staff members, and another employing</w:t>
      </w:r>
      <w:r w:rsidR="00B01137">
        <w:rPr>
          <w:rFonts w:ascii="Arial" w:hAnsi="Arial" w:cs="Arial"/>
          <w:noProof/>
          <w:lang w:eastAsia="en-GB"/>
        </w:rPr>
        <w:t xml:space="preserve"> only</w:t>
      </w:r>
      <w:r w:rsidR="003B13AF">
        <w:rPr>
          <w:rFonts w:ascii="Arial" w:hAnsi="Arial" w:cs="Arial"/>
          <w:noProof/>
          <w:lang w:eastAsia="en-GB"/>
        </w:rPr>
        <w:t xml:space="preserve"> </w:t>
      </w:r>
      <w:r w:rsidR="00E116A0">
        <w:rPr>
          <w:rFonts w:ascii="Arial" w:hAnsi="Arial" w:cs="Arial"/>
          <w:noProof/>
          <w:lang w:eastAsia="en-GB"/>
        </w:rPr>
        <w:t>one</w:t>
      </w:r>
      <w:r w:rsidR="003B13AF">
        <w:rPr>
          <w:rFonts w:ascii="Arial" w:hAnsi="Arial" w:cs="Arial"/>
          <w:noProof/>
          <w:lang w:eastAsia="en-GB"/>
        </w:rPr>
        <w:t xml:space="preserve">. </w:t>
      </w:r>
      <w:r w:rsidR="00EE0810">
        <w:rPr>
          <w:rFonts w:ascii="Arial" w:hAnsi="Arial" w:cs="Arial"/>
          <w:noProof/>
          <w:lang w:eastAsia="en-GB"/>
        </w:rPr>
        <w:t>A third (33%) of the boroughs surveyed employ less than 10 people</w:t>
      </w:r>
      <w:r w:rsidR="00B01137">
        <w:rPr>
          <w:rFonts w:ascii="Arial" w:hAnsi="Arial" w:cs="Arial"/>
          <w:noProof/>
          <w:lang w:eastAsia="en-GB"/>
        </w:rPr>
        <w:t xml:space="preserve"> and</w:t>
      </w:r>
      <w:r w:rsidR="00EE0810">
        <w:rPr>
          <w:rFonts w:ascii="Arial" w:hAnsi="Arial" w:cs="Arial"/>
          <w:noProof/>
          <w:lang w:eastAsia="en-GB"/>
        </w:rPr>
        <w:t xml:space="preserve"> </w:t>
      </w:r>
      <w:r w:rsidR="00B01137">
        <w:rPr>
          <w:rFonts w:ascii="Arial" w:hAnsi="Arial" w:cs="Arial"/>
          <w:noProof/>
          <w:lang w:eastAsia="en-GB"/>
        </w:rPr>
        <w:t xml:space="preserve">just over </w:t>
      </w:r>
      <w:r w:rsidR="001E16D3">
        <w:rPr>
          <w:rFonts w:ascii="Arial" w:hAnsi="Arial" w:cs="Arial"/>
          <w:noProof/>
          <w:lang w:eastAsia="en-GB"/>
        </w:rPr>
        <w:t>a</w:t>
      </w:r>
      <w:r w:rsidR="00E116A0">
        <w:rPr>
          <w:rFonts w:ascii="Arial" w:hAnsi="Arial" w:cs="Arial"/>
          <w:noProof/>
          <w:lang w:eastAsia="en-GB"/>
        </w:rPr>
        <w:t xml:space="preserve"> fifth </w:t>
      </w:r>
      <w:r w:rsidR="00BD2780">
        <w:rPr>
          <w:rFonts w:ascii="Arial" w:hAnsi="Arial" w:cs="Arial"/>
          <w:noProof/>
          <w:lang w:eastAsia="en-GB"/>
        </w:rPr>
        <w:t>(</w:t>
      </w:r>
      <w:r w:rsidR="00E116A0">
        <w:rPr>
          <w:rFonts w:ascii="Arial" w:hAnsi="Arial" w:cs="Arial"/>
          <w:noProof/>
          <w:lang w:eastAsia="en-GB"/>
        </w:rPr>
        <w:t>23</w:t>
      </w:r>
      <w:r w:rsidR="00BD2780">
        <w:rPr>
          <w:rFonts w:ascii="Arial" w:hAnsi="Arial" w:cs="Arial"/>
          <w:noProof/>
          <w:lang w:eastAsia="en-GB"/>
        </w:rPr>
        <w:t>%) employ between 10 and 20 people.</w:t>
      </w:r>
      <w:r w:rsidR="008729DD">
        <w:rPr>
          <w:rFonts w:ascii="Arial" w:hAnsi="Arial" w:cs="Arial"/>
          <w:noProof/>
          <w:lang w:eastAsia="en-GB"/>
        </w:rPr>
        <w:t xml:space="preserve"> </w:t>
      </w:r>
      <w:r w:rsidR="00FC2185">
        <w:rPr>
          <w:rFonts w:ascii="Arial" w:hAnsi="Arial" w:cs="Arial"/>
          <w:noProof/>
          <w:lang w:eastAsia="en-GB"/>
        </w:rPr>
        <w:t>The majority (</w:t>
      </w:r>
      <w:r w:rsidR="00E116A0">
        <w:rPr>
          <w:rFonts w:ascii="Arial" w:hAnsi="Arial" w:cs="Arial"/>
          <w:noProof/>
          <w:lang w:eastAsia="en-GB"/>
        </w:rPr>
        <w:t>43</w:t>
      </w:r>
      <w:r w:rsidR="00FC2185">
        <w:rPr>
          <w:rFonts w:ascii="Arial" w:hAnsi="Arial" w:cs="Arial"/>
          <w:noProof/>
          <w:lang w:eastAsia="en-GB"/>
        </w:rPr>
        <w:t>%) of London boroughs employ</w:t>
      </w:r>
      <w:r w:rsidR="00E116A0">
        <w:rPr>
          <w:rFonts w:ascii="Arial" w:hAnsi="Arial" w:cs="Arial"/>
          <w:noProof/>
          <w:lang w:eastAsia="en-GB"/>
        </w:rPr>
        <w:t>ed</w:t>
      </w:r>
      <w:r w:rsidR="00FC2185">
        <w:rPr>
          <w:rFonts w:ascii="Arial" w:hAnsi="Arial" w:cs="Arial"/>
          <w:noProof/>
          <w:lang w:eastAsia="en-GB"/>
        </w:rPr>
        <w:t xml:space="preserve"> over 20 staff members in their </w:t>
      </w:r>
      <w:r w:rsidR="00B0415D">
        <w:rPr>
          <w:rFonts w:ascii="Arial" w:hAnsi="Arial" w:cs="Arial"/>
          <w:noProof/>
          <w:lang w:eastAsia="en-GB"/>
        </w:rPr>
        <w:t>local employment services in 202</w:t>
      </w:r>
      <w:r w:rsidR="00E116A0">
        <w:rPr>
          <w:rFonts w:ascii="Arial" w:hAnsi="Arial" w:cs="Arial"/>
          <w:noProof/>
          <w:lang w:eastAsia="en-GB"/>
        </w:rPr>
        <w:t>2</w:t>
      </w:r>
      <w:r w:rsidR="00034872">
        <w:rPr>
          <w:rFonts w:ascii="Arial" w:hAnsi="Arial" w:cs="Arial"/>
          <w:noProof/>
          <w:lang w:eastAsia="en-GB"/>
        </w:rPr>
        <w:t>/23</w:t>
      </w:r>
      <w:r w:rsidR="00B0415D">
        <w:rPr>
          <w:rFonts w:ascii="Arial" w:hAnsi="Arial" w:cs="Arial"/>
          <w:noProof/>
          <w:lang w:eastAsia="en-GB"/>
        </w:rPr>
        <w:t xml:space="preserve">, a </w:t>
      </w:r>
      <w:r w:rsidR="00E116A0">
        <w:rPr>
          <w:rFonts w:ascii="Arial" w:hAnsi="Arial" w:cs="Arial"/>
          <w:noProof/>
          <w:lang w:eastAsia="en-GB"/>
        </w:rPr>
        <w:t>smaller proportion than that in 2021</w:t>
      </w:r>
      <w:r w:rsidR="00034872">
        <w:rPr>
          <w:rFonts w:ascii="Arial" w:hAnsi="Arial" w:cs="Arial"/>
          <w:noProof/>
          <w:lang w:eastAsia="en-GB"/>
        </w:rPr>
        <w:t>/22</w:t>
      </w:r>
      <w:r w:rsidR="00E116A0">
        <w:rPr>
          <w:rFonts w:ascii="Arial" w:hAnsi="Arial" w:cs="Arial"/>
          <w:noProof/>
          <w:lang w:eastAsia="en-GB"/>
        </w:rPr>
        <w:t xml:space="preserve"> (56%), but greater than that of 2020</w:t>
      </w:r>
      <w:r w:rsidR="00034872">
        <w:rPr>
          <w:rFonts w:ascii="Arial" w:hAnsi="Arial" w:cs="Arial"/>
          <w:noProof/>
          <w:lang w:eastAsia="en-GB"/>
        </w:rPr>
        <w:t>/21</w:t>
      </w:r>
      <w:r w:rsidR="00E116A0">
        <w:rPr>
          <w:rFonts w:ascii="Arial" w:hAnsi="Arial" w:cs="Arial"/>
          <w:noProof/>
          <w:lang w:eastAsia="en-GB"/>
        </w:rPr>
        <w:t xml:space="preserve"> (29%).</w:t>
      </w:r>
      <w:r w:rsidR="00B0415D">
        <w:rPr>
          <w:rFonts w:ascii="Arial" w:hAnsi="Arial" w:cs="Arial"/>
          <w:noProof/>
          <w:lang w:eastAsia="en-GB"/>
        </w:rPr>
        <w:t xml:space="preserve"> </w:t>
      </w:r>
      <w:r w:rsidR="009F4E83">
        <w:rPr>
          <w:rFonts w:ascii="Arial" w:hAnsi="Arial" w:cs="Arial"/>
          <w:noProof/>
          <w:lang w:eastAsia="en-GB"/>
        </w:rPr>
        <w:t xml:space="preserve">In total, boroughs employed </w:t>
      </w:r>
      <w:r w:rsidR="000E3FCF">
        <w:rPr>
          <w:rFonts w:ascii="Arial" w:hAnsi="Arial" w:cs="Arial"/>
          <w:noProof/>
          <w:lang w:eastAsia="en-GB"/>
        </w:rPr>
        <w:t>6</w:t>
      </w:r>
      <w:r w:rsidR="00E116A0">
        <w:rPr>
          <w:rFonts w:ascii="Arial" w:hAnsi="Arial" w:cs="Arial"/>
          <w:noProof/>
          <w:lang w:eastAsia="en-GB"/>
        </w:rPr>
        <w:t>60</w:t>
      </w:r>
      <w:r w:rsidR="000E3FCF">
        <w:rPr>
          <w:rFonts w:ascii="Arial" w:hAnsi="Arial" w:cs="Arial"/>
          <w:noProof/>
          <w:lang w:eastAsia="en-GB"/>
        </w:rPr>
        <w:t xml:space="preserve"> staff members across London </w:t>
      </w:r>
      <w:r w:rsidR="00E44313">
        <w:rPr>
          <w:rFonts w:ascii="Arial" w:hAnsi="Arial" w:cs="Arial"/>
          <w:noProof/>
          <w:lang w:eastAsia="en-GB"/>
        </w:rPr>
        <w:t>in 202</w:t>
      </w:r>
      <w:r w:rsidR="00E116A0">
        <w:rPr>
          <w:rFonts w:ascii="Arial" w:hAnsi="Arial" w:cs="Arial"/>
          <w:noProof/>
          <w:lang w:eastAsia="en-GB"/>
        </w:rPr>
        <w:t>2</w:t>
      </w:r>
      <w:r w:rsidR="00034872">
        <w:rPr>
          <w:rFonts w:ascii="Arial" w:hAnsi="Arial" w:cs="Arial"/>
          <w:noProof/>
          <w:lang w:eastAsia="en-GB"/>
        </w:rPr>
        <w:t>/23</w:t>
      </w:r>
      <w:r w:rsidR="00E44313">
        <w:rPr>
          <w:rFonts w:ascii="Arial" w:hAnsi="Arial" w:cs="Arial"/>
          <w:noProof/>
          <w:lang w:eastAsia="en-GB"/>
        </w:rPr>
        <w:t xml:space="preserve"> </w:t>
      </w:r>
      <w:r w:rsidR="000E3FCF">
        <w:rPr>
          <w:rFonts w:ascii="Arial" w:hAnsi="Arial" w:cs="Arial"/>
          <w:noProof/>
          <w:lang w:eastAsia="en-GB"/>
        </w:rPr>
        <w:t xml:space="preserve">– </w:t>
      </w:r>
      <w:r w:rsidR="00F46722">
        <w:rPr>
          <w:rFonts w:ascii="Arial" w:hAnsi="Arial" w:cs="Arial"/>
          <w:noProof/>
          <w:lang w:eastAsia="en-GB"/>
        </w:rPr>
        <w:t>slightly fewer than the number in 2021</w:t>
      </w:r>
      <w:r w:rsidR="00034872">
        <w:rPr>
          <w:rFonts w:ascii="Arial" w:hAnsi="Arial" w:cs="Arial"/>
          <w:noProof/>
          <w:lang w:eastAsia="en-GB"/>
        </w:rPr>
        <w:t>/22</w:t>
      </w:r>
      <w:r w:rsidR="00F46722">
        <w:rPr>
          <w:rFonts w:ascii="Arial" w:hAnsi="Arial" w:cs="Arial"/>
          <w:noProof/>
          <w:lang w:eastAsia="en-GB"/>
        </w:rPr>
        <w:t xml:space="preserve"> (683) but </w:t>
      </w:r>
      <w:r w:rsidR="000E3FCF">
        <w:rPr>
          <w:rFonts w:ascii="Arial" w:hAnsi="Arial" w:cs="Arial"/>
          <w:noProof/>
          <w:lang w:eastAsia="en-GB"/>
        </w:rPr>
        <w:t>almos</w:t>
      </w:r>
      <w:r w:rsidR="00E44313">
        <w:rPr>
          <w:rFonts w:ascii="Arial" w:hAnsi="Arial" w:cs="Arial"/>
          <w:noProof/>
          <w:lang w:eastAsia="en-GB"/>
        </w:rPr>
        <w:t>t</w:t>
      </w:r>
      <w:r w:rsidR="000E3FCF">
        <w:rPr>
          <w:rFonts w:ascii="Arial" w:hAnsi="Arial" w:cs="Arial"/>
          <w:noProof/>
          <w:lang w:eastAsia="en-GB"/>
        </w:rPr>
        <w:t xml:space="preserve"> double the figure recorded </w:t>
      </w:r>
      <w:r w:rsidR="00E44313">
        <w:rPr>
          <w:rFonts w:ascii="Arial" w:hAnsi="Arial" w:cs="Arial"/>
          <w:noProof/>
          <w:lang w:eastAsia="en-GB"/>
        </w:rPr>
        <w:t>in 2020</w:t>
      </w:r>
      <w:r w:rsidR="00034872">
        <w:rPr>
          <w:rFonts w:ascii="Arial" w:hAnsi="Arial" w:cs="Arial"/>
          <w:noProof/>
          <w:lang w:eastAsia="en-GB"/>
        </w:rPr>
        <w:t>/21</w:t>
      </w:r>
      <w:r w:rsidR="00E44313">
        <w:rPr>
          <w:rFonts w:ascii="Arial" w:hAnsi="Arial" w:cs="Arial"/>
          <w:noProof/>
          <w:lang w:eastAsia="en-GB"/>
        </w:rPr>
        <w:t xml:space="preserve"> </w:t>
      </w:r>
      <w:r w:rsidR="000E3FCF">
        <w:rPr>
          <w:rFonts w:ascii="Arial" w:hAnsi="Arial" w:cs="Arial"/>
          <w:noProof/>
          <w:lang w:eastAsia="en-GB"/>
        </w:rPr>
        <w:t>(387).</w:t>
      </w:r>
    </w:p>
    <w:p w14:paraId="6C576434" w14:textId="77777777" w:rsidR="00B01137" w:rsidRDefault="00B01137" w:rsidP="008456AE">
      <w:pPr>
        <w:spacing w:after="0"/>
        <w:rPr>
          <w:rFonts w:ascii="Arial" w:hAnsi="Arial" w:cs="Arial"/>
          <w:b/>
          <w:i/>
          <w:sz w:val="20"/>
        </w:rPr>
      </w:pPr>
    </w:p>
    <w:p w14:paraId="3D05F5CE" w14:textId="77777777" w:rsidR="00B01137" w:rsidRDefault="00B01137" w:rsidP="008456AE">
      <w:pPr>
        <w:spacing w:after="0"/>
        <w:rPr>
          <w:rFonts w:ascii="Arial" w:hAnsi="Arial" w:cs="Arial"/>
          <w:b/>
          <w:i/>
          <w:sz w:val="20"/>
        </w:rPr>
      </w:pPr>
    </w:p>
    <w:p w14:paraId="21178CE8" w14:textId="77777777" w:rsidR="00B01137" w:rsidRDefault="00B01137" w:rsidP="008456AE">
      <w:pPr>
        <w:spacing w:after="0"/>
        <w:rPr>
          <w:rFonts w:ascii="Arial" w:hAnsi="Arial" w:cs="Arial"/>
          <w:b/>
          <w:i/>
          <w:sz w:val="20"/>
        </w:rPr>
      </w:pPr>
    </w:p>
    <w:p w14:paraId="6C49C4FD" w14:textId="77777777" w:rsidR="00B01137" w:rsidRDefault="00B01137" w:rsidP="008456AE">
      <w:pPr>
        <w:spacing w:after="0"/>
        <w:rPr>
          <w:rFonts w:ascii="Arial" w:hAnsi="Arial" w:cs="Arial"/>
          <w:b/>
          <w:i/>
          <w:sz w:val="20"/>
        </w:rPr>
      </w:pPr>
    </w:p>
    <w:p w14:paraId="3F4A8939" w14:textId="77777777" w:rsidR="00B01137" w:rsidRDefault="00B01137" w:rsidP="008456AE">
      <w:pPr>
        <w:spacing w:after="0"/>
        <w:rPr>
          <w:rFonts w:ascii="Arial" w:hAnsi="Arial" w:cs="Arial"/>
          <w:b/>
          <w:i/>
          <w:sz w:val="20"/>
        </w:rPr>
      </w:pPr>
    </w:p>
    <w:p w14:paraId="5FD8CF39" w14:textId="77777777" w:rsidR="00B01137" w:rsidRDefault="00B01137" w:rsidP="008456AE">
      <w:pPr>
        <w:spacing w:after="0"/>
        <w:rPr>
          <w:rFonts w:ascii="Arial" w:hAnsi="Arial" w:cs="Arial"/>
          <w:b/>
          <w:i/>
          <w:sz w:val="20"/>
        </w:rPr>
      </w:pPr>
    </w:p>
    <w:p w14:paraId="0F54A5D8" w14:textId="77777777" w:rsidR="00B01137" w:rsidRDefault="00B01137" w:rsidP="008456AE">
      <w:pPr>
        <w:spacing w:after="0"/>
        <w:rPr>
          <w:rFonts w:ascii="Arial" w:hAnsi="Arial" w:cs="Arial"/>
          <w:b/>
          <w:i/>
          <w:sz w:val="20"/>
        </w:rPr>
      </w:pPr>
    </w:p>
    <w:p w14:paraId="15BC0A08" w14:textId="77777777" w:rsidR="00B01137" w:rsidRDefault="00B01137" w:rsidP="008456AE">
      <w:pPr>
        <w:spacing w:after="0"/>
        <w:rPr>
          <w:rFonts w:ascii="Arial" w:hAnsi="Arial" w:cs="Arial"/>
          <w:b/>
          <w:i/>
          <w:sz w:val="20"/>
        </w:rPr>
      </w:pPr>
    </w:p>
    <w:p w14:paraId="635CBD97" w14:textId="77777777" w:rsidR="00B01137" w:rsidRDefault="00B01137" w:rsidP="008456AE">
      <w:pPr>
        <w:spacing w:after="0"/>
        <w:rPr>
          <w:rFonts w:ascii="Arial" w:hAnsi="Arial" w:cs="Arial"/>
          <w:b/>
          <w:i/>
          <w:sz w:val="20"/>
        </w:rPr>
      </w:pPr>
    </w:p>
    <w:p w14:paraId="7D6AAF6F" w14:textId="77777777" w:rsidR="00B01137" w:rsidRDefault="00B01137" w:rsidP="008456AE">
      <w:pPr>
        <w:spacing w:after="0"/>
        <w:rPr>
          <w:rFonts w:ascii="Arial" w:hAnsi="Arial" w:cs="Arial"/>
          <w:b/>
          <w:i/>
          <w:sz w:val="20"/>
        </w:rPr>
      </w:pPr>
    </w:p>
    <w:p w14:paraId="6F356612" w14:textId="5B6644CF" w:rsidR="008456AE" w:rsidRPr="0088161E" w:rsidRDefault="008456AE" w:rsidP="008456AE">
      <w:pPr>
        <w:spacing w:after="0"/>
        <w:rPr>
          <w:rFonts w:ascii="Arial" w:hAnsi="Arial" w:cs="Arial"/>
          <w:b/>
          <w:i/>
          <w:sz w:val="20"/>
        </w:rPr>
      </w:pPr>
      <w:r w:rsidRPr="0088161E">
        <w:rPr>
          <w:rFonts w:ascii="Arial" w:hAnsi="Arial" w:cs="Arial"/>
          <w:b/>
          <w:i/>
          <w:sz w:val="20"/>
        </w:rPr>
        <w:lastRenderedPageBreak/>
        <w:t xml:space="preserve">Figure 3. </w:t>
      </w:r>
      <w:r w:rsidR="00FE1A87" w:rsidRPr="0088161E">
        <w:rPr>
          <w:rFonts w:ascii="Arial" w:hAnsi="Arial" w:cs="Arial"/>
          <w:b/>
          <w:i/>
          <w:sz w:val="20"/>
        </w:rPr>
        <w:t xml:space="preserve">How many </w:t>
      </w:r>
      <w:r w:rsidR="0088161E">
        <w:rPr>
          <w:rFonts w:ascii="Arial" w:hAnsi="Arial" w:cs="Arial"/>
          <w:b/>
          <w:i/>
          <w:sz w:val="20"/>
        </w:rPr>
        <w:t xml:space="preserve">FTE </w:t>
      </w:r>
      <w:r w:rsidR="00FE1A87" w:rsidRPr="0088161E">
        <w:rPr>
          <w:rFonts w:ascii="Arial" w:hAnsi="Arial" w:cs="Arial"/>
          <w:b/>
          <w:i/>
          <w:sz w:val="20"/>
        </w:rPr>
        <w:t xml:space="preserve">staff are employed in </w:t>
      </w:r>
      <w:r w:rsidR="0088161E">
        <w:rPr>
          <w:rFonts w:ascii="Arial" w:hAnsi="Arial" w:cs="Arial"/>
          <w:b/>
          <w:i/>
          <w:sz w:val="20"/>
        </w:rPr>
        <w:t xml:space="preserve">your borough’s </w:t>
      </w:r>
      <w:r w:rsidR="00FE1A87" w:rsidRPr="0088161E">
        <w:rPr>
          <w:rFonts w:ascii="Arial" w:hAnsi="Arial" w:cs="Arial"/>
          <w:b/>
          <w:i/>
          <w:sz w:val="20"/>
        </w:rPr>
        <w:t>service?</w:t>
      </w:r>
    </w:p>
    <w:p w14:paraId="19E05DA8" w14:textId="1899F372" w:rsidR="008456AE" w:rsidRPr="0088161E" w:rsidRDefault="00996A05" w:rsidP="008456AE">
      <w:pPr>
        <w:spacing w:after="0"/>
        <w:rPr>
          <w:rFonts w:ascii="Arial" w:hAnsi="Arial" w:cs="Arial"/>
          <w:noProof/>
          <w:lang w:eastAsia="en-GB"/>
        </w:rPr>
      </w:pPr>
      <w:r w:rsidRPr="0088161E">
        <w:rPr>
          <w:noProof/>
        </w:rPr>
        <w:drawing>
          <wp:inline distT="0" distB="0" distL="0" distR="0" wp14:anchorId="763AC476" wp14:editId="1994EF6E">
            <wp:extent cx="5715000" cy="2743200"/>
            <wp:effectExtent l="0" t="0" r="0" b="0"/>
            <wp:docPr id="12" name="Chart 12">
              <a:extLst xmlns:a="http://schemas.openxmlformats.org/drawingml/2006/main">
                <a:ext uri="{FF2B5EF4-FFF2-40B4-BE49-F238E27FC236}">
                  <a16:creationId xmlns:a16="http://schemas.microsoft.com/office/drawing/2014/main" id="{AA248B91-B3D0-4B9B-8170-4B8422F9E3B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2D65B611" w14:textId="347AFD73" w:rsidR="008456AE" w:rsidRDefault="008456AE" w:rsidP="008456AE">
      <w:pPr>
        <w:spacing w:after="0"/>
        <w:jc w:val="right"/>
        <w:rPr>
          <w:rFonts w:ascii="Arial" w:hAnsi="Arial" w:cs="Arial"/>
          <w:sz w:val="20"/>
        </w:rPr>
      </w:pPr>
      <w:r w:rsidRPr="0088161E">
        <w:rPr>
          <w:rFonts w:ascii="Arial" w:hAnsi="Arial" w:cs="Arial"/>
          <w:sz w:val="20"/>
        </w:rPr>
        <w:t xml:space="preserve">Base: </w:t>
      </w:r>
      <w:r w:rsidR="00034872" w:rsidRPr="0088161E">
        <w:rPr>
          <w:rFonts w:ascii="Arial" w:hAnsi="Arial" w:cs="Arial"/>
          <w:sz w:val="20"/>
        </w:rPr>
        <w:t>30</w:t>
      </w:r>
      <w:r w:rsidR="003B13AF" w:rsidRPr="0088161E">
        <w:rPr>
          <w:rFonts w:ascii="Arial" w:hAnsi="Arial" w:cs="Arial"/>
          <w:sz w:val="20"/>
        </w:rPr>
        <w:t xml:space="preserve"> responses in 2022</w:t>
      </w:r>
      <w:r w:rsidR="00034872" w:rsidRPr="0088161E">
        <w:rPr>
          <w:rFonts w:ascii="Arial" w:hAnsi="Arial" w:cs="Arial"/>
          <w:sz w:val="20"/>
        </w:rPr>
        <w:t>/23</w:t>
      </w:r>
      <w:r w:rsidR="003B13AF" w:rsidRPr="0088161E">
        <w:rPr>
          <w:rFonts w:ascii="Arial" w:hAnsi="Arial" w:cs="Arial"/>
          <w:sz w:val="20"/>
        </w:rPr>
        <w:t xml:space="preserve">, </w:t>
      </w:r>
      <w:r w:rsidRPr="0088161E">
        <w:rPr>
          <w:rFonts w:ascii="Arial" w:hAnsi="Arial" w:cs="Arial"/>
          <w:sz w:val="20"/>
        </w:rPr>
        <w:t>2</w:t>
      </w:r>
      <w:r w:rsidR="00034872" w:rsidRPr="0088161E">
        <w:rPr>
          <w:rFonts w:ascii="Arial" w:hAnsi="Arial" w:cs="Arial"/>
          <w:sz w:val="20"/>
        </w:rPr>
        <w:t>7</w:t>
      </w:r>
      <w:r w:rsidRPr="0088161E">
        <w:rPr>
          <w:rFonts w:ascii="Arial" w:hAnsi="Arial" w:cs="Arial"/>
          <w:sz w:val="20"/>
        </w:rPr>
        <w:t xml:space="preserve"> responses in 202</w:t>
      </w:r>
      <w:r w:rsidR="00034872" w:rsidRPr="0088161E">
        <w:rPr>
          <w:rFonts w:ascii="Arial" w:hAnsi="Arial" w:cs="Arial"/>
          <w:sz w:val="20"/>
        </w:rPr>
        <w:t>1/22</w:t>
      </w:r>
      <w:r w:rsidRPr="0088161E">
        <w:rPr>
          <w:rFonts w:ascii="Arial" w:hAnsi="Arial" w:cs="Arial"/>
          <w:sz w:val="20"/>
        </w:rPr>
        <w:t xml:space="preserve"> and </w:t>
      </w:r>
      <w:r w:rsidR="00034872" w:rsidRPr="0088161E">
        <w:rPr>
          <w:rFonts w:ascii="Arial" w:hAnsi="Arial" w:cs="Arial"/>
          <w:sz w:val="20"/>
        </w:rPr>
        <w:t>24</w:t>
      </w:r>
      <w:r w:rsidRPr="0088161E">
        <w:rPr>
          <w:rFonts w:ascii="Arial" w:hAnsi="Arial" w:cs="Arial"/>
          <w:sz w:val="20"/>
        </w:rPr>
        <w:t xml:space="preserve"> responses in 20</w:t>
      </w:r>
      <w:r w:rsidR="00034872" w:rsidRPr="0088161E">
        <w:rPr>
          <w:rFonts w:ascii="Arial" w:hAnsi="Arial" w:cs="Arial"/>
          <w:sz w:val="20"/>
        </w:rPr>
        <w:t>20/21</w:t>
      </w:r>
      <w:r w:rsidRPr="0088161E">
        <w:rPr>
          <w:rFonts w:ascii="Arial" w:hAnsi="Arial" w:cs="Arial"/>
          <w:sz w:val="20"/>
        </w:rPr>
        <w:t>.</w:t>
      </w:r>
    </w:p>
    <w:p w14:paraId="79BBF3E6" w14:textId="3A88B026" w:rsidR="006E6381" w:rsidRDefault="006E6381" w:rsidP="008456AE">
      <w:pPr>
        <w:spacing w:after="0"/>
        <w:jc w:val="right"/>
        <w:rPr>
          <w:rFonts w:ascii="Arial" w:hAnsi="Arial" w:cs="Arial"/>
          <w:sz w:val="20"/>
        </w:rPr>
      </w:pPr>
    </w:p>
    <w:p w14:paraId="7BDDE97A" w14:textId="01017C26" w:rsidR="00785CDD" w:rsidRPr="0028385B" w:rsidRDefault="00725F5F" w:rsidP="00725F5F">
      <w:pPr>
        <w:rPr>
          <w:rFonts w:ascii="Arial" w:hAnsi="Arial" w:cs="Arial"/>
          <w:noProof/>
          <w:lang w:eastAsia="en-GB"/>
        </w:rPr>
      </w:pPr>
      <w:r w:rsidRPr="0028385B">
        <w:rPr>
          <w:rFonts w:ascii="Arial" w:hAnsi="Arial" w:cs="Arial"/>
          <w:noProof/>
          <w:lang w:eastAsia="en-GB"/>
        </w:rPr>
        <w:t xml:space="preserve">Boroughs were asked to estimate the number of people using their service every year. </w:t>
      </w:r>
      <w:r w:rsidR="00785CDD" w:rsidRPr="0028385B">
        <w:rPr>
          <w:rFonts w:ascii="Arial" w:hAnsi="Arial" w:cs="Arial"/>
          <w:noProof/>
          <w:lang w:eastAsia="en-GB"/>
        </w:rPr>
        <w:t>This range</w:t>
      </w:r>
      <w:r w:rsidR="006B56B5">
        <w:rPr>
          <w:rFonts w:ascii="Arial" w:hAnsi="Arial" w:cs="Arial"/>
          <w:noProof/>
          <w:lang w:eastAsia="en-GB"/>
        </w:rPr>
        <w:t>d</w:t>
      </w:r>
      <w:r w:rsidR="00785CDD" w:rsidRPr="0028385B">
        <w:rPr>
          <w:rFonts w:ascii="Arial" w:hAnsi="Arial" w:cs="Arial"/>
          <w:noProof/>
          <w:lang w:eastAsia="en-GB"/>
        </w:rPr>
        <w:t xml:space="preserve"> </w:t>
      </w:r>
      <w:r w:rsidR="00086DFD">
        <w:rPr>
          <w:rFonts w:ascii="Arial" w:hAnsi="Arial" w:cs="Arial"/>
          <w:noProof/>
          <w:lang w:eastAsia="en-GB"/>
        </w:rPr>
        <w:t xml:space="preserve">between </w:t>
      </w:r>
      <w:r w:rsidR="008D63DD">
        <w:rPr>
          <w:rFonts w:ascii="Arial" w:hAnsi="Arial" w:cs="Arial"/>
          <w:noProof/>
          <w:lang w:eastAsia="en-GB"/>
        </w:rPr>
        <w:t>2</w:t>
      </w:r>
      <w:r w:rsidR="00F853E5">
        <w:rPr>
          <w:rFonts w:ascii="Arial" w:hAnsi="Arial" w:cs="Arial"/>
          <w:noProof/>
          <w:lang w:eastAsia="en-GB"/>
        </w:rPr>
        <w:t>30</w:t>
      </w:r>
      <w:r w:rsidR="000604EF">
        <w:rPr>
          <w:rFonts w:ascii="Arial" w:hAnsi="Arial" w:cs="Arial"/>
          <w:noProof/>
          <w:lang w:eastAsia="en-GB"/>
        </w:rPr>
        <w:t xml:space="preserve"> and </w:t>
      </w:r>
      <w:r w:rsidR="00086DFD">
        <w:rPr>
          <w:rFonts w:ascii="Arial" w:hAnsi="Arial" w:cs="Arial"/>
          <w:noProof/>
          <w:lang w:eastAsia="en-GB"/>
        </w:rPr>
        <w:t>3</w:t>
      </w:r>
      <w:r w:rsidR="00F853E5">
        <w:rPr>
          <w:rFonts w:ascii="Arial" w:hAnsi="Arial" w:cs="Arial"/>
          <w:noProof/>
          <w:lang w:eastAsia="en-GB"/>
        </w:rPr>
        <w:t>,200</w:t>
      </w:r>
      <w:r w:rsidR="000604EF">
        <w:rPr>
          <w:rFonts w:ascii="Arial" w:hAnsi="Arial" w:cs="Arial"/>
          <w:noProof/>
          <w:lang w:eastAsia="en-GB"/>
        </w:rPr>
        <w:t>. On average, borough</w:t>
      </w:r>
      <w:r w:rsidR="006B56B5">
        <w:rPr>
          <w:rFonts w:ascii="Arial" w:hAnsi="Arial" w:cs="Arial"/>
          <w:noProof/>
          <w:lang w:eastAsia="en-GB"/>
        </w:rPr>
        <w:t xml:space="preserve">s’ employment services had </w:t>
      </w:r>
      <w:r w:rsidR="00086DFD">
        <w:rPr>
          <w:rFonts w:ascii="Arial" w:hAnsi="Arial" w:cs="Arial"/>
          <w:noProof/>
          <w:lang w:eastAsia="en-GB"/>
        </w:rPr>
        <w:t>1,533</w:t>
      </w:r>
      <w:r w:rsidR="006B56B5">
        <w:rPr>
          <w:rFonts w:ascii="Arial" w:hAnsi="Arial" w:cs="Arial"/>
          <w:noProof/>
          <w:lang w:eastAsia="en-GB"/>
        </w:rPr>
        <w:t xml:space="preserve"> people accessing them in </w:t>
      </w:r>
      <w:r w:rsidR="00F853E5">
        <w:rPr>
          <w:rFonts w:ascii="Arial" w:hAnsi="Arial" w:cs="Arial"/>
          <w:noProof/>
          <w:lang w:eastAsia="en-GB"/>
        </w:rPr>
        <w:t>2022</w:t>
      </w:r>
      <w:r w:rsidR="0088161E">
        <w:rPr>
          <w:rFonts w:ascii="Arial" w:hAnsi="Arial" w:cs="Arial"/>
          <w:noProof/>
          <w:lang w:eastAsia="en-GB"/>
        </w:rPr>
        <w:t>/23</w:t>
      </w:r>
      <w:r w:rsidR="006B56B5">
        <w:rPr>
          <w:rFonts w:ascii="Arial" w:hAnsi="Arial" w:cs="Arial"/>
          <w:noProof/>
          <w:lang w:eastAsia="en-GB"/>
        </w:rPr>
        <w:t xml:space="preserve"> – a </w:t>
      </w:r>
      <w:r w:rsidR="003F0496">
        <w:rPr>
          <w:rFonts w:ascii="Arial" w:hAnsi="Arial" w:cs="Arial"/>
          <w:noProof/>
          <w:lang w:eastAsia="en-GB"/>
        </w:rPr>
        <w:t>slightly lower</w:t>
      </w:r>
      <w:r w:rsidR="00FA5915">
        <w:rPr>
          <w:rFonts w:ascii="Arial" w:hAnsi="Arial" w:cs="Arial"/>
          <w:noProof/>
          <w:lang w:eastAsia="en-GB"/>
        </w:rPr>
        <w:t xml:space="preserve"> number</w:t>
      </w:r>
      <w:r w:rsidR="006B56B5">
        <w:rPr>
          <w:rFonts w:ascii="Arial" w:hAnsi="Arial" w:cs="Arial"/>
          <w:noProof/>
          <w:lang w:eastAsia="en-GB"/>
        </w:rPr>
        <w:t xml:space="preserve"> than the average for </w:t>
      </w:r>
      <w:r w:rsidR="00934489">
        <w:rPr>
          <w:rFonts w:ascii="Arial" w:hAnsi="Arial" w:cs="Arial"/>
          <w:noProof/>
          <w:lang w:eastAsia="en-GB"/>
        </w:rPr>
        <w:t>202</w:t>
      </w:r>
      <w:r w:rsidR="00F853E5">
        <w:rPr>
          <w:rFonts w:ascii="Arial" w:hAnsi="Arial" w:cs="Arial"/>
          <w:noProof/>
          <w:lang w:eastAsia="en-GB"/>
        </w:rPr>
        <w:t>1</w:t>
      </w:r>
      <w:r w:rsidR="0088161E">
        <w:rPr>
          <w:rFonts w:ascii="Arial" w:hAnsi="Arial" w:cs="Arial"/>
          <w:noProof/>
          <w:lang w:eastAsia="en-GB"/>
        </w:rPr>
        <w:t>/22</w:t>
      </w:r>
      <w:r w:rsidR="006B56B5">
        <w:rPr>
          <w:rFonts w:ascii="Arial" w:hAnsi="Arial" w:cs="Arial"/>
          <w:noProof/>
          <w:lang w:eastAsia="en-GB"/>
        </w:rPr>
        <w:t xml:space="preserve"> (</w:t>
      </w:r>
      <w:r w:rsidR="00F853E5">
        <w:rPr>
          <w:rFonts w:ascii="Arial" w:hAnsi="Arial" w:cs="Arial"/>
          <w:noProof/>
          <w:lang w:eastAsia="en-GB"/>
        </w:rPr>
        <w:t>1703</w:t>
      </w:r>
      <w:r w:rsidR="006B56B5">
        <w:rPr>
          <w:rFonts w:ascii="Arial" w:hAnsi="Arial" w:cs="Arial"/>
          <w:noProof/>
          <w:lang w:eastAsia="en-GB"/>
        </w:rPr>
        <w:t>).</w:t>
      </w:r>
      <w:r w:rsidR="007B4BE6">
        <w:rPr>
          <w:rFonts w:ascii="Arial" w:hAnsi="Arial" w:cs="Arial"/>
          <w:noProof/>
          <w:lang w:eastAsia="en-GB"/>
        </w:rPr>
        <w:t xml:space="preserve"> </w:t>
      </w:r>
      <w:r w:rsidR="007B4BE6">
        <w:rPr>
          <w:rFonts w:ascii="Arial" w:hAnsi="Arial" w:cs="Arial"/>
        </w:rPr>
        <w:t>In total, boroughs support</w:t>
      </w:r>
      <w:r w:rsidR="004545AE">
        <w:rPr>
          <w:rFonts w:ascii="Arial" w:hAnsi="Arial" w:cs="Arial"/>
        </w:rPr>
        <w:t xml:space="preserve">ed </w:t>
      </w:r>
      <w:r w:rsidR="00DE3EFF">
        <w:rPr>
          <w:rFonts w:ascii="Arial" w:hAnsi="Arial" w:cs="Arial"/>
        </w:rPr>
        <w:t>42</w:t>
      </w:r>
      <w:r w:rsidR="00F853E5">
        <w:rPr>
          <w:rFonts w:ascii="Arial" w:hAnsi="Arial" w:cs="Arial"/>
        </w:rPr>
        <w:t>,</w:t>
      </w:r>
      <w:r w:rsidR="00DE3EFF">
        <w:rPr>
          <w:rFonts w:ascii="Arial" w:hAnsi="Arial" w:cs="Arial"/>
        </w:rPr>
        <w:t>9</w:t>
      </w:r>
      <w:r w:rsidR="00F853E5">
        <w:rPr>
          <w:rFonts w:ascii="Arial" w:hAnsi="Arial" w:cs="Arial"/>
        </w:rPr>
        <w:t>30</w:t>
      </w:r>
      <w:r w:rsidR="004545AE">
        <w:rPr>
          <w:rFonts w:ascii="Arial" w:hAnsi="Arial" w:cs="Arial"/>
        </w:rPr>
        <w:t xml:space="preserve"> Londoners</w:t>
      </w:r>
      <w:r w:rsidR="00574731">
        <w:rPr>
          <w:rFonts w:ascii="Arial" w:hAnsi="Arial" w:cs="Arial"/>
        </w:rPr>
        <w:t xml:space="preserve"> in 202</w:t>
      </w:r>
      <w:r w:rsidR="00F853E5">
        <w:rPr>
          <w:rFonts w:ascii="Arial" w:hAnsi="Arial" w:cs="Arial"/>
        </w:rPr>
        <w:t>2</w:t>
      </w:r>
      <w:r w:rsidR="0088161E">
        <w:rPr>
          <w:rFonts w:ascii="Arial" w:hAnsi="Arial" w:cs="Arial"/>
        </w:rPr>
        <w:t>/23</w:t>
      </w:r>
      <w:r w:rsidR="004545AE">
        <w:rPr>
          <w:rFonts w:ascii="Arial" w:hAnsi="Arial" w:cs="Arial"/>
        </w:rPr>
        <w:t xml:space="preserve"> – </w:t>
      </w:r>
      <w:r w:rsidR="00DE3EFF">
        <w:rPr>
          <w:rFonts w:ascii="Arial" w:hAnsi="Arial" w:cs="Arial"/>
        </w:rPr>
        <w:t>slightly lower than the</w:t>
      </w:r>
      <w:r w:rsidR="004545AE">
        <w:rPr>
          <w:rFonts w:ascii="Arial" w:hAnsi="Arial" w:cs="Arial"/>
        </w:rPr>
        <w:t xml:space="preserve"> </w:t>
      </w:r>
      <w:r w:rsidR="009C7055">
        <w:rPr>
          <w:rFonts w:ascii="Arial" w:hAnsi="Arial" w:cs="Arial"/>
        </w:rPr>
        <w:t>number</w:t>
      </w:r>
      <w:r w:rsidR="004545AE">
        <w:rPr>
          <w:rFonts w:ascii="Arial" w:hAnsi="Arial" w:cs="Arial"/>
        </w:rPr>
        <w:t xml:space="preserve"> reported in 202</w:t>
      </w:r>
      <w:r w:rsidR="00F853E5">
        <w:rPr>
          <w:rFonts w:ascii="Arial" w:hAnsi="Arial" w:cs="Arial"/>
        </w:rPr>
        <w:t>1</w:t>
      </w:r>
      <w:r w:rsidR="0088161E">
        <w:rPr>
          <w:rFonts w:ascii="Arial" w:hAnsi="Arial" w:cs="Arial"/>
        </w:rPr>
        <w:t>/22</w:t>
      </w:r>
      <w:r w:rsidR="007B4BE6">
        <w:rPr>
          <w:rFonts w:ascii="Arial" w:hAnsi="Arial" w:cs="Arial"/>
        </w:rPr>
        <w:t xml:space="preserve"> </w:t>
      </w:r>
      <w:r w:rsidR="004545AE">
        <w:rPr>
          <w:rFonts w:ascii="Arial" w:hAnsi="Arial" w:cs="Arial"/>
        </w:rPr>
        <w:t>(</w:t>
      </w:r>
      <w:r w:rsidR="00F853E5">
        <w:rPr>
          <w:rFonts w:ascii="Arial" w:hAnsi="Arial" w:cs="Arial"/>
        </w:rPr>
        <w:t>4</w:t>
      </w:r>
      <w:r w:rsidR="007B4BE6">
        <w:rPr>
          <w:rFonts w:ascii="Arial" w:hAnsi="Arial" w:cs="Arial"/>
        </w:rPr>
        <w:t>4,</w:t>
      </w:r>
      <w:r w:rsidR="00F853E5">
        <w:rPr>
          <w:rFonts w:ascii="Arial" w:hAnsi="Arial" w:cs="Arial"/>
        </w:rPr>
        <w:t>274</w:t>
      </w:r>
      <w:r w:rsidR="004545AE">
        <w:rPr>
          <w:rFonts w:ascii="Arial" w:hAnsi="Arial" w:cs="Arial"/>
        </w:rPr>
        <w:t>)</w:t>
      </w:r>
      <w:r w:rsidR="007B4BE6">
        <w:rPr>
          <w:rFonts w:ascii="Arial" w:hAnsi="Arial" w:cs="Arial"/>
        </w:rPr>
        <w:t>.</w:t>
      </w:r>
      <w:bookmarkStart w:id="0" w:name="_GoBack"/>
      <w:bookmarkEnd w:id="0"/>
    </w:p>
    <w:p w14:paraId="5F333C31" w14:textId="77777777" w:rsidR="0016745F" w:rsidRDefault="0016745F" w:rsidP="00153BAC">
      <w:pPr>
        <w:spacing w:after="0"/>
        <w:jc w:val="center"/>
        <w:rPr>
          <w:rFonts w:ascii="Arial" w:hAnsi="Arial" w:cs="Arial"/>
          <w:sz w:val="20"/>
        </w:rPr>
      </w:pPr>
    </w:p>
    <w:p w14:paraId="1439A8BC" w14:textId="06BB0D73" w:rsidR="0016745F" w:rsidRPr="00153BAC" w:rsidRDefault="007E14C2" w:rsidP="00E56A05">
      <w:pPr>
        <w:rPr>
          <w:rFonts w:ascii="Arial" w:hAnsi="Arial" w:cs="Arial"/>
          <w:b/>
          <w:noProof/>
          <w:sz w:val="24"/>
          <w:lang w:eastAsia="en-GB"/>
        </w:rPr>
      </w:pPr>
      <w:r w:rsidRPr="006871EA">
        <w:rPr>
          <w:rFonts w:ascii="Arial" w:hAnsi="Arial" w:cs="Arial"/>
          <w:b/>
          <w:noProof/>
          <w:sz w:val="24"/>
          <w:lang w:eastAsia="en-GB"/>
        </w:rPr>
        <w:t>Services provided</w:t>
      </w:r>
    </w:p>
    <w:p w14:paraId="50FFACE6" w14:textId="1AB84BE4" w:rsidR="006061C0" w:rsidRDefault="000D6BAC" w:rsidP="00E56A05">
      <w:pPr>
        <w:rPr>
          <w:rFonts w:ascii="Arial" w:hAnsi="Arial" w:cs="Arial"/>
          <w:noProof/>
          <w:lang w:eastAsia="en-GB"/>
        </w:rPr>
      </w:pPr>
      <w:r>
        <w:rPr>
          <w:rFonts w:ascii="Arial" w:hAnsi="Arial" w:cs="Arial"/>
          <w:noProof/>
          <w:lang w:eastAsia="en-GB"/>
        </w:rPr>
        <w:t>London Councils</w:t>
      </w:r>
      <w:r w:rsidR="00E73FFC" w:rsidRPr="00B355D4">
        <w:rPr>
          <w:rFonts w:ascii="Arial" w:hAnsi="Arial" w:cs="Arial"/>
          <w:noProof/>
          <w:lang w:eastAsia="en-GB"/>
        </w:rPr>
        <w:t xml:space="preserve"> asked boroughs what </w:t>
      </w:r>
      <w:r w:rsidR="00016793" w:rsidRPr="00B355D4">
        <w:rPr>
          <w:rFonts w:ascii="Arial" w:hAnsi="Arial" w:cs="Arial"/>
          <w:noProof/>
          <w:lang w:eastAsia="en-GB"/>
        </w:rPr>
        <w:t>range of help they provide as part of their employment support services.</w:t>
      </w:r>
      <w:r w:rsidR="00B355D4">
        <w:rPr>
          <w:rFonts w:ascii="Arial" w:hAnsi="Arial" w:cs="Arial"/>
          <w:noProof/>
          <w:lang w:eastAsia="en-GB"/>
        </w:rPr>
        <w:t xml:space="preserve"> The majority of boroughs surveyed offer most of the </w:t>
      </w:r>
      <w:r w:rsidR="002E537B">
        <w:rPr>
          <w:rFonts w:ascii="Arial" w:hAnsi="Arial" w:cs="Arial"/>
          <w:noProof/>
          <w:lang w:eastAsia="en-GB"/>
        </w:rPr>
        <w:t>services listed in the survey, suggesting that they offer a flexible approach for people with different needs</w:t>
      </w:r>
      <w:r w:rsidR="00D03B12">
        <w:rPr>
          <w:rFonts w:ascii="Arial" w:hAnsi="Arial" w:cs="Arial"/>
          <w:noProof/>
          <w:lang w:eastAsia="en-GB"/>
        </w:rPr>
        <w:t xml:space="preserve">. </w:t>
      </w:r>
    </w:p>
    <w:p w14:paraId="4B0995CE" w14:textId="473600BC" w:rsidR="0034172D" w:rsidRDefault="00D03B12" w:rsidP="00E56A05">
      <w:pPr>
        <w:rPr>
          <w:rFonts w:ascii="Arial" w:hAnsi="Arial" w:cs="Arial"/>
          <w:noProof/>
          <w:lang w:eastAsia="en-GB"/>
        </w:rPr>
      </w:pPr>
      <w:r>
        <w:rPr>
          <w:rFonts w:ascii="Arial" w:hAnsi="Arial" w:cs="Arial"/>
          <w:noProof/>
          <w:lang w:eastAsia="en-GB"/>
        </w:rPr>
        <w:t xml:space="preserve">The most common services offered </w:t>
      </w:r>
      <w:r w:rsidR="0034172D">
        <w:rPr>
          <w:rFonts w:ascii="Arial" w:hAnsi="Arial" w:cs="Arial"/>
          <w:noProof/>
          <w:lang w:eastAsia="en-GB"/>
        </w:rPr>
        <w:t>by</w:t>
      </w:r>
      <w:r>
        <w:rPr>
          <w:rFonts w:ascii="Arial" w:hAnsi="Arial" w:cs="Arial"/>
          <w:noProof/>
          <w:lang w:eastAsia="en-GB"/>
        </w:rPr>
        <w:t xml:space="preserve"> boroughs include access to local vacancies</w:t>
      </w:r>
      <w:r w:rsidR="0034172D">
        <w:rPr>
          <w:rFonts w:ascii="Arial" w:hAnsi="Arial" w:cs="Arial"/>
          <w:noProof/>
          <w:lang w:eastAsia="en-GB"/>
        </w:rPr>
        <w:t xml:space="preserve"> (100%)</w:t>
      </w:r>
      <w:r>
        <w:rPr>
          <w:rFonts w:ascii="Arial" w:hAnsi="Arial" w:cs="Arial"/>
          <w:noProof/>
          <w:lang w:eastAsia="en-GB"/>
        </w:rPr>
        <w:t>,</w:t>
      </w:r>
      <w:r w:rsidR="0034172D">
        <w:rPr>
          <w:rFonts w:ascii="Arial" w:hAnsi="Arial" w:cs="Arial"/>
          <w:noProof/>
          <w:lang w:eastAsia="en-GB"/>
        </w:rPr>
        <w:t xml:space="preserve"> interview preparation/</w:t>
      </w:r>
      <w:r w:rsidR="00A1315C">
        <w:rPr>
          <w:rFonts w:ascii="Arial" w:hAnsi="Arial" w:cs="Arial"/>
          <w:noProof/>
          <w:lang w:eastAsia="en-GB"/>
        </w:rPr>
        <w:t xml:space="preserve">job </w:t>
      </w:r>
      <w:r w:rsidR="0034172D">
        <w:rPr>
          <w:rFonts w:ascii="Arial" w:hAnsi="Arial" w:cs="Arial"/>
          <w:noProof/>
          <w:lang w:eastAsia="en-GB"/>
        </w:rPr>
        <w:t>coaching (</w:t>
      </w:r>
      <w:r w:rsidR="009915BC">
        <w:rPr>
          <w:rFonts w:ascii="Arial" w:hAnsi="Arial" w:cs="Arial"/>
          <w:noProof/>
          <w:lang w:eastAsia="en-GB"/>
        </w:rPr>
        <w:t>100</w:t>
      </w:r>
      <w:r w:rsidR="0034172D">
        <w:rPr>
          <w:rFonts w:ascii="Arial" w:hAnsi="Arial" w:cs="Arial"/>
          <w:noProof/>
          <w:lang w:eastAsia="en-GB"/>
        </w:rPr>
        <w:t xml:space="preserve">%), </w:t>
      </w:r>
      <w:r w:rsidR="00854E72">
        <w:rPr>
          <w:rFonts w:ascii="Arial" w:hAnsi="Arial" w:cs="Arial"/>
          <w:noProof/>
          <w:lang w:eastAsia="en-GB"/>
        </w:rPr>
        <w:t>help with CV and job applicatio</w:t>
      </w:r>
      <w:r w:rsidR="00A1315C">
        <w:rPr>
          <w:rFonts w:ascii="Arial" w:hAnsi="Arial" w:cs="Arial"/>
          <w:noProof/>
          <w:lang w:eastAsia="en-GB"/>
        </w:rPr>
        <w:t>n</w:t>
      </w:r>
      <w:r w:rsidR="00854E72">
        <w:rPr>
          <w:rFonts w:ascii="Arial" w:hAnsi="Arial" w:cs="Arial"/>
          <w:noProof/>
          <w:lang w:eastAsia="en-GB"/>
        </w:rPr>
        <w:t>s (</w:t>
      </w:r>
      <w:r w:rsidR="009915BC">
        <w:rPr>
          <w:rFonts w:ascii="Arial" w:hAnsi="Arial" w:cs="Arial"/>
          <w:noProof/>
          <w:lang w:eastAsia="en-GB"/>
        </w:rPr>
        <w:t>100</w:t>
      </w:r>
      <w:r w:rsidR="00854E72">
        <w:rPr>
          <w:rFonts w:ascii="Arial" w:hAnsi="Arial" w:cs="Arial"/>
          <w:noProof/>
          <w:lang w:eastAsia="en-GB"/>
        </w:rPr>
        <w:t>%), employment advisor</w:t>
      </w:r>
      <w:r w:rsidR="00A1315C">
        <w:rPr>
          <w:rFonts w:ascii="Arial" w:hAnsi="Arial" w:cs="Arial"/>
          <w:noProof/>
          <w:lang w:eastAsia="en-GB"/>
        </w:rPr>
        <w:t>s</w:t>
      </w:r>
      <w:r w:rsidR="00854E72">
        <w:rPr>
          <w:rFonts w:ascii="Arial" w:hAnsi="Arial" w:cs="Arial"/>
          <w:noProof/>
          <w:lang w:eastAsia="en-GB"/>
        </w:rPr>
        <w:t xml:space="preserve"> (9</w:t>
      </w:r>
      <w:r w:rsidR="009915BC">
        <w:rPr>
          <w:rFonts w:ascii="Arial" w:hAnsi="Arial" w:cs="Arial"/>
          <w:noProof/>
          <w:lang w:eastAsia="en-GB"/>
        </w:rPr>
        <w:t>7</w:t>
      </w:r>
      <w:r w:rsidR="00854E72">
        <w:rPr>
          <w:rFonts w:ascii="Arial" w:hAnsi="Arial" w:cs="Arial"/>
          <w:noProof/>
          <w:lang w:eastAsia="en-GB"/>
        </w:rPr>
        <w:t>%)</w:t>
      </w:r>
      <w:r w:rsidR="00A1315C">
        <w:rPr>
          <w:rFonts w:ascii="Arial" w:hAnsi="Arial" w:cs="Arial"/>
          <w:noProof/>
          <w:lang w:eastAsia="en-GB"/>
        </w:rPr>
        <w:t xml:space="preserve">, </w:t>
      </w:r>
      <w:r w:rsidR="00854E72">
        <w:rPr>
          <w:rFonts w:ascii="Arial" w:hAnsi="Arial" w:cs="Arial"/>
          <w:noProof/>
          <w:lang w:eastAsia="en-GB"/>
        </w:rPr>
        <w:t>support to improve skills (</w:t>
      </w:r>
      <w:r w:rsidR="00986CD0">
        <w:rPr>
          <w:rFonts w:ascii="Arial" w:hAnsi="Arial" w:cs="Arial"/>
          <w:noProof/>
          <w:lang w:eastAsia="en-GB"/>
        </w:rPr>
        <w:t>93%</w:t>
      </w:r>
      <w:r w:rsidR="00A1315C">
        <w:rPr>
          <w:rFonts w:ascii="Arial" w:hAnsi="Arial" w:cs="Arial"/>
          <w:noProof/>
          <w:lang w:eastAsia="en-GB"/>
        </w:rPr>
        <w:t>), support around apprenticeships (93%), and support and advice to employers (93%).</w:t>
      </w:r>
    </w:p>
    <w:p w14:paraId="33D2279E" w14:textId="694BD9F2" w:rsidR="00AD5AB5" w:rsidRDefault="00014908" w:rsidP="00E56A05">
      <w:pPr>
        <w:rPr>
          <w:rFonts w:ascii="Arial" w:hAnsi="Arial" w:cs="Arial"/>
          <w:noProof/>
          <w:lang w:eastAsia="en-GB"/>
        </w:rPr>
      </w:pPr>
      <w:r>
        <w:rPr>
          <w:rFonts w:ascii="Arial" w:hAnsi="Arial" w:cs="Arial"/>
          <w:noProof/>
          <w:lang w:eastAsia="en-GB"/>
        </w:rPr>
        <w:t xml:space="preserve">A </w:t>
      </w:r>
      <w:r w:rsidR="00A1315C">
        <w:rPr>
          <w:rFonts w:ascii="Arial" w:hAnsi="Arial" w:cs="Arial"/>
          <w:noProof/>
          <w:lang w:eastAsia="en-GB"/>
        </w:rPr>
        <w:t>tenth</w:t>
      </w:r>
      <w:r w:rsidR="0042427C">
        <w:rPr>
          <w:rFonts w:ascii="Arial" w:hAnsi="Arial" w:cs="Arial"/>
          <w:noProof/>
          <w:lang w:eastAsia="en-GB"/>
        </w:rPr>
        <w:t xml:space="preserve"> (</w:t>
      </w:r>
      <w:r>
        <w:rPr>
          <w:rFonts w:ascii="Arial" w:hAnsi="Arial" w:cs="Arial"/>
          <w:noProof/>
          <w:lang w:eastAsia="en-GB"/>
        </w:rPr>
        <w:t>1</w:t>
      </w:r>
      <w:r w:rsidR="009915BC">
        <w:rPr>
          <w:rFonts w:ascii="Arial" w:hAnsi="Arial" w:cs="Arial"/>
          <w:noProof/>
          <w:lang w:eastAsia="en-GB"/>
        </w:rPr>
        <w:t>4</w:t>
      </w:r>
      <w:r w:rsidR="0042427C">
        <w:rPr>
          <w:rFonts w:ascii="Arial" w:hAnsi="Arial" w:cs="Arial"/>
          <w:noProof/>
          <w:lang w:eastAsia="en-GB"/>
        </w:rPr>
        <w:t xml:space="preserve">%) of the boroughs surveyed </w:t>
      </w:r>
      <w:r w:rsidR="007C0A9E">
        <w:rPr>
          <w:rFonts w:ascii="Arial" w:hAnsi="Arial" w:cs="Arial"/>
          <w:noProof/>
          <w:lang w:eastAsia="en-GB"/>
        </w:rPr>
        <w:t>also offer services beyond those suggested in the survey, including</w:t>
      </w:r>
      <w:r w:rsidR="0087017E">
        <w:rPr>
          <w:rFonts w:ascii="Arial" w:hAnsi="Arial" w:cs="Arial"/>
          <w:noProof/>
          <w:lang w:eastAsia="en-GB"/>
        </w:rPr>
        <w:t xml:space="preserve">: </w:t>
      </w:r>
    </w:p>
    <w:p w14:paraId="49A30E99" w14:textId="4D27D636" w:rsidR="00DC3518" w:rsidRDefault="00DC3518" w:rsidP="00DC3518">
      <w:pPr>
        <w:pStyle w:val="ListParagraph"/>
        <w:numPr>
          <w:ilvl w:val="0"/>
          <w:numId w:val="9"/>
        </w:numPr>
        <w:rPr>
          <w:rFonts w:ascii="Arial" w:hAnsi="Arial" w:cs="Arial"/>
          <w:noProof/>
          <w:lang w:eastAsia="en-GB"/>
        </w:rPr>
      </w:pPr>
      <w:r w:rsidRPr="00DC3518">
        <w:rPr>
          <w:rFonts w:ascii="Arial" w:hAnsi="Arial" w:cs="Arial"/>
          <w:noProof/>
          <w:lang w:eastAsia="en-GB"/>
        </w:rPr>
        <w:t>C</w:t>
      </w:r>
      <w:r w:rsidR="00A1315C">
        <w:rPr>
          <w:rFonts w:ascii="Arial" w:hAnsi="Arial" w:cs="Arial"/>
          <w:noProof/>
          <w:lang w:eastAsia="en-GB"/>
        </w:rPr>
        <w:t>onn</w:t>
      </w:r>
      <w:r w:rsidRPr="00DC3518">
        <w:rPr>
          <w:rFonts w:ascii="Arial" w:hAnsi="Arial" w:cs="Arial"/>
          <w:noProof/>
          <w:lang w:eastAsia="en-GB"/>
        </w:rPr>
        <w:t>e</w:t>
      </w:r>
      <w:r w:rsidR="00A1315C">
        <w:rPr>
          <w:rFonts w:ascii="Arial" w:hAnsi="Arial" w:cs="Arial"/>
          <w:noProof/>
          <w:lang w:eastAsia="en-GB"/>
        </w:rPr>
        <w:t>ctions with other services, including housing</w:t>
      </w:r>
    </w:p>
    <w:p w14:paraId="313862DD" w14:textId="5A8951FD" w:rsidR="00DC3518" w:rsidRDefault="00A1315C" w:rsidP="00DC3518">
      <w:pPr>
        <w:pStyle w:val="ListParagraph"/>
        <w:numPr>
          <w:ilvl w:val="0"/>
          <w:numId w:val="9"/>
        </w:numPr>
        <w:rPr>
          <w:rFonts w:ascii="Arial" w:hAnsi="Arial" w:cs="Arial"/>
          <w:noProof/>
          <w:lang w:eastAsia="en-GB"/>
        </w:rPr>
      </w:pPr>
      <w:r>
        <w:rPr>
          <w:rFonts w:ascii="Arial" w:hAnsi="Arial" w:cs="Arial"/>
          <w:noProof/>
          <w:lang w:eastAsia="en-GB"/>
        </w:rPr>
        <w:t>Health and wellbeing advice</w:t>
      </w:r>
      <w:r w:rsidR="00DC3518">
        <w:rPr>
          <w:rFonts w:ascii="Arial" w:hAnsi="Arial" w:cs="Arial"/>
          <w:noProof/>
          <w:lang w:eastAsia="en-GB"/>
        </w:rPr>
        <w:t xml:space="preserve"> </w:t>
      </w:r>
    </w:p>
    <w:p w14:paraId="354B684C" w14:textId="79AA4977" w:rsidR="00DC3518" w:rsidRDefault="00A1315C" w:rsidP="00DC3518">
      <w:pPr>
        <w:pStyle w:val="ListParagraph"/>
        <w:numPr>
          <w:ilvl w:val="0"/>
          <w:numId w:val="9"/>
        </w:numPr>
        <w:rPr>
          <w:rFonts w:ascii="Arial" w:hAnsi="Arial" w:cs="Arial"/>
          <w:noProof/>
          <w:lang w:eastAsia="en-GB"/>
        </w:rPr>
      </w:pPr>
      <w:r>
        <w:rPr>
          <w:rFonts w:ascii="Arial" w:hAnsi="Arial" w:cs="Arial"/>
          <w:noProof/>
          <w:lang w:eastAsia="en-GB"/>
        </w:rPr>
        <w:t>Debt advice</w:t>
      </w:r>
    </w:p>
    <w:p w14:paraId="4BE38441" w14:textId="1AD27901" w:rsidR="000A54E7" w:rsidRDefault="000A54E7" w:rsidP="00DC3518">
      <w:pPr>
        <w:pStyle w:val="ListParagraph"/>
        <w:numPr>
          <w:ilvl w:val="0"/>
          <w:numId w:val="9"/>
        </w:numPr>
        <w:rPr>
          <w:rFonts w:ascii="Arial" w:hAnsi="Arial" w:cs="Arial"/>
          <w:noProof/>
          <w:lang w:eastAsia="en-GB"/>
        </w:rPr>
      </w:pPr>
      <w:r>
        <w:rPr>
          <w:rFonts w:ascii="Arial" w:hAnsi="Arial" w:cs="Arial"/>
          <w:noProof/>
          <w:lang w:eastAsia="en-GB"/>
        </w:rPr>
        <w:t>Events, webinars and talks</w:t>
      </w:r>
    </w:p>
    <w:p w14:paraId="1778E6D2" w14:textId="7B791247" w:rsidR="000A54E7" w:rsidRPr="00DC3518" w:rsidRDefault="00A1315C" w:rsidP="00DC3518">
      <w:pPr>
        <w:pStyle w:val="ListParagraph"/>
        <w:numPr>
          <w:ilvl w:val="0"/>
          <w:numId w:val="9"/>
        </w:numPr>
        <w:rPr>
          <w:rFonts w:ascii="Arial" w:hAnsi="Arial" w:cs="Arial"/>
          <w:noProof/>
          <w:lang w:eastAsia="en-GB"/>
        </w:rPr>
      </w:pPr>
      <w:r>
        <w:rPr>
          <w:rFonts w:ascii="Arial" w:hAnsi="Arial" w:cs="Arial"/>
          <w:noProof/>
          <w:lang w:eastAsia="en-GB"/>
        </w:rPr>
        <w:t>Benefit calculations</w:t>
      </w:r>
    </w:p>
    <w:p w14:paraId="424F19D2" w14:textId="77777777" w:rsidR="002B2644" w:rsidRDefault="002B2644" w:rsidP="006061C0">
      <w:pPr>
        <w:spacing w:after="0"/>
        <w:rPr>
          <w:rFonts w:ascii="Arial" w:hAnsi="Arial" w:cs="Arial"/>
          <w:b/>
          <w:i/>
          <w:sz w:val="20"/>
        </w:rPr>
      </w:pPr>
    </w:p>
    <w:p w14:paraId="78ACA317" w14:textId="77777777" w:rsidR="002B2644" w:rsidRDefault="002B2644" w:rsidP="006061C0">
      <w:pPr>
        <w:spacing w:after="0"/>
        <w:rPr>
          <w:rFonts w:ascii="Arial" w:hAnsi="Arial" w:cs="Arial"/>
          <w:b/>
          <w:i/>
          <w:sz w:val="20"/>
        </w:rPr>
      </w:pPr>
    </w:p>
    <w:p w14:paraId="41F96597" w14:textId="77777777" w:rsidR="002B2644" w:rsidRDefault="002B2644" w:rsidP="006061C0">
      <w:pPr>
        <w:spacing w:after="0"/>
        <w:rPr>
          <w:rFonts w:ascii="Arial" w:hAnsi="Arial" w:cs="Arial"/>
          <w:b/>
          <w:i/>
          <w:sz w:val="20"/>
        </w:rPr>
      </w:pPr>
    </w:p>
    <w:p w14:paraId="78D28871" w14:textId="77777777" w:rsidR="002B2644" w:rsidRDefault="002B2644" w:rsidP="006061C0">
      <w:pPr>
        <w:spacing w:after="0"/>
        <w:rPr>
          <w:rFonts w:ascii="Arial" w:hAnsi="Arial" w:cs="Arial"/>
          <w:b/>
          <w:i/>
          <w:sz w:val="20"/>
        </w:rPr>
      </w:pPr>
    </w:p>
    <w:p w14:paraId="504C4E04" w14:textId="77777777" w:rsidR="002B2644" w:rsidRDefault="002B2644" w:rsidP="006061C0">
      <w:pPr>
        <w:spacing w:after="0"/>
        <w:rPr>
          <w:rFonts w:ascii="Arial" w:hAnsi="Arial" w:cs="Arial"/>
          <w:b/>
          <w:i/>
          <w:sz w:val="20"/>
        </w:rPr>
      </w:pPr>
    </w:p>
    <w:p w14:paraId="55972072" w14:textId="1B0CACC2" w:rsidR="006061C0" w:rsidRPr="00414F14" w:rsidRDefault="006061C0" w:rsidP="006061C0">
      <w:pPr>
        <w:spacing w:after="0"/>
        <w:rPr>
          <w:rFonts w:ascii="Arial" w:hAnsi="Arial" w:cs="Arial"/>
          <w:b/>
          <w:i/>
          <w:sz w:val="20"/>
        </w:rPr>
      </w:pPr>
      <w:r w:rsidRPr="00414F14">
        <w:rPr>
          <w:rFonts w:ascii="Arial" w:hAnsi="Arial" w:cs="Arial"/>
          <w:b/>
          <w:i/>
          <w:sz w:val="20"/>
        </w:rPr>
        <w:t xml:space="preserve">Figure </w:t>
      </w:r>
      <w:r w:rsidR="00D56546">
        <w:rPr>
          <w:rFonts w:ascii="Arial" w:hAnsi="Arial" w:cs="Arial"/>
          <w:b/>
          <w:i/>
          <w:sz w:val="20"/>
        </w:rPr>
        <w:t>4</w:t>
      </w:r>
      <w:r w:rsidRPr="00414F14">
        <w:rPr>
          <w:rFonts w:ascii="Arial" w:hAnsi="Arial" w:cs="Arial"/>
          <w:b/>
          <w:i/>
          <w:sz w:val="20"/>
        </w:rPr>
        <w:t xml:space="preserve">. </w:t>
      </w:r>
      <w:r w:rsidR="00251BD0" w:rsidRPr="00414F14">
        <w:rPr>
          <w:rFonts w:ascii="Arial" w:hAnsi="Arial" w:cs="Arial"/>
          <w:b/>
          <w:i/>
          <w:sz w:val="20"/>
        </w:rPr>
        <w:t>What services does your employment support service offer?</w:t>
      </w:r>
    </w:p>
    <w:p w14:paraId="029A4417" w14:textId="42CB46D1" w:rsidR="007E14C2" w:rsidRPr="00414F14" w:rsidRDefault="00414F14" w:rsidP="00D4115B">
      <w:pPr>
        <w:spacing w:after="0"/>
        <w:rPr>
          <w:rFonts w:ascii="Arial" w:hAnsi="Arial" w:cs="Arial"/>
          <w:b/>
          <w:noProof/>
          <w:lang w:eastAsia="en-GB"/>
        </w:rPr>
      </w:pPr>
      <w:r w:rsidRPr="00414F14">
        <w:rPr>
          <w:noProof/>
        </w:rPr>
        <w:lastRenderedPageBreak/>
        <w:drawing>
          <wp:inline distT="0" distB="0" distL="0" distR="0" wp14:anchorId="2543A858" wp14:editId="36DC3F9A">
            <wp:extent cx="5731510" cy="2893060"/>
            <wp:effectExtent l="0" t="0" r="2540" b="2540"/>
            <wp:docPr id="14" name="Chart 14">
              <a:extLst xmlns:a="http://schemas.openxmlformats.org/drawingml/2006/main">
                <a:ext uri="{FF2B5EF4-FFF2-40B4-BE49-F238E27FC236}">
                  <a16:creationId xmlns:a16="http://schemas.microsoft.com/office/drawing/2014/main" id="{B7D23BEC-96D2-4598-9A51-67502AD43AB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1492B4E8" w14:textId="31B9B72D" w:rsidR="00D4115B" w:rsidRDefault="00D4115B" w:rsidP="00D4115B">
      <w:pPr>
        <w:spacing w:after="0"/>
        <w:jc w:val="right"/>
        <w:rPr>
          <w:rFonts w:ascii="Arial" w:hAnsi="Arial" w:cs="Arial"/>
          <w:sz w:val="20"/>
        </w:rPr>
      </w:pPr>
      <w:r w:rsidRPr="00414F14">
        <w:rPr>
          <w:rFonts w:ascii="Arial" w:hAnsi="Arial" w:cs="Arial"/>
          <w:sz w:val="20"/>
        </w:rPr>
        <w:t>Base: 2</w:t>
      </w:r>
      <w:r w:rsidR="00414F14" w:rsidRPr="00414F14">
        <w:rPr>
          <w:rFonts w:ascii="Arial" w:hAnsi="Arial" w:cs="Arial"/>
          <w:sz w:val="20"/>
        </w:rPr>
        <w:t>9</w:t>
      </w:r>
      <w:r w:rsidRPr="00414F14">
        <w:rPr>
          <w:rFonts w:ascii="Arial" w:hAnsi="Arial" w:cs="Arial"/>
          <w:sz w:val="20"/>
        </w:rPr>
        <w:t xml:space="preserve"> responses.</w:t>
      </w:r>
    </w:p>
    <w:p w14:paraId="3CB515E2" w14:textId="77777777" w:rsidR="00414F14" w:rsidRPr="008C730F" w:rsidRDefault="00414F14" w:rsidP="00D4115B">
      <w:pPr>
        <w:spacing w:after="0"/>
        <w:jc w:val="right"/>
        <w:rPr>
          <w:rFonts w:ascii="Arial" w:hAnsi="Arial" w:cs="Arial"/>
          <w:sz w:val="20"/>
        </w:rPr>
      </w:pPr>
    </w:p>
    <w:p w14:paraId="75F49CF0" w14:textId="55A70EBC" w:rsidR="00D56DF8" w:rsidRDefault="0073195B" w:rsidP="00E56A05">
      <w:pPr>
        <w:rPr>
          <w:rFonts w:ascii="Arial" w:hAnsi="Arial" w:cs="Arial"/>
          <w:b/>
          <w:noProof/>
          <w:sz w:val="24"/>
          <w:lang w:eastAsia="en-GB"/>
        </w:rPr>
      </w:pPr>
      <w:r>
        <w:rPr>
          <w:rFonts w:ascii="Arial" w:hAnsi="Arial" w:cs="Arial"/>
          <w:b/>
          <w:noProof/>
          <w:sz w:val="24"/>
          <w:lang w:eastAsia="en-GB"/>
        </w:rPr>
        <w:t xml:space="preserve">Local skills and labour market shortages </w:t>
      </w:r>
    </w:p>
    <w:p w14:paraId="405A819C" w14:textId="7C261A80" w:rsidR="00B5373E" w:rsidRDefault="0073195B" w:rsidP="00E56A05">
      <w:pPr>
        <w:rPr>
          <w:rFonts w:ascii="Arial" w:hAnsi="Arial" w:cs="Arial"/>
          <w:noProof/>
          <w:lang w:eastAsia="en-GB"/>
        </w:rPr>
      </w:pPr>
      <w:r w:rsidRPr="008508FA">
        <w:rPr>
          <w:rFonts w:ascii="Arial" w:hAnsi="Arial" w:cs="Arial"/>
          <w:noProof/>
          <w:lang w:eastAsia="en-GB"/>
        </w:rPr>
        <w:t xml:space="preserve">The </w:t>
      </w:r>
      <w:r w:rsidR="008508FA" w:rsidRPr="008508FA">
        <w:rPr>
          <w:rFonts w:ascii="Arial" w:hAnsi="Arial" w:cs="Arial"/>
          <w:noProof/>
          <w:lang w:eastAsia="en-GB"/>
        </w:rPr>
        <w:t xml:space="preserve">vast </w:t>
      </w:r>
      <w:r w:rsidRPr="008508FA">
        <w:rPr>
          <w:rFonts w:ascii="Arial" w:hAnsi="Arial" w:cs="Arial"/>
          <w:noProof/>
          <w:lang w:eastAsia="en-GB"/>
        </w:rPr>
        <w:t>majority of London borough</w:t>
      </w:r>
      <w:r w:rsidR="00FB0F0A" w:rsidRPr="008508FA">
        <w:rPr>
          <w:rFonts w:ascii="Arial" w:hAnsi="Arial" w:cs="Arial"/>
          <w:noProof/>
          <w:lang w:eastAsia="en-GB"/>
        </w:rPr>
        <w:t xml:space="preserve"> officers</w:t>
      </w:r>
      <w:r w:rsidRPr="008508FA">
        <w:rPr>
          <w:rFonts w:ascii="Arial" w:hAnsi="Arial" w:cs="Arial"/>
          <w:noProof/>
          <w:lang w:eastAsia="en-GB"/>
        </w:rPr>
        <w:t xml:space="preserve"> (8</w:t>
      </w:r>
      <w:r w:rsidR="009915BC">
        <w:rPr>
          <w:rFonts w:ascii="Arial" w:hAnsi="Arial" w:cs="Arial"/>
          <w:noProof/>
          <w:lang w:eastAsia="en-GB"/>
        </w:rPr>
        <w:t>5</w:t>
      </w:r>
      <w:r w:rsidRPr="008508FA">
        <w:rPr>
          <w:rFonts w:ascii="Arial" w:hAnsi="Arial" w:cs="Arial"/>
          <w:noProof/>
          <w:lang w:eastAsia="en-GB"/>
        </w:rPr>
        <w:t xml:space="preserve">%) said </w:t>
      </w:r>
      <w:r w:rsidR="006871EA" w:rsidRPr="008508FA">
        <w:rPr>
          <w:rFonts w:ascii="Arial" w:hAnsi="Arial" w:cs="Arial"/>
          <w:noProof/>
          <w:lang w:eastAsia="en-GB"/>
        </w:rPr>
        <w:t xml:space="preserve">that they changed </w:t>
      </w:r>
      <w:r w:rsidR="00FB0F0A" w:rsidRPr="008508FA">
        <w:rPr>
          <w:rFonts w:ascii="Arial" w:hAnsi="Arial" w:cs="Arial"/>
          <w:noProof/>
          <w:lang w:eastAsia="en-GB"/>
        </w:rPr>
        <w:t xml:space="preserve">their employment service </w:t>
      </w:r>
      <w:r w:rsidR="008508FA" w:rsidRPr="008508FA">
        <w:rPr>
          <w:rFonts w:ascii="Arial" w:hAnsi="Arial" w:cs="Arial"/>
          <w:noProof/>
          <w:lang w:eastAsia="en-GB"/>
        </w:rPr>
        <w:t>in response to local skills and labour market shortages in the last year.</w:t>
      </w:r>
      <w:r w:rsidR="008508FA">
        <w:rPr>
          <w:rFonts w:ascii="Arial" w:hAnsi="Arial" w:cs="Arial"/>
          <w:noProof/>
          <w:lang w:eastAsia="en-GB"/>
        </w:rPr>
        <w:t xml:space="preserve"> This reflects </w:t>
      </w:r>
      <w:r w:rsidR="00FA5EBA">
        <w:rPr>
          <w:rFonts w:ascii="Arial" w:hAnsi="Arial" w:cs="Arial"/>
          <w:noProof/>
          <w:lang w:eastAsia="en-GB"/>
        </w:rPr>
        <w:t xml:space="preserve">wider national trends of ongoing worker shortages across the economy, particularly in sectors like hospitality, construction and health. </w:t>
      </w:r>
    </w:p>
    <w:p w14:paraId="3152F50E" w14:textId="3E2AA6BE" w:rsidR="00030591" w:rsidRDefault="00BD5432" w:rsidP="00E56A05">
      <w:pPr>
        <w:rPr>
          <w:rFonts w:ascii="Arial" w:hAnsi="Arial" w:cs="Arial"/>
          <w:noProof/>
          <w:lang w:eastAsia="en-GB"/>
        </w:rPr>
      </w:pPr>
      <w:r>
        <w:rPr>
          <w:rFonts w:ascii="Arial" w:hAnsi="Arial" w:cs="Arial"/>
          <w:noProof/>
          <w:lang w:eastAsia="en-GB"/>
        </w:rPr>
        <w:t xml:space="preserve">The majority of boroughs responded to these skills and labour market shortages by </w:t>
      </w:r>
      <w:r w:rsidR="002B0885">
        <w:rPr>
          <w:rFonts w:ascii="Arial" w:hAnsi="Arial" w:cs="Arial"/>
          <w:noProof/>
          <w:lang w:eastAsia="en-GB"/>
        </w:rPr>
        <w:t>building wider partnerships and networks to strengthen links with local employers (</w:t>
      </w:r>
      <w:r w:rsidR="00F2583D">
        <w:rPr>
          <w:rFonts w:ascii="Arial" w:hAnsi="Arial" w:cs="Arial"/>
          <w:noProof/>
          <w:lang w:eastAsia="en-GB"/>
        </w:rPr>
        <w:t>93</w:t>
      </w:r>
      <w:r w:rsidR="002B0885">
        <w:rPr>
          <w:rFonts w:ascii="Arial" w:hAnsi="Arial" w:cs="Arial"/>
          <w:noProof/>
          <w:lang w:eastAsia="en-GB"/>
        </w:rPr>
        <w:t xml:space="preserve">%) and worked with employers to </w:t>
      </w:r>
      <w:r w:rsidR="00387578">
        <w:rPr>
          <w:rFonts w:ascii="Arial" w:hAnsi="Arial" w:cs="Arial"/>
          <w:noProof/>
          <w:lang w:eastAsia="en-GB"/>
        </w:rPr>
        <w:t>fill vacancies in growing/resilient sectors (8</w:t>
      </w:r>
      <w:r w:rsidR="009915BC">
        <w:rPr>
          <w:rFonts w:ascii="Arial" w:hAnsi="Arial" w:cs="Arial"/>
          <w:noProof/>
          <w:lang w:eastAsia="en-GB"/>
        </w:rPr>
        <w:t>2</w:t>
      </w:r>
      <w:r w:rsidR="00387578">
        <w:rPr>
          <w:rFonts w:ascii="Arial" w:hAnsi="Arial" w:cs="Arial"/>
          <w:noProof/>
          <w:lang w:eastAsia="en-GB"/>
        </w:rPr>
        <w:t xml:space="preserve">%). </w:t>
      </w:r>
      <w:r w:rsidR="00A96368">
        <w:rPr>
          <w:rFonts w:ascii="Arial" w:hAnsi="Arial" w:cs="Arial"/>
          <w:noProof/>
          <w:lang w:eastAsia="en-GB"/>
        </w:rPr>
        <w:t xml:space="preserve">This illustrates the importance of local collaboration and building stronger integration practices </w:t>
      </w:r>
      <w:r w:rsidR="001C5607">
        <w:rPr>
          <w:rFonts w:ascii="Arial" w:hAnsi="Arial" w:cs="Arial"/>
          <w:noProof/>
          <w:lang w:eastAsia="en-GB"/>
        </w:rPr>
        <w:t xml:space="preserve">between borough services and local employers to support residents and strengthen the local economy. </w:t>
      </w:r>
    </w:p>
    <w:p w14:paraId="75AF7BA7" w14:textId="0728BA88" w:rsidR="00101359" w:rsidRDefault="009D3619" w:rsidP="00E56A05">
      <w:pPr>
        <w:rPr>
          <w:rFonts w:ascii="Arial" w:hAnsi="Arial" w:cs="Arial"/>
          <w:noProof/>
          <w:lang w:eastAsia="en-GB"/>
        </w:rPr>
      </w:pPr>
      <w:r>
        <w:rPr>
          <w:rFonts w:ascii="Arial" w:hAnsi="Arial" w:cs="Arial"/>
          <w:noProof/>
          <w:lang w:eastAsia="en-GB"/>
        </w:rPr>
        <w:t>A large proportion of boroughs also adjusted</w:t>
      </w:r>
      <w:r w:rsidR="001771EA">
        <w:rPr>
          <w:rFonts w:ascii="Arial" w:hAnsi="Arial" w:cs="Arial"/>
          <w:noProof/>
          <w:lang w:eastAsia="en-GB"/>
        </w:rPr>
        <w:t xml:space="preserve"> their</w:t>
      </w:r>
      <w:r>
        <w:rPr>
          <w:rFonts w:ascii="Arial" w:hAnsi="Arial" w:cs="Arial"/>
          <w:noProof/>
          <w:lang w:eastAsia="en-GB"/>
        </w:rPr>
        <w:t xml:space="preserve"> careers advice and guidance to connect people with in-demand jobs (</w:t>
      </w:r>
      <w:r w:rsidR="009915BC">
        <w:rPr>
          <w:rFonts w:ascii="Arial" w:hAnsi="Arial" w:cs="Arial"/>
          <w:noProof/>
          <w:lang w:eastAsia="en-GB"/>
        </w:rPr>
        <w:t>71</w:t>
      </w:r>
      <w:r w:rsidR="00905930">
        <w:rPr>
          <w:rFonts w:ascii="Arial" w:hAnsi="Arial" w:cs="Arial"/>
          <w:noProof/>
          <w:lang w:eastAsia="en-GB"/>
        </w:rPr>
        <w:t>%)</w:t>
      </w:r>
      <w:r w:rsidR="00F2583D">
        <w:rPr>
          <w:rFonts w:ascii="Arial" w:hAnsi="Arial" w:cs="Arial"/>
          <w:noProof/>
          <w:lang w:eastAsia="en-GB"/>
        </w:rPr>
        <w:t>, i</w:t>
      </w:r>
      <w:r w:rsidR="00F2583D" w:rsidRPr="00F2583D">
        <w:rPr>
          <w:rFonts w:ascii="Arial" w:hAnsi="Arial" w:cs="Arial"/>
          <w:noProof/>
          <w:lang w:eastAsia="en-GB"/>
        </w:rPr>
        <w:t>ncreased apprenticeships and work placements in in-demand sectors</w:t>
      </w:r>
      <w:r w:rsidR="00F2583D">
        <w:rPr>
          <w:rFonts w:ascii="Arial" w:hAnsi="Arial" w:cs="Arial"/>
          <w:noProof/>
          <w:lang w:eastAsia="en-GB"/>
        </w:rPr>
        <w:t xml:space="preserve"> (4</w:t>
      </w:r>
      <w:r w:rsidR="009915BC">
        <w:rPr>
          <w:rFonts w:ascii="Arial" w:hAnsi="Arial" w:cs="Arial"/>
          <w:noProof/>
          <w:lang w:eastAsia="en-GB"/>
        </w:rPr>
        <w:t>6</w:t>
      </w:r>
      <w:r w:rsidR="00F2583D">
        <w:rPr>
          <w:rFonts w:ascii="Arial" w:hAnsi="Arial" w:cs="Arial"/>
          <w:noProof/>
          <w:lang w:eastAsia="en-GB"/>
        </w:rPr>
        <w:t>%),</w:t>
      </w:r>
      <w:r w:rsidR="00905930">
        <w:rPr>
          <w:rFonts w:ascii="Arial" w:hAnsi="Arial" w:cs="Arial"/>
          <w:noProof/>
          <w:lang w:eastAsia="en-GB"/>
        </w:rPr>
        <w:t>and provided more re-training and upskilling support (</w:t>
      </w:r>
      <w:r w:rsidR="00F2583D">
        <w:rPr>
          <w:rFonts w:ascii="Arial" w:hAnsi="Arial" w:cs="Arial"/>
          <w:noProof/>
          <w:lang w:eastAsia="en-GB"/>
        </w:rPr>
        <w:t>4</w:t>
      </w:r>
      <w:r w:rsidR="009915BC">
        <w:rPr>
          <w:rFonts w:ascii="Arial" w:hAnsi="Arial" w:cs="Arial"/>
          <w:noProof/>
          <w:lang w:eastAsia="en-GB"/>
        </w:rPr>
        <w:t>6</w:t>
      </w:r>
      <w:r w:rsidR="00905930">
        <w:rPr>
          <w:rFonts w:ascii="Arial" w:hAnsi="Arial" w:cs="Arial"/>
          <w:noProof/>
          <w:lang w:eastAsia="en-GB"/>
        </w:rPr>
        <w:t xml:space="preserve">%). </w:t>
      </w:r>
      <w:r w:rsidR="00537E27">
        <w:rPr>
          <w:rFonts w:ascii="Arial" w:hAnsi="Arial" w:cs="Arial"/>
          <w:noProof/>
          <w:lang w:eastAsia="en-GB"/>
        </w:rPr>
        <w:t xml:space="preserve">A </w:t>
      </w:r>
      <w:r w:rsidR="00F2583D">
        <w:rPr>
          <w:rFonts w:ascii="Arial" w:hAnsi="Arial" w:cs="Arial"/>
          <w:noProof/>
          <w:lang w:eastAsia="en-GB"/>
        </w:rPr>
        <w:t>tenth</w:t>
      </w:r>
      <w:r w:rsidR="00537E27">
        <w:rPr>
          <w:rFonts w:ascii="Arial" w:hAnsi="Arial" w:cs="Arial"/>
          <w:noProof/>
          <w:lang w:eastAsia="en-GB"/>
        </w:rPr>
        <w:t xml:space="preserve"> (</w:t>
      </w:r>
      <w:r w:rsidR="00F2583D">
        <w:rPr>
          <w:rFonts w:ascii="Arial" w:hAnsi="Arial" w:cs="Arial"/>
          <w:noProof/>
          <w:lang w:eastAsia="en-GB"/>
        </w:rPr>
        <w:t>14</w:t>
      </w:r>
      <w:r w:rsidR="00537E27">
        <w:rPr>
          <w:rFonts w:ascii="Arial" w:hAnsi="Arial" w:cs="Arial"/>
          <w:noProof/>
          <w:lang w:eastAsia="en-GB"/>
        </w:rPr>
        <w:t xml:space="preserve">%) of boroughs selected </w:t>
      </w:r>
      <w:r w:rsidR="00F827D9">
        <w:rPr>
          <w:rFonts w:ascii="Arial" w:hAnsi="Arial" w:cs="Arial"/>
          <w:noProof/>
          <w:lang w:eastAsia="en-GB"/>
        </w:rPr>
        <w:t>strategies</w:t>
      </w:r>
      <w:r w:rsidR="00537E27">
        <w:rPr>
          <w:rFonts w:ascii="Arial" w:hAnsi="Arial" w:cs="Arial"/>
          <w:noProof/>
          <w:lang w:eastAsia="en-GB"/>
        </w:rPr>
        <w:t xml:space="preserve"> that were not included in the survey such as</w:t>
      </w:r>
      <w:r w:rsidR="00101359">
        <w:rPr>
          <w:rFonts w:ascii="Arial" w:hAnsi="Arial" w:cs="Arial"/>
          <w:noProof/>
          <w:lang w:eastAsia="en-GB"/>
        </w:rPr>
        <w:t>:</w:t>
      </w:r>
    </w:p>
    <w:p w14:paraId="306C1657" w14:textId="35C59E07" w:rsidR="00101359" w:rsidRPr="00605EAD" w:rsidRDefault="00605EAD" w:rsidP="00605EAD">
      <w:pPr>
        <w:pStyle w:val="ListParagraph"/>
        <w:numPr>
          <w:ilvl w:val="0"/>
          <w:numId w:val="10"/>
        </w:numPr>
        <w:rPr>
          <w:rFonts w:ascii="Arial" w:hAnsi="Arial" w:cs="Arial"/>
          <w:noProof/>
          <w:lang w:eastAsia="en-GB"/>
        </w:rPr>
      </w:pPr>
      <w:r w:rsidRPr="00605EAD">
        <w:rPr>
          <w:rFonts w:ascii="Arial" w:hAnsi="Arial" w:cs="Arial"/>
          <w:noProof/>
          <w:lang w:eastAsia="en-GB"/>
        </w:rPr>
        <w:t>Commission</w:t>
      </w:r>
      <w:r>
        <w:rPr>
          <w:rFonts w:ascii="Arial" w:hAnsi="Arial" w:cs="Arial"/>
          <w:noProof/>
          <w:lang w:eastAsia="en-GB"/>
        </w:rPr>
        <w:t>ing</w:t>
      </w:r>
      <w:r w:rsidRPr="00605EAD">
        <w:rPr>
          <w:rFonts w:ascii="Arial" w:hAnsi="Arial" w:cs="Arial"/>
          <w:noProof/>
          <w:lang w:eastAsia="en-GB"/>
        </w:rPr>
        <w:t xml:space="preserve"> programmes in growth sectors such as </w:t>
      </w:r>
      <w:r>
        <w:rPr>
          <w:rFonts w:ascii="Arial" w:hAnsi="Arial" w:cs="Arial"/>
          <w:noProof/>
          <w:lang w:eastAsia="en-GB"/>
        </w:rPr>
        <w:t>g</w:t>
      </w:r>
      <w:r w:rsidRPr="00605EAD">
        <w:rPr>
          <w:rFonts w:ascii="Arial" w:hAnsi="Arial" w:cs="Arial"/>
          <w:noProof/>
          <w:lang w:eastAsia="en-GB"/>
        </w:rPr>
        <w:t>reen skills, digital, creative, HGV</w:t>
      </w:r>
      <w:r>
        <w:rPr>
          <w:rFonts w:ascii="Arial" w:hAnsi="Arial" w:cs="Arial"/>
          <w:noProof/>
          <w:lang w:eastAsia="en-GB"/>
        </w:rPr>
        <w:t>, and g</w:t>
      </w:r>
      <w:r w:rsidRPr="00605EAD">
        <w:rPr>
          <w:rFonts w:ascii="Arial" w:hAnsi="Arial" w:cs="Arial"/>
          <w:noProof/>
          <w:lang w:eastAsia="en-GB"/>
        </w:rPr>
        <w:t xml:space="preserve">as </w:t>
      </w:r>
      <w:r>
        <w:rPr>
          <w:rFonts w:ascii="Arial" w:hAnsi="Arial" w:cs="Arial"/>
          <w:noProof/>
          <w:lang w:eastAsia="en-GB"/>
        </w:rPr>
        <w:t>e</w:t>
      </w:r>
      <w:r w:rsidRPr="00605EAD">
        <w:rPr>
          <w:rFonts w:ascii="Arial" w:hAnsi="Arial" w:cs="Arial"/>
          <w:noProof/>
          <w:lang w:eastAsia="en-GB"/>
        </w:rPr>
        <w:t>ngineering</w:t>
      </w:r>
    </w:p>
    <w:p w14:paraId="5AF2FF75" w14:textId="560B88F8" w:rsidR="00101359" w:rsidRPr="00605EAD" w:rsidRDefault="00101359" w:rsidP="00605EAD">
      <w:pPr>
        <w:pStyle w:val="ListParagraph"/>
        <w:numPr>
          <w:ilvl w:val="0"/>
          <w:numId w:val="10"/>
        </w:numPr>
        <w:rPr>
          <w:rFonts w:ascii="Arial" w:hAnsi="Arial" w:cs="Arial"/>
          <w:noProof/>
          <w:lang w:eastAsia="en-GB"/>
        </w:rPr>
      </w:pPr>
      <w:r>
        <w:rPr>
          <w:rFonts w:ascii="Arial" w:hAnsi="Arial" w:cs="Arial"/>
          <w:noProof/>
          <w:lang w:eastAsia="en-GB"/>
        </w:rPr>
        <w:t xml:space="preserve">Providing </w:t>
      </w:r>
      <w:r w:rsidR="00605EAD">
        <w:rPr>
          <w:rFonts w:ascii="Arial" w:hAnsi="Arial" w:cs="Arial"/>
          <w:noProof/>
          <w:lang w:eastAsia="en-GB"/>
        </w:rPr>
        <w:t xml:space="preserve">an </w:t>
      </w:r>
      <w:r w:rsidR="00605EAD" w:rsidRPr="00605EAD">
        <w:rPr>
          <w:rFonts w:ascii="Arial" w:hAnsi="Arial" w:cs="Arial"/>
          <w:noProof/>
          <w:lang w:eastAsia="en-GB"/>
        </w:rPr>
        <w:t>in</w:t>
      </w:r>
      <w:r w:rsidR="00605EAD">
        <w:rPr>
          <w:rFonts w:ascii="Arial" w:hAnsi="Arial" w:cs="Arial"/>
          <w:noProof/>
          <w:lang w:eastAsia="en-GB"/>
        </w:rPr>
        <w:t>-</w:t>
      </w:r>
      <w:r w:rsidR="00605EAD" w:rsidRPr="00605EAD">
        <w:rPr>
          <w:rFonts w:ascii="Arial" w:hAnsi="Arial" w:cs="Arial"/>
          <w:noProof/>
          <w:lang w:eastAsia="en-GB"/>
        </w:rPr>
        <w:t xml:space="preserve">work </w:t>
      </w:r>
      <w:r w:rsidR="004C666C">
        <w:rPr>
          <w:rFonts w:ascii="Arial" w:hAnsi="Arial" w:cs="Arial"/>
          <w:noProof/>
          <w:lang w:eastAsia="en-GB"/>
        </w:rPr>
        <w:t xml:space="preserve">progression </w:t>
      </w:r>
      <w:r w:rsidR="00605EAD" w:rsidRPr="00605EAD">
        <w:rPr>
          <w:rFonts w:ascii="Arial" w:hAnsi="Arial" w:cs="Arial"/>
          <w:noProof/>
          <w:lang w:eastAsia="en-GB"/>
        </w:rPr>
        <w:t xml:space="preserve">offer for </w:t>
      </w:r>
      <w:r w:rsidR="00605EAD">
        <w:rPr>
          <w:rFonts w:ascii="Arial" w:hAnsi="Arial" w:cs="Arial"/>
          <w:noProof/>
          <w:lang w:eastAsia="en-GB"/>
        </w:rPr>
        <w:t xml:space="preserve">the </w:t>
      </w:r>
      <w:r w:rsidR="00605EAD" w:rsidRPr="00605EAD">
        <w:rPr>
          <w:rFonts w:ascii="Arial" w:hAnsi="Arial" w:cs="Arial"/>
          <w:noProof/>
          <w:lang w:eastAsia="en-GB"/>
        </w:rPr>
        <w:t>poorly paid</w:t>
      </w:r>
    </w:p>
    <w:p w14:paraId="7A695D27" w14:textId="4A7AEF23" w:rsidR="00605EAD" w:rsidRPr="00605EAD" w:rsidRDefault="00605EAD" w:rsidP="00605EAD">
      <w:pPr>
        <w:pStyle w:val="ListParagraph"/>
        <w:numPr>
          <w:ilvl w:val="0"/>
          <w:numId w:val="10"/>
        </w:numPr>
        <w:rPr>
          <w:rFonts w:ascii="Arial" w:hAnsi="Arial" w:cs="Arial"/>
          <w:noProof/>
          <w:lang w:eastAsia="en-GB"/>
        </w:rPr>
      </w:pPr>
      <w:r w:rsidRPr="00605EAD">
        <w:rPr>
          <w:rFonts w:ascii="Arial" w:hAnsi="Arial" w:cs="Arial"/>
          <w:noProof/>
          <w:lang w:eastAsia="en-GB"/>
        </w:rPr>
        <w:t>Increas</w:t>
      </w:r>
      <w:r>
        <w:rPr>
          <w:rFonts w:ascii="Arial" w:hAnsi="Arial" w:cs="Arial"/>
          <w:noProof/>
          <w:lang w:eastAsia="en-GB"/>
        </w:rPr>
        <w:t>ing</w:t>
      </w:r>
      <w:r w:rsidRPr="00605EAD">
        <w:rPr>
          <w:rFonts w:ascii="Arial" w:hAnsi="Arial" w:cs="Arial"/>
          <w:noProof/>
          <w:lang w:eastAsia="en-GB"/>
        </w:rPr>
        <w:t xml:space="preserve"> support for </w:t>
      </w:r>
      <w:r>
        <w:rPr>
          <w:rFonts w:ascii="Arial" w:hAnsi="Arial" w:cs="Arial"/>
          <w:noProof/>
          <w:lang w:eastAsia="en-GB"/>
        </w:rPr>
        <w:t xml:space="preserve">the </w:t>
      </w:r>
      <w:r w:rsidRPr="00605EAD">
        <w:rPr>
          <w:rFonts w:ascii="Arial" w:hAnsi="Arial" w:cs="Arial"/>
          <w:noProof/>
          <w:lang w:eastAsia="en-GB"/>
        </w:rPr>
        <w:t>over 50s</w:t>
      </w:r>
      <w:r>
        <w:rPr>
          <w:rFonts w:ascii="Arial" w:hAnsi="Arial" w:cs="Arial"/>
          <w:noProof/>
          <w:lang w:eastAsia="en-GB"/>
        </w:rPr>
        <w:t xml:space="preserve">, with </w:t>
      </w:r>
      <w:r w:rsidRPr="00605EAD">
        <w:rPr>
          <w:rFonts w:ascii="Arial" w:hAnsi="Arial" w:cs="Arial"/>
          <w:noProof/>
          <w:lang w:eastAsia="en-GB"/>
        </w:rPr>
        <w:t>more community outreach and engagement</w:t>
      </w:r>
    </w:p>
    <w:p w14:paraId="191F0B1A" w14:textId="63795FE1" w:rsidR="00F86619" w:rsidRPr="00F86619" w:rsidRDefault="00605EAD" w:rsidP="00F86619">
      <w:pPr>
        <w:pStyle w:val="ListParagraph"/>
        <w:numPr>
          <w:ilvl w:val="0"/>
          <w:numId w:val="10"/>
        </w:numPr>
        <w:rPr>
          <w:rFonts w:ascii="Arial" w:hAnsi="Arial" w:cs="Arial"/>
          <w:noProof/>
          <w:lang w:eastAsia="en-GB"/>
        </w:rPr>
      </w:pPr>
      <w:r>
        <w:rPr>
          <w:rFonts w:ascii="Arial" w:hAnsi="Arial" w:cs="Arial"/>
          <w:noProof/>
          <w:lang w:eastAsia="en-GB"/>
        </w:rPr>
        <w:t>E</w:t>
      </w:r>
      <w:r w:rsidRPr="00605EAD">
        <w:rPr>
          <w:rFonts w:ascii="Arial" w:hAnsi="Arial" w:cs="Arial"/>
          <w:noProof/>
          <w:lang w:eastAsia="en-GB"/>
        </w:rPr>
        <w:t>xpand</w:t>
      </w:r>
      <w:r>
        <w:rPr>
          <w:rFonts w:ascii="Arial" w:hAnsi="Arial" w:cs="Arial"/>
          <w:noProof/>
          <w:lang w:eastAsia="en-GB"/>
        </w:rPr>
        <w:t>ing</w:t>
      </w:r>
      <w:r w:rsidRPr="00605EAD">
        <w:rPr>
          <w:rFonts w:ascii="Arial" w:hAnsi="Arial" w:cs="Arial"/>
          <w:noProof/>
          <w:lang w:eastAsia="en-GB"/>
        </w:rPr>
        <w:t xml:space="preserve"> careers and social mobility support</w:t>
      </w:r>
    </w:p>
    <w:p w14:paraId="7033D1EB" w14:textId="4C673C1F" w:rsidR="00F4269F" w:rsidRPr="00101359" w:rsidRDefault="00F4269F" w:rsidP="00605EAD">
      <w:pPr>
        <w:pStyle w:val="ListParagraph"/>
        <w:rPr>
          <w:rFonts w:ascii="Arial" w:hAnsi="Arial" w:cs="Arial"/>
          <w:noProof/>
          <w:lang w:eastAsia="en-GB"/>
        </w:rPr>
      </w:pPr>
    </w:p>
    <w:p w14:paraId="7C8931D9" w14:textId="77777777" w:rsidR="00F86619" w:rsidRDefault="00F86619">
      <w:pPr>
        <w:rPr>
          <w:rFonts w:ascii="Arial" w:hAnsi="Arial" w:cs="Arial"/>
          <w:b/>
          <w:i/>
          <w:sz w:val="20"/>
        </w:rPr>
      </w:pPr>
      <w:r>
        <w:rPr>
          <w:rFonts w:ascii="Arial" w:hAnsi="Arial" w:cs="Arial"/>
          <w:b/>
          <w:i/>
          <w:sz w:val="20"/>
        </w:rPr>
        <w:br w:type="page"/>
      </w:r>
    </w:p>
    <w:p w14:paraId="7C389814" w14:textId="42601EC5" w:rsidR="00B73E15" w:rsidRPr="00D56546" w:rsidRDefault="005A5FB3" w:rsidP="00BD5432">
      <w:pPr>
        <w:spacing w:after="0"/>
        <w:rPr>
          <w:rFonts w:ascii="Arial" w:hAnsi="Arial" w:cs="Arial"/>
          <w:b/>
          <w:i/>
          <w:sz w:val="20"/>
        </w:rPr>
      </w:pPr>
      <w:r w:rsidRPr="00D56546">
        <w:rPr>
          <w:rFonts w:ascii="Arial" w:hAnsi="Arial" w:cs="Arial"/>
          <w:b/>
          <w:i/>
          <w:sz w:val="20"/>
        </w:rPr>
        <w:lastRenderedPageBreak/>
        <w:t xml:space="preserve">Figure </w:t>
      </w:r>
      <w:r w:rsidR="00D56546">
        <w:rPr>
          <w:rFonts w:ascii="Arial" w:hAnsi="Arial" w:cs="Arial"/>
          <w:b/>
          <w:i/>
          <w:sz w:val="20"/>
        </w:rPr>
        <w:t>5</w:t>
      </w:r>
      <w:r w:rsidRPr="00D56546">
        <w:rPr>
          <w:rFonts w:ascii="Arial" w:hAnsi="Arial" w:cs="Arial"/>
          <w:b/>
          <w:i/>
          <w:sz w:val="20"/>
        </w:rPr>
        <w:t xml:space="preserve">. </w:t>
      </w:r>
      <w:r w:rsidR="00BD5432" w:rsidRPr="00D56546">
        <w:rPr>
          <w:rFonts w:ascii="Arial" w:hAnsi="Arial" w:cs="Arial"/>
          <w:b/>
          <w:i/>
          <w:sz w:val="20"/>
        </w:rPr>
        <w:t>You said you changed your employment service in response to local skills and labour market shortages in the last year. Please explain how and select all that apply.</w:t>
      </w:r>
    </w:p>
    <w:p w14:paraId="546115AB" w14:textId="77777777" w:rsidR="00EE0F0A" w:rsidRDefault="00EE0F0A" w:rsidP="00394264">
      <w:pPr>
        <w:jc w:val="right"/>
        <w:rPr>
          <w:rFonts w:ascii="Arial" w:hAnsi="Arial" w:cs="Arial"/>
          <w:sz w:val="20"/>
        </w:rPr>
      </w:pPr>
      <w:r>
        <w:rPr>
          <w:noProof/>
        </w:rPr>
        <w:drawing>
          <wp:inline distT="0" distB="0" distL="0" distR="0" wp14:anchorId="5F84FDC8" wp14:editId="159D4820">
            <wp:extent cx="5781675" cy="2743200"/>
            <wp:effectExtent l="0" t="0" r="9525" b="0"/>
            <wp:docPr id="15" name="Chart 15">
              <a:extLst xmlns:a="http://schemas.openxmlformats.org/drawingml/2006/main">
                <a:ext uri="{FF2B5EF4-FFF2-40B4-BE49-F238E27FC236}">
                  <a16:creationId xmlns:a16="http://schemas.microsoft.com/office/drawing/2014/main" id="{AA5B6682-2A64-49DB-B285-624A6237417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00D93A91" w14:textId="41FAFA4C" w:rsidR="009440E8" w:rsidRDefault="00394264" w:rsidP="00394264">
      <w:pPr>
        <w:jc w:val="right"/>
        <w:rPr>
          <w:rFonts w:ascii="Arial" w:hAnsi="Arial" w:cs="Arial"/>
          <w:sz w:val="20"/>
        </w:rPr>
      </w:pPr>
      <w:r w:rsidRPr="00D56546">
        <w:rPr>
          <w:rFonts w:ascii="Arial" w:hAnsi="Arial" w:cs="Arial"/>
          <w:sz w:val="20"/>
        </w:rPr>
        <w:t>Base: 2</w:t>
      </w:r>
      <w:r w:rsidR="00D56546" w:rsidRPr="00D56546">
        <w:rPr>
          <w:rFonts w:ascii="Arial" w:hAnsi="Arial" w:cs="Arial"/>
          <w:sz w:val="20"/>
        </w:rPr>
        <w:t>8</w:t>
      </w:r>
      <w:r w:rsidRPr="00D56546">
        <w:rPr>
          <w:rFonts w:ascii="Arial" w:hAnsi="Arial" w:cs="Arial"/>
          <w:sz w:val="20"/>
        </w:rPr>
        <w:t xml:space="preserve"> responses.</w:t>
      </w:r>
    </w:p>
    <w:p w14:paraId="34E7FD4D" w14:textId="393CCD11" w:rsidR="00BF68E0" w:rsidRDefault="00BF68E0" w:rsidP="00BF68E0">
      <w:pPr>
        <w:rPr>
          <w:rFonts w:ascii="Arial" w:hAnsi="Arial" w:cs="Arial"/>
          <w:sz w:val="20"/>
        </w:rPr>
      </w:pPr>
      <w:r>
        <w:rPr>
          <w:rFonts w:ascii="Arial" w:hAnsi="Arial" w:cs="Arial"/>
          <w:noProof/>
          <w:sz w:val="20"/>
        </w:rPr>
        <mc:AlternateContent>
          <mc:Choice Requires="wps">
            <w:drawing>
              <wp:anchor distT="0" distB="0" distL="114300" distR="114300" simplePos="0" relativeHeight="251659264" behindDoc="0" locked="0" layoutInCell="1" allowOverlap="1" wp14:anchorId="6C93E0A9" wp14:editId="5F73A7F8">
                <wp:simplePos x="0" y="0"/>
                <wp:positionH relativeFrom="column">
                  <wp:posOffset>9525</wp:posOffset>
                </wp:positionH>
                <wp:positionV relativeFrom="paragraph">
                  <wp:posOffset>15241</wp:posOffset>
                </wp:positionV>
                <wp:extent cx="5819775" cy="3238500"/>
                <wp:effectExtent l="0" t="0" r="28575" b="19050"/>
                <wp:wrapNone/>
                <wp:docPr id="8" name="Rectangle 8"/>
                <wp:cNvGraphicFramePr/>
                <a:graphic xmlns:a="http://schemas.openxmlformats.org/drawingml/2006/main">
                  <a:graphicData uri="http://schemas.microsoft.com/office/word/2010/wordprocessingShape">
                    <wps:wsp>
                      <wps:cNvSpPr/>
                      <wps:spPr>
                        <a:xfrm>
                          <a:off x="0" y="0"/>
                          <a:ext cx="5819775" cy="3238500"/>
                        </a:xfrm>
                        <a:prstGeom prst="rect">
                          <a:avLst/>
                        </a:prstGeom>
                        <a:solidFill>
                          <a:srgbClr val="CC66FF"/>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18A0164" w14:textId="0309880F" w:rsidR="005B104F" w:rsidRPr="00511160" w:rsidRDefault="000B3D7D" w:rsidP="001F4C4A">
                            <w:pPr>
                              <w:rPr>
                                <w:rFonts w:ascii="Arial" w:hAnsi="Arial" w:cs="Arial"/>
                                <w:b/>
                                <w:bCs/>
                                <w:color w:val="000000" w:themeColor="text1"/>
                              </w:rPr>
                            </w:pPr>
                            <w:r w:rsidRPr="00511160">
                              <w:rPr>
                                <w:rFonts w:ascii="Arial" w:hAnsi="Arial" w:cs="Arial"/>
                                <w:b/>
                                <w:bCs/>
                                <w:color w:val="000000" w:themeColor="text1"/>
                              </w:rPr>
                              <w:t xml:space="preserve">Case study: LB Waltham Forest </w:t>
                            </w:r>
                            <w:r w:rsidR="005B104F" w:rsidRPr="00511160">
                              <w:rPr>
                                <w:rFonts w:ascii="Arial" w:hAnsi="Arial" w:cs="Arial"/>
                                <w:b/>
                                <w:bCs/>
                                <w:color w:val="000000" w:themeColor="text1"/>
                              </w:rPr>
                              <w:t xml:space="preserve">Teaching Assistant </w:t>
                            </w:r>
                            <w:r w:rsidR="00401D14" w:rsidRPr="00511160">
                              <w:rPr>
                                <w:rFonts w:ascii="Arial" w:hAnsi="Arial" w:cs="Arial"/>
                                <w:b/>
                                <w:bCs/>
                                <w:color w:val="000000" w:themeColor="text1"/>
                              </w:rPr>
                              <w:t>Academy</w:t>
                            </w:r>
                          </w:p>
                          <w:p w14:paraId="26FC4810" w14:textId="4105E465" w:rsidR="00002374" w:rsidRPr="00511160" w:rsidRDefault="000B3D7D" w:rsidP="001F4C4A">
                            <w:pPr>
                              <w:rPr>
                                <w:rFonts w:ascii="Arial" w:hAnsi="Arial" w:cs="Arial"/>
                                <w:color w:val="000000" w:themeColor="text1"/>
                              </w:rPr>
                            </w:pPr>
                            <w:r w:rsidRPr="00511160">
                              <w:rPr>
                                <w:rFonts w:ascii="Arial" w:hAnsi="Arial" w:cs="Arial"/>
                                <w:color w:val="000000" w:themeColor="text1"/>
                              </w:rPr>
                              <w:t>LB</w:t>
                            </w:r>
                            <w:r w:rsidR="00511160">
                              <w:rPr>
                                <w:rFonts w:ascii="Arial" w:hAnsi="Arial" w:cs="Arial"/>
                                <w:color w:val="000000" w:themeColor="text1"/>
                              </w:rPr>
                              <w:t xml:space="preserve"> </w:t>
                            </w:r>
                            <w:r w:rsidRPr="00511160">
                              <w:rPr>
                                <w:rFonts w:ascii="Arial" w:hAnsi="Arial" w:cs="Arial"/>
                                <w:color w:val="000000" w:themeColor="text1"/>
                              </w:rPr>
                              <w:t>Waltham Forest</w:t>
                            </w:r>
                            <w:r w:rsidR="00401D14" w:rsidRPr="00511160">
                              <w:rPr>
                                <w:rFonts w:ascii="Arial" w:hAnsi="Arial" w:cs="Arial"/>
                                <w:color w:val="000000" w:themeColor="text1"/>
                              </w:rPr>
                              <w:t xml:space="preserve"> </w:t>
                            </w:r>
                            <w:r w:rsidR="00737555">
                              <w:rPr>
                                <w:rFonts w:ascii="Arial" w:hAnsi="Arial" w:cs="Arial"/>
                                <w:color w:val="000000" w:themeColor="text1"/>
                              </w:rPr>
                              <w:t>is</w:t>
                            </w:r>
                            <w:r w:rsidR="00401D14" w:rsidRPr="00511160">
                              <w:rPr>
                                <w:rFonts w:ascii="Arial" w:hAnsi="Arial" w:cs="Arial"/>
                                <w:color w:val="000000" w:themeColor="text1"/>
                              </w:rPr>
                              <w:t xml:space="preserve"> working closely with employers and agencies in its education network to address a skills shortage in Teaching Assistant qualifications in </w:t>
                            </w:r>
                            <w:r w:rsidR="00737555">
                              <w:rPr>
                                <w:rFonts w:ascii="Arial" w:hAnsi="Arial" w:cs="Arial"/>
                                <w:color w:val="000000" w:themeColor="text1"/>
                              </w:rPr>
                              <w:t>L</w:t>
                            </w:r>
                            <w:r w:rsidR="00401D14" w:rsidRPr="00511160">
                              <w:rPr>
                                <w:rFonts w:ascii="Arial" w:hAnsi="Arial" w:cs="Arial"/>
                                <w:color w:val="000000" w:themeColor="text1"/>
                              </w:rPr>
                              <w:t xml:space="preserve">evels 2 &amp; 3. </w:t>
                            </w:r>
                            <w:r w:rsidR="00002374" w:rsidRPr="00511160">
                              <w:rPr>
                                <w:rFonts w:ascii="Arial" w:hAnsi="Arial" w:cs="Arial"/>
                                <w:color w:val="000000" w:themeColor="text1"/>
                              </w:rPr>
                              <w:t xml:space="preserve">They have developed a six week course, which takes individuals with no experience or background in teaching, to qualification and starting work within two months. </w:t>
                            </w:r>
                          </w:p>
                          <w:p w14:paraId="7B6B9EFF" w14:textId="50944716" w:rsidR="0098401D" w:rsidRPr="00511160" w:rsidRDefault="00002374" w:rsidP="001F4C4A">
                            <w:pPr>
                              <w:rPr>
                                <w:rFonts w:ascii="Arial" w:hAnsi="Arial" w:cs="Arial"/>
                                <w:color w:val="000000" w:themeColor="text1"/>
                              </w:rPr>
                            </w:pPr>
                            <w:r w:rsidRPr="00511160">
                              <w:rPr>
                                <w:rFonts w:ascii="Arial" w:hAnsi="Arial" w:cs="Arial"/>
                                <w:color w:val="000000" w:themeColor="text1"/>
                              </w:rPr>
                              <w:t xml:space="preserve">The target group for </w:t>
                            </w:r>
                            <w:r w:rsidR="0098401D">
                              <w:rPr>
                                <w:rFonts w:ascii="Arial" w:hAnsi="Arial" w:cs="Arial"/>
                                <w:color w:val="000000" w:themeColor="text1"/>
                              </w:rPr>
                              <w:t xml:space="preserve">this </w:t>
                            </w:r>
                            <w:r w:rsidRPr="00511160">
                              <w:rPr>
                                <w:rFonts w:ascii="Arial" w:hAnsi="Arial" w:cs="Arial"/>
                                <w:color w:val="000000" w:themeColor="text1"/>
                              </w:rPr>
                              <w:t xml:space="preserve">course are single parents, who are highly motivated and skilled, but may have childcare commitments and are disadvantaged due to lack of flexibility in the workplace. </w:t>
                            </w:r>
                            <w:r w:rsidR="0098401D" w:rsidRPr="00511160">
                              <w:rPr>
                                <w:rFonts w:ascii="Arial" w:hAnsi="Arial" w:cs="Arial"/>
                                <w:color w:val="000000" w:themeColor="text1"/>
                              </w:rPr>
                              <w:t xml:space="preserve">To accommodate this group, learning is conducted in a blended online and face to face format, allowing parents to acquire qualifications flexibly. </w:t>
                            </w:r>
                            <w:r w:rsidRPr="00511160">
                              <w:rPr>
                                <w:rFonts w:ascii="Arial" w:hAnsi="Arial" w:cs="Arial"/>
                                <w:color w:val="000000" w:themeColor="text1"/>
                              </w:rPr>
                              <w:t xml:space="preserve">The programme also aims to support those disadvantaged by the benefit cap – there is a strong element of tracking and focus on in-work progression </w:t>
                            </w:r>
                            <w:r w:rsidR="0098401D" w:rsidRPr="00511160">
                              <w:rPr>
                                <w:rFonts w:ascii="Arial" w:hAnsi="Arial" w:cs="Arial"/>
                                <w:color w:val="000000" w:themeColor="text1"/>
                              </w:rPr>
                              <w:t>to higher qualifications and associated higher earnings on offer.</w:t>
                            </w:r>
                          </w:p>
                          <w:p w14:paraId="68C5DE20" w14:textId="3D4EFCA9" w:rsidR="000B3D7D" w:rsidRPr="00153112" w:rsidRDefault="0098401D" w:rsidP="001F4C4A">
                            <w:pPr>
                              <w:rPr>
                                <w:rFonts w:ascii="Arial" w:hAnsi="Arial" w:cs="Arial"/>
                                <w:color w:val="000000" w:themeColor="text1"/>
                              </w:rPr>
                            </w:pPr>
                            <w:r w:rsidRPr="00511160">
                              <w:rPr>
                                <w:rFonts w:ascii="Arial" w:hAnsi="Arial" w:cs="Arial"/>
                                <w:color w:val="000000" w:themeColor="text1"/>
                              </w:rPr>
                              <w:t xml:space="preserve">To date the programme has delivered 36 trained individuals, of which 30 have secured long-term sustainable employment.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93E0A9" id="Rectangle 8" o:spid="_x0000_s1026" style="position:absolute;margin-left:.75pt;margin-top:1.2pt;width:458.2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" fillcolor="#c6f" strokecolor="#7030a0" strokeweight="1pt">
                <v:textbox>
                  <w:txbxContent>
                    <w:p w14:paraId="618A0164" w14:textId="0309880F" w:rsidR="005B104F" w:rsidRPr="00511160" w:rsidRDefault="000B3D7D" w:rsidP="001F4C4A">
                      <w:pPr>
                        <w:rPr>
                          <w:rFonts w:ascii="Arial" w:hAnsi="Arial" w:cs="Arial"/>
                          <w:b/>
                          <w:bCs/>
                          <w:color w:val="000000" w:themeColor="text1"/>
                        </w:rPr>
                      </w:pPr>
                      <w:r w:rsidRPr="00511160">
                        <w:rPr>
                          <w:rFonts w:ascii="Arial" w:hAnsi="Arial" w:cs="Arial"/>
                          <w:b/>
                          <w:bCs/>
                          <w:color w:val="000000" w:themeColor="text1"/>
                        </w:rPr>
                        <w:t xml:space="preserve">Case study: LB Waltham Forest </w:t>
                      </w:r>
                      <w:r w:rsidR="005B104F" w:rsidRPr="00511160">
                        <w:rPr>
                          <w:rFonts w:ascii="Arial" w:hAnsi="Arial" w:cs="Arial"/>
                          <w:b/>
                          <w:bCs/>
                          <w:color w:val="000000" w:themeColor="text1"/>
                        </w:rPr>
                        <w:t xml:space="preserve">Teaching Assistant </w:t>
                      </w:r>
                      <w:r w:rsidR="00401D14" w:rsidRPr="00511160">
                        <w:rPr>
                          <w:rFonts w:ascii="Arial" w:hAnsi="Arial" w:cs="Arial"/>
                          <w:b/>
                          <w:bCs/>
                          <w:color w:val="000000" w:themeColor="text1"/>
                        </w:rPr>
                        <w:t>Academy</w:t>
                      </w:r>
                    </w:p>
                    <w:p w14:paraId="26FC4810" w14:textId="4105E465" w:rsidR="00002374" w:rsidRPr="00511160" w:rsidRDefault="000B3D7D" w:rsidP="001F4C4A">
                      <w:pPr>
                        <w:rPr>
                          <w:rFonts w:ascii="Arial" w:hAnsi="Arial" w:cs="Arial"/>
                          <w:color w:val="000000" w:themeColor="text1"/>
                        </w:rPr>
                      </w:pPr>
                      <w:r w:rsidRPr="00511160">
                        <w:rPr>
                          <w:rFonts w:ascii="Arial" w:hAnsi="Arial" w:cs="Arial"/>
                          <w:color w:val="000000" w:themeColor="text1"/>
                        </w:rPr>
                        <w:t>LB</w:t>
                      </w:r>
                      <w:r w:rsidR="00511160">
                        <w:rPr>
                          <w:rFonts w:ascii="Arial" w:hAnsi="Arial" w:cs="Arial"/>
                          <w:color w:val="000000" w:themeColor="text1"/>
                        </w:rPr>
                        <w:t xml:space="preserve"> </w:t>
                      </w:r>
                      <w:r w:rsidRPr="00511160">
                        <w:rPr>
                          <w:rFonts w:ascii="Arial" w:hAnsi="Arial" w:cs="Arial"/>
                          <w:color w:val="000000" w:themeColor="text1"/>
                        </w:rPr>
                        <w:t>Waltham Forest</w:t>
                      </w:r>
                      <w:r w:rsidR="00401D14" w:rsidRPr="00511160">
                        <w:rPr>
                          <w:rFonts w:ascii="Arial" w:hAnsi="Arial" w:cs="Arial"/>
                          <w:color w:val="000000" w:themeColor="text1"/>
                        </w:rPr>
                        <w:t xml:space="preserve"> </w:t>
                      </w:r>
                      <w:r w:rsidR="00737555">
                        <w:rPr>
                          <w:rFonts w:ascii="Arial" w:hAnsi="Arial" w:cs="Arial"/>
                          <w:color w:val="000000" w:themeColor="text1"/>
                        </w:rPr>
                        <w:t>is</w:t>
                      </w:r>
                      <w:r w:rsidR="00401D14" w:rsidRPr="00511160">
                        <w:rPr>
                          <w:rFonts w:ascii="Arial" w:hAnsi="Arial" w:cs="Arial"/>
                          <w:color w:val="000000" w:themeColor="text1"/>
                        </w:rPr>
                        <w:t xml:space="preserve"> working closely with employers and agencies in its education network to address a skills shortage in Teaching Assistant qualifications in </w:t>
                      </w:r>
                      <w:r w:rsidR="00737555">
                        <w:rPr>
                          <w:rFonts w:ascii="Arial" w:hAnsi="Arial" w:cs="Arial"/>
                          <w:color w:val="000000" w:themeColor="text1"/>
                        </w:rPr>
                        <w:t>L</w:t>
                      </w:r>
                      <w:r w:rsidR="00401D14" w:rsidRPr="00511160">
                        <w:rPr>
                          <w:rFonts w:ascii="Arial" w:hAnsi="Arial" w:cs="Arial"/>
                          <w:color w:val="000000" w:themeColor="text1"/>
                        </w:rPr>
                        <w:t xml:space="preserve">evels 2 &amp; 3. </w:t>
                      </w:r>
                      <w:r w:rsidR="00002374" w:rsidRPr="00511160">
                        <w:rPr>
                          <w:rFonts w:ascii="Arial" w:hAnsi="Arial" w:cs="Arial"/>
                          <w:color w:val="000000" w:themeColor="text1"/>
                        </w:rPr>
                        <w:t xml:space="preserve">They have developed a </w:t>
                      </w:r>
                      <w:proofErr w:type="gramStart"/>
                      <w:r w:rsidR="00002374" w:rsidRPr="00511160">
                        <w:rPr>
                          <w:rFonts w:ascii="Arial" w:hAnsi="Arial" w:cs="Arial"/>
                          <w:color w:val="000000" w:themeColor="text1"/>
                        </w:rPr>
                        <w:t>six week</w:t>
                      </w:r>
                      <w:proofErr w:type="gramEnd"/>
                      <w:r w:rsidR="00002374" w:rsidRPr="00511160">
                        <w:rPr>
                          <w:rFonts w:ascii="Arial" w:hAnsi="Arial" w:cs="Arial"/>
                          <w:color w:val="000000" w:themeColor="text1"/>
                        </w:rPr>
                        <w:t xml:space="preserve"> course, which takes individuals with no experience or background in teaching, to qualification and starting work within two months. </w:t>
                      </w:r>
                    </w:p>
                    <w:p w14:paraId="7B6B9EFF" w14:textId="50944716" w:rsidR="0098401D" w:rsidRPr="00511160" w:rsidRDefault="00002374" w:rsidP="001F4C4A">
                      <w:pPr>
                        <w:rPr>
                          <w:rFonts w:ascii="Arial" w:hAnsi="Arial" w:cs="Arial"/>
                          <w:color w:val="000000" w:themeColor="text1"/>
                        </w:rPr>
                      </w:pPr>
                      <w:r w:rsidRPr="00511160">
                        <w:rPr>
                          <w:rFonts w:ascii="Arial" w:hAnsi="Arial" w:cs="Arial"/>
                          <w:color w:val="000000" w:themeColor="text1"/>
                        </w:rPr>
                        <w:t xml:space="preserve">The target group for </w:t>
                      </w:r>
                      <w:r w:rsidR="0098401D">
                        <w:rPr>
                          <w:rFonts w:ascii="Arial" w:hAnsi="Arial" w:cs="Arial"/>
                          <w:color w:val="000000" w:themeColor="text1"/>
                        </w:rPr>
                        <w:t xml:space="preserve">this </w:t>
                      </w:r>
                      <w:r w:rsidRPr="00511160">
                        <w:rPr>
                          <w:rFonts w:ascii="Arial" w:hAnsi="Arial" w:cs="Arial"/>
                          <w:color w:val="000000" w:themeColor="text1"/>
                        </w:rPr>
                        <w:t xml:space="preserve">course are single parents, who are highly motivated and skilled, but may have childcare commitments and are disadvantaged due to lack of flexibility in the workplace. </w:t>
                      </w:r>
                      <w:r w:rsidR="0098401D" w:rsidRPr="00511160">
                        <w:rPr>
                          <w:rFonts w:ascii="Arial" w:hAnsi="Arial" w:cs="Arial"/>
                          <w:color w:val="000000" w:themeColor="text1"/>
                        </w:rPr>
                        <w:t xml:space="preserve">To accommodate this group, learning is conducted in a blended online and face to face format, allowing parents to acquire qualifications flexibly. </w:t>
                      </w:r>
                      <w:r w:rsidRPr="00511160">
                        <w:rPr>
                          <w:rFonts w:ascii="Arial" w:hAnsi="Arial" w:cs="Arial"/>
                          <w:color w:val="000000" w:themeColor="text1"/>
                        </w:rPr>
                        <w:t xml:space="preserve">The programme also aims to support those disadvantaged by the benefit cap – there is a strong element of tracking and focus on in-work progression </w:t>
                      </w:r>
                      <w:r w:rsidR="0098401D" w:rsidRPr="00511160">
                        <w:rPr>
                          <w:rFonts w:ascii="Arial" w:hAnsi="Arial" w:cs="Arial"/>
                          <w:color w:val="000000" w:themeColor="text1"/>
                        </w:rPr>
                        <w:t>to higher qualifications and associated higher earnings on offer.</w:t>
                      </w:r>
                    </w:p>
                    <w:p w14:paraId="68C5DE20" w14:textId="3D4EFCA9" w:rsidR="000B3D7D" w:rsidRPr="00153112" w:rsidRDefault="0098401D" w:rsidP="001F4C4A">
                      <w:pPr>
                        <w:rPr>
                          <w:rFonts w:ascii="Arial" w:hAnsi="Arial" w:cs="Arial"/>
                          <w:color w:val="000000" w:themeColor="text1"/>
                        </w:rPr>
                      </w:pPr>
                      <w:r w:rsidRPr="00511160">
                        <w:rPr>
                          <w:rFonts w:ascii="Arial" w:hAnsi="Arial" w:cs="Arial"/>
                          <w:color w:val="000000" w:themeColor="text1"/>
                        </w:rPr>
                        <w:t xml:space="preserve">To date the programme has delivered 36 trained individuals, of which 30 have secured long-term sustainable employment. </w:t>
                      </w:r>
                    </w:p>
                  </w:txbxContent>
                </v:textbox>
              </v:rect>
            </w:pict>
          </mc:Fallback>
        </mc:AlternateContent>
      </w:r>
    </w:p>
    <w:p w14:paraId="24B9D876" w14:textId="46955230" w:rsidR="00BF68E0" w:rsidRDefault="00BF68E0" w:rsidP="00394264">
      <w:pPr>
        <w:jc w:val="right"/>
        <w:rPr>
          <w:rFonts w:ascii="Arial" w:hAnsi="Arial" w:cs="Arial"/>
          <w:sz w:val="20"/>
        </w:rPr>
      </w:pPr>
    </w:p>
    <w:p w14:paraId="697EC551" w14:textId="3F649203" w:rsidR="00BF68E0" w:rsidRDefault="00BF68E0" w:rsidP="00394264">
      <w:pPr>
        <w:jc w:val="right"/>
        <w:rPr>
          <w:rFonts w:ascii="Arial" w:hAnsi="Arial" w:cs="Arial"/>
          <w:sz w:val="20"/>
        </w:rPr>
      </w:pPr>
    </w:p>
    <w:p w14:paraId="104251E9" w14:textId="4DB202D2" w:rsidR="00BF68E0" w:rsidRDefault="00BF68E0" w:rsidP="00394264">
      <w:pPr>
        <w:jc w:val="right"/>
        <w:rPr>
          <w:rFonts w:ascii="Arial" w:hAnsi="Arial" w:cs="Arial"/>
          <w:sz w:val="20"/>
        </w:rPr>
      </w:pPr>
    </w:p>
    <w:p w14:paraId="4122FE0B" w14:textId="7678B7F8" w:rsidR="00BF68E0" w:rsidRDefault="00BF68E0" w:rsidP="00394264">
      <w:pPr>
        <w:jc w:val="right"/>
        <w:rPr>
          <w:rFonts w:ascii="Arial" w:hAnsi="Arial" w:cs="Arial"/>
          <w:sz w:val="20"/>
        </w:rPr>
      </w:pPr>
    </w:p>
    <w:p w14:paraId="1036AC58" w14:textId="1C7E5A34" w:rsidR="00BF68E0" w:rsidRDefault="00BF68E0" w:rsidP="00394264">
      <w:pPr>
        <w:jc w:val="right"/>
        <w:rPr>
          <w:rFonts w:ascii="Arial" w:hAnsi="Arial" w:cs="Arial"/>
          <w:sz w:val="20"/>
        </w:rPr>
      </w:pPr>
    </w:p>
    <w:p w14:paraId="36573324" w14:textId="4A51B309" w:rsidR="00BF68E0" w:rsidRDefault="00BF68E0" w:rsidP="00394264">
      <w:pPr>
        <w:jc w:val="right"/>
        <w:rPr>
          <w:rFonts w:ascii="Arial" w:hAnsi="Arial" w:cs="Arial"/>
          <w:sz w:val="20"/>
        </w:rPr>
      </w:pPr>
    </w:p>
    <w:p w14:paraId="3B4E3AA2" w14:textId="432C34F0" w:rsidR="00BF68E0" w:rsidRDefault="00BF68E0" w:rsidP="00394264">
      <w:pPr>
        <w:jc w:val="right"/>
        <w:rPr>
          <w:rFonts w:ascii="Arial" w:hAnsi="Arial" w:cs="Arial"/>
          <w:sz w:val="20"/>
        </w:rPr>
      </w:pPr>
    </w:p>
    <w:p w14:paraId="11F7BE19" w14:textId="68446F90" w:rsidR="00BF68E0" w:rsidRDefault="00BF68E0" w:rsidP="00394264">
      <w:pPr>
        <w:jc w:val="right"/>
        <w:rPr>
          <w:rFonts w:ascii="Arial" w:hAnsi="Arial" w:cs="Arial"/>
          <w:sz w:val="20"/>
        </w:rPr>
      </w:pPr>
    </w:p>
    <w:p w14:paraId="2478E724" w14:textId="4D482545" w:rsidR="00BF68E0" w:rsidRDefault="00BF68E0" w:rsidP="00394264">
      <w:pPr>
        <w:jc w:val="right"/>
        <w:rPr>
          <w:rFonts w:ascii="Arial" w:hAnsi="Arial" w:cs="Arial"/>
          <w:sz w:val="20"/>
        </w:rPr>
      </w:pPr>
    </w:p>
    <w:p w14:paraId="75FBC868" w14:textId="77777777" w:rsidR="001F4C4A" w:rsidRDefault="001F4C4A" w:rsidP="00E56A05">
      <w:pPr>
        <w:rPr>
          <w:rFonts w:ascii="Arial" w:hAnsi="Arial" w:cs="Arial"/>
          <w:b/>
          <w:noProof/>
          <w:sz w:val="24"/>
          <w:lang w:eastAsia="en-GB"/>
        </w:rPr>
      </w:pPr>
    </w:p>
    <w:p w14:paraId="6AD8ECCB" w14:textId="77777777" w:rsidR="00153112" w:rsidRDefault="00153112" w:rsidP="00E56A05">
      <w:pPr>
        <w:rPr>
          <w:rFonts w:ascii="Arial" w:hAnsi="Arial" w:cs="Arial"/>
          <w:b/>
          <w:noProof/>
          <w:sz w:val="24"/>
          <w:lang w:eastAsia="en-GB"/>
        </w:rPr>
      </w:pPr>
    </w:p>
    <w:p w14:paraId="0079A31B" w14:textId="77777777" w:rsidR="0098401D" w:rsidRDefault="0098401D" w:rsidP="00E56A05">
      <w:pPr>
        <w:rPr>
          <w:rFonts w:ascii="Arial" w:hAnsi="Arial" w:cs="Arial"/>
          <w:b/>
          <w:noProof/>
          <w:sz w:val="24"/>
          <w:lang w:eastAsia="en-GB"/>
        </w:rPr>
      </w:pPr>
    </w:p>
    <w:p w14:paraId="66667C43" w14:textId="6D75F54A" w:rsidR="00BE1B6E" w:rsidRPr="00153BAC" w:rsidRDefault="00BE1B6E" w:rsidP="00E56A05">
      <w:pPr>
        <w:rPr>
          <w:rFonts w:ascii="Arial" w:hAnsi="Arial" w:cs="Arial"/>
          <w:b/>
          <w:noProof/>
          <w:sz w:val="24"/>
          <w:lang w:eastAsia="en-GB"/>
        </w:rPr>
      </w:pPr>
      <w:r w:rsidRPr="00153BAC">
        <w:rPr>
          <w:rFonts w:ascii="Arial" w:hAnsi="Arial" w:cs="Arial"/>
          <w:b/>
          <w:noProof/>
          <w:sz w:val="24"/>
          <w:lang w:eastAsia="en-GB"/>
        </w:rPr>
        <w:t>Engagement with Government’s Plan for Jobs</w:t>
      </w:r>
    </w:p>
    <w:p w14:paraId="2AE22A2B" w14:textId="10928790" w:rsidR="003B030F" w:rsidRDefault="00727AF6" w:rsidP="00E56A05">
      <w:pPr>
        <w:rPr>
          <w:rFonts w:ascii="Arial" w:hAnsi="Arial" w:cs="Arial"/>
          <w:noProof/>
          <w:lang w:eastAsia="en-GB"/>
        </w:rPr>
      </w:pPr>
      <w:r w:rsidRPr="00481AFD">
        <w:rPr>
          <w:rFonts w:ascii="Arial" w:hAnsi="Arial" w:cs="Arial"/>
          <w:noProof/>
          <w:lang w:eastAsia="en-GB"/>
        </w:rPr>
        <w:t>In July 2020, the Chancel</w:t>
      </w:r>
      <w:r w:rsidR="00183004" w:rsidRPr="00481AFD">
        <w:rPr>
          <w:rFonts w:ascii="Arial" w:hAnsi="Arial" w:cs="Arial"/>
          <w:noProof/>
          <w:lang w:eastAsia="en-GB"/>
        </w:rPr>
        <w:t xml:space="preserve">lor presented his Plan for Jobs aimed at supporting </w:t>
      </w:r>
      <w:r w:rsidR="00161B66" w:rsidRPr="00481AFD">
        <w:rPr>
          <w:rFonts w:ascii="Arial" w:hAnsi="Arial" w:cs="Arial"/>
          <w:noProof/>
          <w:lang w:eastAsia="en-GB"/>
        </w:rPr>
        <w:t xml:space="preserve">UK’s economic recovery </w:t>
      </w:r>
      <w:r w:rsidR="00C468DD">
        <w:rPr>
          <w:rFonts w:ascii="Arial" w:hAnsi="Arial" w:cs="Arial"/>
          <w:noProof/>
          <w:lang w:eastAsia="en-GB"/>
        </w:rPr>
        <w:t xml:space="preserve">post-Covid-19 </w:t>
      </w:r>
      <w:r w:rsidR="001C50DB" w:rsidRPr="00481AFD">
        <w:rPr>
          <w:rFonts w:ascii="Arial" w:hAnsi="Arial" w:cs="Arial"/>
          <w:noProof/>
          <w:lang w:eastAsia="en-GB"/>
        </w:rPr>
        <w:t>by introducing a number of new p</w:t>
      </w:r>
      <w:r w:rsidR="00281EEC">
        <w:rPr>
          <w:rFonts w:ascii="Arial" w:hAnsi="Arial" w:cs="Arial"/>
          <w:noProof/>
          <w:lang w:eastAsia="en-GB"/>
        </w:rPr>
        <w:t>rogrammes</w:t>
      </w:r>
      <w:r w:rsidR="001C50DB" w:rsidRPr="00481AFD">
        <w:rPr>
          <w:rFonts w:ascii="Arial" w:hAnsi="Arial" w:cs="Arial"/>
          <w:noProof/>
          <w:lang w:eastAsia="en-GB"/>
        </w:rPr>
        <w:t xml:space="preserve"> to </w:t>
      </w:r>
      <w:r w:rsidR="003839BE">
        <w:rPr>
          <w:rFonts w:ascii="Arial" w:hAnsi="Arial" w:cs="Arial"/>
          <w:noProof/>
          <w:lang w:eastAsia="en-GB"/>
        </w:rPr>
        <w:t xml:space="preserve">retain, create and support jobs in the country. </w:t>
      </w:r>
    </w:p>
    <w:p w14:paraId="739C9FC0" w14:textId="23AC3BCD" w:rsidR="00BE1B6E" w:rsidRDefault="003839BE" w:rsidP="00E56A05">
      <w:pPr>
        <w:rPr>
          <w:rFonts w:ascii="Arial" w:hAnsi="Arial" w:cs="Arial"/>
          <w:noProof/>
          <w:lang w:eastAsia="en-GB"/>
        </w:rPr>
      </w:pPr>
      <w:r>
        <w:rPr>
          <w:rFonts w:ascii="Arial" w:hAnsi="Arial" w:cs="Arial"/>
          <w:noProof/>
          <w:lang w:eastAsia="en-GB"/>
        </w:rPr>
        <w:t>Some of the policy decisions in the Plan for Jobs include</w:t>
      </w:r>
      <w:r w:rsidR="0074067B">
        <w:rPr>
          <w:rFonts w:ascii="Arial" w:hAnsi="Arial" w:cs="Arial"/>
          <w:noProof/>
          <w:lang w:eastAsia="en-GB"/>
        </w:rPr>
        <w:t>d</w:t>
      </w:r>
      <w:r w:rsidR="00281EEC">
        <w:rPr>
          <w:rFonts w:ascii="Arial" w:hAnsi="Arial" w:cs="Arial"/>
          <w:noProof/>
          <w:lang w:eastAsia="en-GB"/>
        </w:rPr>
        <w:t>:</w:t>
      </w:r>
      <w:r>
        <w:rPr>
          <w:rFonts w:ascii="Arial" w:hAnsi="Arial" w:cs="Arial"/>
          <w:noProof/>
          <w:lang w:eastAsia="en-GB"/>
        </w:rPr>
        <w:t xml:space="preserve"> </w:t>
      </w:r>
      <w:r w:rsidR="00273B80">
        <w:rPr>
          <w:rFonts w:ascii="Arial" w:hAnsi="Arial" w:cs="Arial"/>
          <w:noProof/>
          <w:lang w:eastAsia="en-GB"/>
        </w:rPr>
        <w:t xml:space="preserve">introducing the Kickstart scheme to </w:t>
      </w:r>
      <w:r w:rsidR="00320B60">
        <w:rPr>
          <w:rFonts w:ascii="Arial" w:hAnsi="Arial" w:cs="Arial"/>
          <w:noProof/>
          <w:lang w:eastAsia="en-GB"/>
        </w:rPr>
        <w:t xml:space="preserve">create job placements for 16 to 24 year olds on Universal Credit, </w:t>
      </w:r>
      <w:r w:rsidR="000D1D4E">
        <w:rPr>
          <w:rFonts w:ascii="Arial" w:hAnsi="Arial" w:cs="Arial"/>
          <w:noProof/>
          <w:lang w:eastAsia="en-GB"/>
        </w:rPr>
        <w:t xml:space="preserve">introducing the Work and Health Programme </w:t>
      </w:r>
      <w:r w:rsidR="00E749AA">
        <w:rPr>
          <w:rFonts w:ascii="Arial" w:hAnsi="Arial" w:cs="Arial"/>
          <w:noProof/>
          <w:lang w:eastAsia="en-GB"/>
        </w:rPr>
        <w:t xml:space="preserve">(WHP) </w:t>
      </w:r>
      <w:r w:rsidR="000D1D4E">
        <w:rPr>
          <w:rFonts w:ascii="Arial" w:hAnsi="Arial" w:cs="Arial"/>
          <w:noProof/>
          <w:lang w:eastAsia="en-GB"/>
        </w:rPr>
        <w:t xml:space="preserve">Job Entry Targeted Support (JETS) to </w:t>
      </w:r>
      <w:r w:rsidR="00BF62B0">
        <w:rPr>
          <w:rFonts w:ascii="Arial" w:hAnsi="Arial" w:cs="Arial"/>
          <w:noProof/>
          <w:lang w:eastAsia="en-GB"/>
        </w:rPr>
        <w:t xml:space="preserve">support Londoners who have been unemployed for three months or more, </w:t>
      </w:r>
      <w:r w:rsidR="00780D74">
        <w:rPr>
          <w:rFonts w:ascii="Arial" w:hAnsi="Arial" w:cs="Arial"/>
          <w:noProof/>
          <w:lang w:eastAsia="en-GB"/>
        </w:rPr>
        <w:t xml:space="preserve">providing funding for traineeships, apprenticeships and sector-based work academies </w:t>
      </w:r>
      <w:r w:rsidR="00723E40">
        <w:rPr>
          <w:rFonts w:ascii="Arial" w:hAnsi="Arial" w:cs="Arial"/>
          <w:noProof/>
          <w:lang w:eastAsia="en-GB"/>
        </w:rPr>
        <w:t xml:space="preserve">and increasing the funding for the Flexible Support Fund. </w:t>
      </w:r>
      <w:r w:rsidR="00AA017C">
        <w:rPr>
          <w:rFonts w:ascii="Arial" w:hAnsi="Arial" w:cs="Arial"/>
          <w:noProof/>
          <w:lang w:eastAsia="en-GB"/>
        </w:rPr>
        <w:t xml:space="preserve">Some of these programmes have now stopped (Kickstart) or are </w:t>
      </w:r>
      <w:r w:rsidR="00AA017C">
        <w:rPr>
          <w:rFonts w:ascii="Arial" w:hAnsi="Arial" w:cs="Arial"/>
          <w:noProof/>
          <w:lang w:eastAsia="en-GB"/>
        </w:rPr>
        <w:lastRenderedPageBreak/>
        <w:t xml:space="preserve">winding down (WHP JETS). </w:t>
      </w:r>
      <w:r w:rsidR="00EE0F0A">
        <w:rPr>
          <w:rFonts w:ascii="Arial" w:hAnsi="Arial" w:cs="Arial"/>
          <w:noProof/>
          <w:lang w:eastAsia="en-GB"/>
        </w:rPr>
        <w:t xml:space="preserve">More recent programmes include the Restart programme, to </w:t>
      </w:r>
      <w:r w:rsidR="00EE0F0A" w:rsidRPr="00EE0F0A">
        <w:rPr>
          <w:rFonts w:ascii="Arial" w:hAnsi="Arial" w:cs="Arial"/>
          <w:noProof/>
          <w:lang w:eastAsia="en-GB"/>
        </w:rPr>
        <w:t>give Universal Credit claimants who have been out of work for at least 9 months enhanced support to find jobs in their local area</w:t>
      </w:r>
      <w:r w:rsidR="00EE0F0A">
        <w:rPr>
          <w:rFonts w:ascii="Arial" w:hAnsi="Arial" w:cs="Arial"/>
          <w:noProof/>
          <w:lang w:eastAsia="en-GB"/>
        </w:rPr>
        <w:t xml:space="preserve">, and Multiply, a new programme to help adults improve their numeracy skills. </w:t>
      </w:r>
    </w:p>
    <w:p w14:paraId="1DE8A90B" w14:textId="3DC1B9EF" w:rsidR="00723E40" w:rsidRDefault="000D6BAC" w:rsidP="00E56A05">
      <w:pPr>
        <w:rPr>
          <w:rFonts w:ascii="Arial" w:hAnsi="Arial" w:cs="Arial"/>
          <w:noProof/>
          <w:lang w:eastAsia="en-GB"/>
        </w:rPr>
      </w:pPr>
      <w:r>
        <w:rPr>
          <w:rFonts w:ascii="Arial" w:hAnsi="Arial" w:cs="Arial"/>
          <w:noProof/>
          <w:lang w:eastAsia="en-GB"/>
        </w:rPr>
        <w:t>London Councils</w:t>
      </w:r>
      <w:r w:rsidR="005F33E2">
        <w:rPr>
          <w:rFonts w:ascii="Arial" w:hAnsi="Arial" w:cs="Arial"/>
          <w:noProof/>
          <w:lang w:eastAsia="en-GB"/>
        </w:rPr>
        <w:t xml:space="preserve"> asked boroughs wh</w:t>
      </w:r>
      <w:r w:rsidR="00B852BF">
        <w:rPr>
          <w:rFonts w:ascii="Arial" w:hAnsi="Arial" w:cs="Arial"/>
          <w:noProof/>
          <w:lang w:eastAsia="en-GB"/>
        </w:rPr>
        <w:t xml:space="preserve">ether their employment service </w:t>
      </w:r>
      <w:r w:rsidR="000B3D7D">
        <w:rPr>
          <w:rFonts w:ascii="Arial" w:hAnsi="Arial" w:cs="Arial"/>
          <w:noProof/>
          <w:lang w:eastAsia="en-GB"/>
        </w:rPr>
        <w:t>had been engaged in</w:t>
      </w:r>
      <w:r w:rsidR="00B852BF">
        <w:rPr>
          <w:rFonts w:ascii="Arial" w:hAnsi="Arial" w:cs="Arial"/>
          <w:noProof/>
          <w:lang w:eastAsia="en-GB"/>
        </w:rPr>
        <w:t xml:space="preserve"> delivering any elements of the Plan for Jobs</w:t>
      </w:r>
      <w:r w:rsidR="0074067B">
        <w:rPr>
          <w:rFonts w:ascii="Arial" w:hAnsi="Arial" w:cs="Arial"/>
          <w:noProof/>
          <w:lang w:eastAsia="en-GB"/>
        </w:rPr>
        <w:t xml:space="preserve"> in the last </w:t>
      </w:r>
      <w:r w:rsidR="000B3D7D">
        <w:rPr>
          <w:rFonts w:ascii="Arial" w:hAnsi="Arial" w:cs="Arial"/>
          <w:noProof/>
          <w:lang w:eastAsia="en-GB"/>
        </w:rPr>
        <w:t>three</w:t>
      </w:r>
      <w:r w:rsidR="0074067B">
        <w:rPr>
          <w:rFonts w:ascii="Arial" w:hAnsi="Arial" w:cs="Arial"/>
          <w:noProof/>
          <w:lang w:eastAsia="en-GB"/>
        </w:rPr>
        <w:t xml:space="preserve"> years. In 202</w:t>
      </w:r>
      <w:r w:rsidR="00EE0F0A">
        <w:rPr>
          <w:rFonts w:ascii="Arial" w:hAnsi="Arial" w:cs="Arial"/>
          <w:noProof/>
          <w:lang w:eastAsia="en-GB"/>
        </w:rPr>
        <w:t>0/21</w:t>
      </w:r>
      <w:r w:rsidR="0074067B">
        <w:rPr>
          <w:rFonts w:ascii="Arial" w:hAnsi="Arial" w:cs="Arial"/>
          <w:noProof/>
          <w:lang w:eastAsia="en-GB"/>
        </w:rPr>
        <w:t>,</w:t>
      </w:r>
      <w:r w:rsidR="00B852BF">
        <w:rPr>
          <w:rFonts w:ascii="Arial" w:hAnsi="Arial" w:cs="Arial"/>
          <w:noProof/>
          <w:lang w:eastAsia="en-GB"/>
        </w:rPr>
        <w:t xml:space="preserve"> the vast majority (96%) </w:t>
      </w:r>
      <w:r w:rsidR="00A06D1E">
        <w:rPr>
          <w:rFonts w:ascii="Arial" w:hAnsi="Arial" w:cs="Arial"/>
          <w:noProof/>
          <w:lang w:eastAsia="en-GB"/>
        </w:rPr>
        <w:t>said they did</w:t>
      </w:r>
      <w:r w:rsidR="00056A1A">
        <w:rPr>
          <w:rFonts w:ascii="Arial" w:hAnsi="Arial" w:cs="Arial"/>
          <w:noProof/>
          <w:lang w:eastAsia="en-GB"/>
        </w:rPr>
        <w:t xml:space="preserve">; </w:t>
      </w:r>
      <w:r w:rsidR="0074067B">
        <w:rPr>
          <w:rFonts w:ascii="Arial" w:hAnsi="Arial" w:cs="Arial"/>
          <w:noProof/>
          <w:lang w:eastAsia="en-GB"/>
        </w:rPr>
        <w:t>in 202</w:t>
      </w:r>
      <w:r w:rsidR="00EE0F0A">
        <w:rPr>
          <w:rFonts w:ascii="Arial" w:hAnsi="Arial" w:cs="Arial"/>
          <w:noProof/>
          <w:lang w:eastAsia="en-GB"/>
        </w:rPr>
        <w:t>1/22</w:t>
      </w:r>
      <w:r w:rsidR="0074067B">
        <w:rPr>
          <w:rFonts w:ascii="Arial" w:hAnsi="Arial" w:cs="Arial"/>
          <w:noProof/>
          <w:lang w:eastAsia="en-GB"/>
        </w:rPr>
        <w:t xml:space="preserve"> all boroughs </w:t>
      </w:r>
      <w:r w:rsidR="008702E4">
        <w:rPr>
          <w:rFonts w:ascii="Arial" w:hAnsi="Arial" w:cs="Arial"/>
          <w:noProof/>
          <w:lang w:eastAsia="en-GB"/>
        </w:rPr>
        <w:t>di</w:t>
      </w:r>
      <w:r w:rsidR="00056A1A">
        <w:rPr>
          <w:rFonts w:ascii="Arial" w:hAnsi="Arial" w:cs="Arial"/>
          <w:noProof/>
          <w:lang w:eastAsia="en-GB"/>
        </w:rPr>
        <w:t>d; in 202</w:t>
      </w:r>
      <w:r w:rsidR="00EE0F0A">
        <w:rPr>
          <w:rFonts w:ascii="Arial" w:hAnsi="Arial" w:cs="Arial"/>
          <w:noProof/>
          <w:lang w:eastAsia="en-GB"/>
        </w:rPr>
        <w:t>2/2</w:t>
      </w:r>
      <w:r w:rsidR="00056A1A">
        <w:rPr>
          <w:rFonts w:ascii="Arial" w:hAnsi="Arial" w:cs="Arial"/>
          <w:noProof/>
          <w:lang w:eastAsia="en-GB"/>
        </w:rPr>
        <w:t>3, 91% of boroughs said they did.</w:t>
      </w:r>
    </w:p>
    <w:p w14:paraId="5B240626" w14:textId="73635720" w:rsidR="00720A13" w:rsidRDefault="00085FC8" w:rsidP="00326545">
      <w:pPr>
        <w:rPr>
          <w:rFonts w:ascii="Arial" w:hAnsi="Arial" w:cs="Arial"/>
          <w:noProof/>
          <w:lang w:eastAsia="en-GB"/>
        </w:rPr>
      </w:pPr>
      <w:r>
        <w:rPr>
          <w:rFonts w:ascii="Arial" w:hAnsi="Arial" w:cs="Arial"/>
          <w:noProof/>
          <w:lang w:eastAsia="en-GB"/>
        </w:rPr>
        <w:t>The most common element</w:t>
      </w:r>
      <w:r w:rsidR="00043033">
        <w:rPr>
          <w:rFonts w:ascii="Arial" w:hAnsi="Arial" w:cs="Arial"/>
          <w:noProof/>
          <w:lang w:eastAsia="en-GB"/>
        </w:rPr>
        <w:t xml:space="preserve"> (67%)</w:t>
      </w:r>
      <w:r>
        <w:rPr>
          <w:rFonts w:ascii="Arial" w:hAnsi="Arial" w:cs="Arial"/>
          <w:noProof/>
          <w:lang w:eastAsia="en-GB"/>
        </w:rPr>
        <w:t xml:space="preserve"> of the Plan for Jobs boroughs engaged with </w:t>
      </w:r>
      <w:r w:rsidR="00452651">
        <w:rPr>
          <w:rFonts w:ascii="Arial" w:hAnsi="Arial" w:cs="Arial"/>
          <w:noProof/>
          <w:lang w:eastAsia="en-GB"/>
        </w:rPr>
        <w:t xml:space="preserve">in </w:t>
      </w:r>
      <w:r w:rsidR="00056A1A">
        <w:rPr>
          <w:rFonts w:ascii="Arial" w:hAnsi="Arial" w:cs="Arial"/>
          <w:noProof/>
          <w:lang w:eastAsia="en-GB"/>
        </w:rPr>
        <w:t>2022</w:t>
      </w:r>
      <w:r w:rsidR="00EE0F0A">
        <w:rPr>
          <w:rFonts w:ascii="Arial" w:hAnsi="Arial" w:cs="Arial"/>
          <w:noProof/>
          <w:lang w:eastAsia="en-GB"/>
        </w:rPr>
        <w:t>/23</w:t>
      </w:r>
      <w:r w:rsidR="00056A1A">
        <w:rPr>
          <w:rFonts w:ascii="Arial" w:hAnsi="Arial" w:cs="Arial"/>
          <w:noProof/>
          <w:lang w:eastAsia="en-GB"/>
        </w:rPr>
        <w:t xml:space="preserve"> was Sector Based Work Academ</w:t>
      </w:r>
      <w:r w:rsidR="00043033">
        <w:rPr>
          <w:rFonts w:ascii="Arial" w:hAnsi="Arial" w:cs="Arial"/>
          <w:noProof/>
          <w:lang w:eastAsia="en-GB"/>
        </w:rPr>
        <w:t>y Programmes</w:t>
      </w:r>
      <w:r w:rsidR="000A230B">
        <w:rPr>
          <w:rFonts w:ascii="Arial" w:hAnsi="Arial" w:cs="Arial"/>
          <w:noProof/>
          <w:lang w:eastAsia="en-GB"/>
        </w:rPr>
        <w:t>,</w:t>
      </w:r>
      <w:r w:rsidR="00326545">
        <w:rPr>
          <w:rFonts w:ascii="Arial" w:hAnsi="Arial" w:cs="Arial"/>
          <w:noProof/>
          <w:lang w:eastAsia="en-GB"/>
        </w:rPr>
        <w:t>roughly the same proportion as in 2021</w:t>
      </w:r>
      <w:r w:rsidR="00EE0F0A">
        <w:rPr>
          <w:rFonts w:ascii="Arial" w:hAnsi="Arial" w:cs="Arial"/>
          <w:noProof/>
          <w:lang w:eastAsia="en-GB"/>
        </w:rPr>
        <w:t>/22</w:t>
      </w:r>
      <w:r w:rsidR="00326545">
        <w:rPr>
          <w:rFonts w:ascii="Arial" w:hAnsi="Arial" w:cs="Arial"/>
          <w:noProof/>
          <w:lang w:eastAsia="en-GB"/>
        </w:rPr>
        <w:t xml:space="preserve"> (71%).These are </w:t>
      </w:r>
      <w:r w:rsidR="00AA2DD6">
        <w:rPr>
          <w:rFonts w:ascii="Arial" w:hAnsi="Arial" w:cs="Arial"/>
          <w:noProof/>
          <w:lang w:eastAsia="en-GB"/>
        </w:rPr>
        <w:t xml:space="preserve">specifically designed to help prepare those receiving unemployment benefits to apply for jobs in a different area of work via pre-employment training and work placements. </w:t>
      </w:r>
      <w:r w:rsidR="00BC46DF">
        <w:rPr>
          <w:rFonts w:ascii="Arial" w:hAnsi="Arial" w:cs="Arial"/>
          <w:noProof/>
          <w:lang w:eastAsia="en-GB"/>
        </w:rPr>
        <w:t xml:space="preserve">The </w:t>
      </w:r>
      <w:r w:rsidR="00AF3E21">
        <w:rPr>
          <w:rFonts w:ascii="Arial" w:hAnsi="Arial" w:cs="Arial"/>
          <w:noProof/>
          <w:lang w:eastAsia="en-GB"/>
        </w:rPr>
        <w:t xml:space="preserve">interest in the scheme </w:t>
      </w:r>
      <w:r w:rsidR="00326545">
        <w:rPr>
          <w:rFonts w:ascii="Arial" w:hAnsi="Arial" w:cs="Arial"/>
          <w:noProof/>
          <w:lang w:eastAsia="en-GB"/>
        </w:rPr>
        <w:t xml:space="preserve">has </w:t>
      </w:r>
      <w:r w:rsidR="00AF3E21">
        <w:rPr>
          <w:rFonts w:ascii="Arial" w:hAnsi="Arial" w:cs="Arial"/>
          <w:noProof/>
          <w:lang w:eastAsia="en-GB"/>
        </w:rPr>
        <w:t xml:space="preserve">increased substantially since 2020 when less than half (46%) of boroughs engaged with it. </w:t>
      </w:r>
      <w:r w:rsidR="003B3322">
        <w:rPr>
          <w:rFonts w:ascii="Arial" w:hAnsi="Arial" w:cs="Arial"/>
          <w:noProof/>
          <w:lang w:eastAsia="en-GB"/>
        </w:rPr>
        <w:t xml:space="preserve">This may be linked to the increasing skills and labour market shortages in London as the </w:t>
      </w:r>
      <w:r w:rsidR="00BC46DF">
        <w:rPr>
          <w:rFonts w:ascii="Arial" w:hAnsi="Arial" w:cs="Arial"/>
          <w:noProof/>
          <w:lang w:eastAsia="en-GB"/>
        </w:rPr>
        <w:t>programme is designed to meet employers’ immediate and future recruitment needs</w:t>
      </w:r>
      <w:r w:rsidR="003B3322">
        <w:rPr>
          <w:rFonts w:ascii="Arial" w:hAnsi="Arial" w:cs="Arial"/>
          <w:noProof/>
          <w:lang w:eastAsia="en-GB"/>
        </w:rPr>
        <w:t xml:space="preserve"> by recruiting and training a workforce </w:t>
      </w:r>
      <w:r w:rsidR="004110E9">
        <w:rPr>
          <w:rFonts w:ascii="Arial" w:hAnsi="Arial" w:cs="Arial"/>
          <w:noProof/>
          <w:lang w:eastAsia="en-GB"/>
        </w:rPr>
        <w:t xml:space="preserve">with the </w:t>
      </w:r>
      <w:r w:rsidR="009F6095">
        <w:rPr>
          <w:rFonts w:ascii="Arial" w:hAnsi="Arial" w:cs="Arial"/>
          <w:noProof/>
          <w:lang w:eastAsia="en-GB"/>
        </w:rPr>
        <w:t>right skills to help sustain and grow the business.</w:t>
      </w:r>
    </w:p>
    <w:p w14:paraId="4040FB8F" w14:textId="32309167" w:rsidR="0088517F" w:rsidRDefault="00326545" w:rsidP="00E56A05">
      <w:pPr>
        <w:rPr>
          <w:rFonts w:ascii="Arial" w:hAnsi="Arial" w:cs="Arial"/>
          <w:noProof/>
          <w:lang w:eastAsia="en-GB"/>
        </w:rPr>
      </w:pPr>
      <w:r>
        <w:rPr>
          <w:rFonts w:ascii="Arial" w:hAnsi="Arial" w:cs="Arial"/>
          <w:noProof/>
          <w:lang w:eastAsia="en-GB"/>
        </w:rPr>
        <w:t>T</w:t>
      </w:r>
      <w:r w:rsidR="00DC206B">
        <w:rPr>
          <w:rFonts w:ascii="Arial" w:hAnsi="Arial" w:cs="Arial"/>
          <w:noProof/>
          <w:lang w:eastAsia="en-GB"/>
        </w:rPr>
        <w:t>wo-thirds</w:t>
      </w:r>
      <w:r w:rsidR="001269B1">
        <w:rPr>
          <w:rFonts w:ascii="Arial" w:hAnsi="Arial" w:cs="Arial"/>
          <w:noProof/>
          <w:lang w:eastAsia="en-GB"/>
        </w:rPr>
        <w:t xml:space="preserve"> (6</w:t>
      </w:r>
      <w:r>
        <w:rPr>
          <w:rFonts w:ascii="Arial" w:hAnsi="Arial" w:cs="Arial"/>
          <w:noProof/>
          <w:lang w:eastAsia="en-GB"/>
        </w:rPr>
        <w:t>7</w:t>
      </w:r>
      <w:r w:rsidR="001269B1">
        <w:rPr>
          <w:rFonts w:ascii="Arial" w:hAnsi="Arial" w:cs="Arial"/>
          <w:noProof/>
          <w:lang w:eastAsia="en-GB"/>
        </w:rPr>
        <w:t xml:space="preserve">%) </w:t>
      </w:r>
      <w:r w:rsidR="00C475C7">
        <w:rPr>
          <w:rFonts w:ascii="Arial" w:hAnsi="Arial" w:cs="Arial"/>
          <w:noProof/>
          <w:lang w:eastAsia="en-GB"/>
        </w:rPr>
        <w:t>of boroughs</w:t>
      </w:r>
      <w:r w:rsidR="00A20E75">
        <w:rPr>
          <w:rFonts w:ascii="Arial" w:hAnsi="Arial" w:cs="Arial"/>
          <w:noProof/>
          <w:lang w:eastAsia="en-GB"/>
        </w:rPr>
        <w:t xml:space="preserve"> </w:t>
      </w:r>
      <w:r>
        <w:rPr>
          <w:rFonts w:ascii="Arial" w:hAnsi="Arial" w:cs="Arial"/>
          <w:noProof/>
          <w:lang w:eastAsia="en-GB"/>
        </w:rPr>
        <w:t>are engaged in delivering Multiply, with a</w:t>
      </w:r>
      <w:r w:rsidR="00C475C7">
        <w:rPr>
          <w:rFonts w:ascii="Arial" w:hAnsi="Arial" w:cs="Arial"/>
          <w:noProof/>
          <w:lang w:eastAsia="en-GB"/>
        </w:rPr>
        <w:t xml:space="preserve"> similar proportion (</w:t>
      </w:r>
      <w:r w:rsidR="00641D4C">
        <w:rPr>
          <w:rFonts w:ascii="Arial" w:hAnsi="Arial" w:cs="Arial"/>
          <w:noProof/>
          <w:lang w:eastAsia="en-GB"/>
        </w:rPr>
        <w:t>57</w:t>
      </w:r>
      <w:r w:rsidR="00C475C7">
        <w:rPr>
          <w:rFonts w:ascii="Arial" w:hAnsi="Arial" w:cs="Arial"/>
          <w:noProof/>
          <w:lang w:eastAsia="en-GB"/>
        </w:rPr>
        <w:t xml:space="preserve">%) </w:t>
      </w:r>
      <w:r w:rsidR="00641D4C">
        <w:rPr>
          <w:rFonts w:ascii="Arial" w:hAnsi="Arial" w:cs="Arial"/>
          <w:noProof/>
          <w:lang w:eastAsia="en-GB"/>
        </w:rPr>
        <w:t xml:space="preserve">engaged with </w:t>
      </w:r>
      <w:r>
        <w:rPr>
          <w:rFonts w:ascii="Arial" w:hAnsi="Arial" w:cs="Arial"/>
          <w:noProof/>
          <w:lang w:eastAsia="en-GB"/>
        </w:rPr>
        <w:t xml:space="preserve">apprenticeships. 43% of boroughs are working with </w:t>
      </w:r>
      <w:r w:rsidR="00641D4C">
        <w:rPr>
          <w:rFonts w:ascii="Arial" w:hAnsi="Arial" w:cs="Arial"/>
          <w:noProof/>
          <w:lang w:eastAsia="en-GB"/>
        </w:rPr>
        <w:t xml:space="preserve">local Youth Hubs designed to help young people into employment. </w:t>
      </w:r>
      <w:r w:rsidR="009D3496">
        <w:rPr>
          <w:rFonts w:ascii="Arial" w:hAnsi="Arial" w:cs="Arial"/>
          <w:noProof/>
          <w:lang w:eastAsia="en-GB"/>
        </w:rPr>
        <w:t>This is a positive finding considering that London currently has the highest youth unemployment rate among the regions</w:t>
      </w:r>
      <w:r>
        <w:rPr>
          <w:rFonts w:ascii="Arial" w:hAnsi="Arial" w:cs="Arial"/>
          <w:noProof/>
          <w:lang w:eastAsia="en-GB"/>
        </w:rPr>
        <w:t>.</w:t>
      </w:r>
      <w:r w:rsidR="00860ADC">
        <w:rPr>
          <w:rFonts w:ascii="Arial" w:hAnsi="Arial" w:cs="Arial"/>
          <w:noProof/>
          <w:lang w:eastAsia="en-GB"/>
        </w:rPr>
        <w:t xml:space="preserve"> </w:t>
      </w:r>
    </w:p>
    <w:p w14:paraId="53A2F5F9" w14:textId="13928650" w:rsidR="00C6581D" w:rsidRDefault="00C6581D" w:rsidP="002E2E10">
      <w:pPr>
        <w:rPr>
          <w:rFonts w:ascii="Arial" w:hAnsi="Arial" w:cs="Arial"/>
          <w:noProof/>
          <w:lang w:eastAsia="en-GB"/>
        </w:rPr>
      </w:pPr>
      <w:r>
        <w:rPr>
          <w:rFonts w:ascii="Arial" w:hAnsi="Arial" w:cs="Arial"/>
          <w:noProof/>
          <w:lang w:eastAsia="en-GB"/>
        </w:rPr>
        <w:t>Just under</w:t>
      </w:r>
      <w:r w:rsidR="008D417C">
        <w:rPr>
          <w:rFonts w:ascii="Arial" w:hAnsi="Arial" w:cs="Arial"/>
          <w:noProof/>
          <w:lang w:eastAsia="en-GB"/>
        </w:rPr>
        <w:t xml:space="preserve"> half</w:t>
      </w:r>
      <w:r w:rsidR="00E749AA">
        <w:rPr>
          <w:rFonts w:ascii="Arial" w:hAnsi="Arial" w:cs="Arial"/>
          <w:noProof/>
          <w:lang w:eastAsia="en-GB"/>
        </w:rPr>
        <w:t xml:space="preserve"> (</w:t>
      </w:r>
      <w:r>
        <w:rPr>
          <w:rFonts w:ascii="Arial" w:hAnsi="Arial" w:cs="Arial"/>
          <w:noProof/>
          <w:lang w:eastAsia="en-GB"/>
        </w:rPr>
        <w:t>43</w:t>
      </w:r>
      <w:r w:rsidR="00E749AA">
        <w:rPr>
          <w:rFonts w:ascii="Arial" w:hAnsi="Arial" w:cs="Arial"/>
          <w:noProof/>
          <w:lang w:eastAsia="en-GB"/>
        </w:rPr>
        <w:t>%) of the boroughs surveyed also engaged with the delivery of the W</w:t>
      </w:r>
      <w:r>
        <w:rPr>
          <w:rFonts w:ascii="Arial" w:hAnsi="Arial" w:cs="Arial"/>
          <w:noProof/>
          <w:lang w:eastAsia="en-GB"/>
        </w:rPr>
        <w:t xml:space="preserve">ork and Health and Restart programmes, and two fifths </w:t>
      </w:r>
      <w:r w:rsidR="005E4FAC">
        <w:rPr>
          <w:rFonts w:ascii="Arial" w:hAnsi="Arial" w:cs="Arial"/>
          <w:noProof/>
          <w:lang w:eastAsia="en-GB"/>
        </w:rPr>
        <w:t>(4</w:t>
      </w:r>
      <w:r>
        <w:rPr>
          <w:rFonts w:ascii="Arial" w:hAnsi="Arial" w:cs="Arial"/>
          <w:noProof/>
          <w:lang w:eastAsia="en-GB"/>
        </w:rPr>
        <w:t>0</w:t>
      </w:r>
      <w:r w:rsidR="005E4FAC">
        <w:rPr>
          <w:rFonts w:ascii="Arial" w:hAnsi="Arial" w:cs="Arial"/>
          <w:noProof/>
          <w:lang w:eastAsia="en-GB"/>
        </w:rPr>
        <w:t>%) of boroughs also took advantage of DWP’s Flexible Support Fund</w:t>
      </w:r>
      <w:r>
        <w:rPr>
          <w:rFonts w:ascii="Arial" w:hAnsi="Arial" w:cs="Arial"/>
          <w:noProof/>
          <w:lang w:eastAsia="en-GB"/>
        </w:rPr>
        <w:t>. 23% of boroughs provided traineeships</w:t>
      </w:r>
      <w:r w:rsidR="001B08E6">
        <w:rPr>
          <w:rStyle w:val="FootnoteReference"/>
          <w:rFonts w:ascii="Arial" w:hAnsi="Arial" w:cs="Arial"/>
          <w:noProof/>
          <w:lang w:eastAsia="en-GB"/>
        </w:rPr>
        <w:footnoteReference w:id="5"/>
      </w:r>
      <w:r>
        <w:rPr>
          <w:rFonts w:ascii="Arial" w:hAnsi="Arial" w:cs="Arial"/>
          <w:noProof/>
          <w:lang w:eastAsia="en-GB"/>
        </w:rPr>
        <w:t>.</w:t>
      </w:r>
    </w:p>
    <w:p w14:paraId="432A2E7A" w14:textId="111339D0" w:rsidR="009E7289" w:rsidRDefault="009E7289" w:rsidP="002E2E10">
      <w:pPr>
        <w:rPr>
          <w:rFonts w:ascii="Arial" w:hAnsi="Arial" w:cs="Arial"/>
          <w:noProof/>
          <w:lang w:eastAsia="en-GB"/>
        </w:rPr>
      </w:pPr>
    </w:p>
    <w:p w14:paraId="46011463" w14:textId="52C84800" w:rsidR="009E7289" w:rsidRDefault="009E7289" w:rsidP="002E2E10">
      <w:pPr>
        <w:rPr>
          <w:rFonts w:ascii="Arial" w:hAnsi="Arial" w:cs="Arial"/>
          <w:noProof/>
          <w:lang w:eastAsia="en-GB"/>
        </w:rPr>
      </w:pPr>
    </w:p>
    <w:p w14:paraId="3DCB6347" w14:textId="4DFB4A7F" w:rsidR="009E7289" w:rsidRDefault="009E7289" w:rsidP="002E2E10">
      <w:pPr>
        <w:rPr>
          <w:rFonts w:ascii="Arial" w:hAnsi="Arial" w:cs="Arial"/>
          <w:noProof/>
          <w:lang w:eastAsia="en-GB"/>
        </w:rPr>
      </w:pPr>
    </w:p>
    <w:p w14:paraId="77A76C2B" w14:textId="1DDBD30A" w:rsidR="009E7289" w:rsidRDefault="009E7289" w:rsidP="002E2E10">
      <w:pPr>
        <w:rPr>
          <w:rFonts w:ascii="Arial" w:hAnsi="Arial" w:cs="Arial"/>
          <w:noProof/>
          <w:lang w:eastAsia="en-GB"/>
        </w:rPr>
      </w:pPr>
    </w:p>
    <w:p w14:paraId="751E2A3A" w14:textId="50F54832" w:rsidR="009E7289" w:rsidRDefault="009E7289" w:rsidP="002E2E10">
      <w:pPr>
        <w:rPr>
          <w:rFonts w:ascii="Arial" w:hAnsi="Arial" w:cs="Arial"/>
          <w:noProof/>
          <w:lang w:eastAsia="en-GB"/>
        </w:rPr>
      </w:pPr>
    </w:p>
    <w:p w14:paraId="38742740" w14:textId="747FC545" w:rsidR="009E7289" w:rsidRDefault="009E7289" w:rsidP="002E2E10">
      <w:pPr>
        <w:rPr>
          <w:rFonts w:ascii="Arial" w:hAnsi="Arial" w:cs="Arial"/>
          <w:noProof/>
          <w:lang w:eastAsia="en-GB"/>
        </w:rPr>
      </w:pPr>
    </w:p>
    <w:p w14:paraId="703DBB17" w14:textId="6B1E00A1" w:rsidR="009E7289" w:rsidRDefault="009E7289" w:rsidP="002E2E10">
      <w:pPr>
        <w:rPr>
          <w:rFonts w:ascii="Arial" w:hAnsi="Arial" w:cs="Arial"/>
          <w:noProof/>
          <w:lang w:eastAsia="en-GB"/>
        </w:rPr>
      </w:pPr>
    </w:p>
    <w:p w14:paraId="182CEC88" w14:textId="5BEBE635" w:rsidR="009E7289" w:rsidRDefault="009E7289" w:rsidP="002E2E10">
      <w:pPr>
        <w:rPr>
          <w:rFonts w:ascii="Arial" w:hAnsi="Arial" w:cs="Arial"/>
          <w:noProof/>
          <w:lang w:eastAsia="en-GB"/>
        </w:rPr>
      </w:pPr>
    </w:p>
    <w:p w14:paraId="19D45275" w14:textId="016C0310" w:rsidR="009E7289" w:rsidRDefault="009E7289" w:rsidP="002E2E10">
      <w:pPr>
        <w:rPr>
          <w:rFonts w:ascii="Arial" w:hAnsi="Arial" w:cs="Arial"/>
          <w:noProof/>
          <w:lang w:eastAsia="en-GB"/>
        </w:rPr>
      </w:pPr>
    </w:p>
    <w:p w14:paraId="2541C1A2" w14:textId="77777777" w:rsidR="00AD5AB5" w:rsidRDefault="00AD5AB5" w:rsidP="00477A5C">
      <w:pPr>
        <w:spacing w:after="0"/>
        <w:rPr>
          <w:rFonts w:ascii="Arial" w:hAnsi="Arial" w:cs="Arial"/>
          <w:b/>
          <w:i/>
          <w:sz w:val="20"/>
        </w:rPr>
      </w:pPr>
    </w:p>
    <w:p w14:paraId="41C16C2B" w14:textId="77777777" w:rsidR="00AD5AB5" w:rsidRDefault="00AD5AB5" w:rsidP="00477A5C">
      <w:pPr>
        <w:spacing w:after="0"/>
        <w:rPr>
          <w:rFonts w:ascii="Arial" w:hAnsi="Arial" w:cs="Arial"/>
          <w:b/>
          <w:i/>
          <w:sz w:val="20"/>
        </w:rPr>
      </w:pPr>
    </w:p>
    <w:p w14:paraId="10809BD7" w14:textId="77777777" w:rsidR="00C6581D" w:rsidRDefault="00C6581D" w:rsidP="00477A5C">
      <w:pPr>
        <w:spacing w:after="0"/>
        <w:rPr>
          <w:rFonts w:ascii="Arial" w:hAnsi="Arial" w:cs="Arial"/>
          <w:b/>
          <w:i/>
          <w:sz w:val="20"/>
        </w:rPr>
      </w:pPr>
    </w:p>
    <w:p w14:paraId="34CA34C1" w14:textId="77777777" w:rsidR="00C6581D" w:rsidRDefault="00C6581D" w:rsidP="00477A5C">
      <w:pPr>
        <w:spacing w:after="0"/>
        <w:rPr>
          <w:rFonts w:ascii="Arial" w:hAnsi="Arial" w:cs="Arial"/>
          <w:b/>
          <w:i/>
          <w:sz w:val="20"/>
        </w:rPr>
      </w:pPr>
    </w:p>
    <w:p w14:paraId="58A7DE24" w14:textId="77777777" w:rsidR="00F86619" w:rsidRDefault="00F86619">
      <w:pPr>
        <w:rPr>
          <w:rFonts w:ascii="Arial" w:hAnsi="Arial" w:cs="Arial"/>
          <w:b/>
          <w:i/>
          <w:sz w:val="20"/>
        </w:rPr>
      </w:pPr>
      <w:r>
        <w:rPr>
          <w:rFonts w:ascii="Arial" w:hAnsi="Arial" w:cs="Arial"/>
          <w:b/>
          <w:i/>
          <w:sz w:val="20"/>
        </w:rPr>
        <w:br w:type="page"/>
      </w:r>
    </w:p>
    <w:p w14:paraId="212EE614" w14:textId="3F0A9E82" w:rsidR="00477A5C" w:rsidRPr="005C67FA" w:rsidRDefault="00477A5C" w:rsidP="00477A5C">
      <w:pPr>
        <w:spacing w:after="0"/>
        <w:rPr>
          <w:rFonts w:ascii="Arial" w:hAnsi="Arial" w:cs="Arial"/>
          <w:b/>
          <w:i/>
          <w:sz w:val="20"/>
        </w:rPr>
      </w:pPr>
      <w:r w:rsidRPr="005C67FA">
        <w:rPr>
          <w:rFonts w:ascii="Arial" w:hAnsi="Arial" w:cs="Arial"/>
          <w:b/>
          <w:i/>
          <w:sz w:val="20"/>
        </w:rPr>
        <w:lastRenderedPageBreak/>
        <w:t xml:space="preserve">Figure </w:t>
      </w:r>
      <w:r w:rsidR="005C67FA">
        <w:rPr>
          <w:rFonts w:ascii="Arial" w:hAnsi="Arial" w:cs="Arial"/>
          <w:b/>
          <w:i/>
          <w:sz w:val="20"/>
        </w:rPr>
        <w:t>6</w:t>
      </w:r>
      <w:r w:rsidRPr="005C67FA">
        <w:rPr>
          <w:rFonts w:ascii="Arial" w:hAnsi="Arial" w:cs="Arial"/>
          <w:b/>
          <w:i/>
          <w:sz w:val="20"/>
        </w:rPr>
        <w:t xml:space="preserve">. Is your employment service </w:t>
      </w:r>
      <w:r w:rsidR="007533B8" w:rsidRPr="005C67FA">
        <w:rPr>
          <w:rFonts w:ascii="Arial" w:hAnsi="Arial" w:cs="Arial"/>
          <w:b/>
          <w:i/>
          <w:sz w:val="20"/>
        </w:rPr>
        <w:t>engaged in delivering any elements of the Plan for Jobs in your borough?</w:t>
      </w:r>
      <w:r w:rsidR="005209DB" w:rsidRPr="005C67FA">
        <w:rPr>
          <w:rStyle w:val="FootnoteReference"/>
          <w:rFonts w:ascii="Arial" w:hAnsi="Arial" w:cs="Arial"/>
          <w:b/>
          <w:i/>
          <w:sz w:val="20"/>
        </w:rPr>
        <w:footnoteReference w:id="6"/>
      </w:r>
    </w:p>
    <w:p w14:paraId="77880C2D" w14:textId="59488316" w:rsidR="005209DB" w:rsidRPr="005C67FA" w:rsidRDefault="005209DB" w:rsidP="00477A5C">
      <w:pPr>
        <w:spacing w:after="0"/>
        <w:rPr>
          <w:rFonts w:ascii="Arial" w:hAnsi="Arial" w:cs="Arial"/>
          <w:b/>
          <w:i/>
          <w:sz w:val="20"/>
        </w:rPr>
      </w:pPr>
      <w:r w:rsidRPr="005C67FA">
        <w:rPr>
          <w:noProof/>
        </w:rPr>
        <w:drawing>
          <wp:inline distT="0" distB="0" distL="0" distR="0" wp14:anchorId="177EA426" wp14:editId="390ADC90">
            <wp:extent cx="5876925" cy="2743200"/>
            <wp:effectExtent l="0" t="0" r="9525" b="0"/>
            <wp:docPr id="20" name="Chart 20">
              <a:extLst xmlns:a="http://schemas.openxmlformats.org/drawingml/2006/main">
                <a:ext uri="{FF2B5EF4-FFF2-40B4-BE49-F238E27FC236}">
                  <a16:creationId xmlns:a16="http://schemas.microsoft.com/office/drawing/2014/main" id="{15CF8997-5294-4C3A-A110-47E29D2361D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39234DA1" w14:textId="1A8BDF68" w:rsidR="00B549CB" w:rsidRPr="005C67FA" w:rsidRDefault="00B549CB" w:rsidP="007533B8">
      <w:pPr>
        <w:spacing w:after="0"/>
        <w:rPr>
          <w:rFonts w:ascii="Arial" w:hAnsi="Arial" w:cs="Arial"/>
          <w:noProof/>
          <w:lang w:eastAsia="en-GB"/>
        </w:rPr>
      </w:pPr>
    </w:p>
    <w:p w14:paraId="6DE30368" w14:textId="6A0EBE2D" w:rsidR="007533B8" w:rsidRDefault="007533B8" w:rsidP="00DE6634">
      <w:pPr>
        <w:spacing w:after="0"/>
        <w:jc w:val="right"/>
        <w:rPr>
          <w:rFonts w:ascii="Arial" w:hAnsi="Arial" w:cs="Arial"/>
          <w:sz w:val="20"/>
        </w:rPr>
      </w:pPr>
      <w:r w:rsidRPr="005C67FA">
        <w:rPr>
          <w:rFonts w:ascii="Arial" w:hAnsi="Arial" w:cs="Arial"/>
          <w:sz w:val="20"/>
        </w:rPr>
        <w:t xml:space="preserve">Base: </w:t>
      </w:r>
      <w:r w:rsidR="005209DB" w:rsidRPr="005C67FA">
        <w:rPr>
          <w:rFonts w:ascii="Arial" w:hAnsi="Arial" w:cs="Arial"/>
          <w:sz w:val="20"/>
        </w:rPr>
        <w:t>30</w:t>
      </w:r>
      <w:r w:rsidR="00DE6634" w:rsidRPr="005C67FA">
        <w:rPr>
          <w:rFonts w:ascii="Arial" w:hAnsi="Arial" w:cs="Arial"/>
          <w:sz w:val="20"/>
        </w:rPr>
        <w:t xml:space="preserve"> response</w:t>
      </w:r>
      <w:r w:rsidR="005209DB" w:rsidRPr="005C67FA">
        <w:rPr>
          <w:rFonts w:ascii="Arial" w:hAnsi="Arial" w:cs="Arial"/>
          <w:sz w:val="20"/>
        </w:rPr>
        <w:t>s</w:t>
      </w:r>
      <w:r w:rsidRPr="005C67FA">
        <w:rPr>
          <w:rFonts w:ascii="Arial" w:hAnsi="Arial" w:cs="Arial"/>
          <w:sz w:val="20"/>
        </w:rPr>
        <w:t>.</w:t>
      </w:r>
    </w:p>
    <w:p w14:paraId="4744AE18" w14:textId="36D2E222" w:rsidR="005209DB" w:rsidRDefault="005209DB" w:rsidP="00DE6634">
      <w:pPr>
        <w:spacing w:after="0"/>
        <w:jc w:val="right"/>
        <w:rPr>
          <w:rFonts w:ascii="Arial" w:hAnsi="Arial" w:cs="Arial"/>
          <w:sz w:val="20"/>
        </w:rPr>
      </w:pPr>
    </w:p>
    <w:p w14:paraId="47FDC7B3" w14:textId="7383C656" w:rsidR="007533B8" w:rsidRPr="00153BAC" w:rsidRDefault="00A75DA2" w:rsidP="00E56A05">
      <w:pPr>
        <w:rPr>
          <w:rFonts w:ascii="Arial" w:hAnsi="Arial" w:cs="Arial"/>
          <w:b/>
          <w:noProof/>
          <w:sz w:val="24"/>
          <w:lang w:eastAsia="en-GB"/>
        </w:rPr>
      </w:pPr>
      <w:r w:rsidRPr="00153BAC">
        <w:rPr>
          <w:rFonts w:ascii="Arial" w:hAnsi="Arial" w:cs="Arial"/>
          <w:b/>
          <w:noProof/>
          <w:sz w:val="24"/>
          <w:lang w:eastAsia="en-GB"/>
        </w:rPr>
        <w:t>No Wrong Door approach</w:t>
      </w:r>
    </w:p>
    <w:p w14:paraId="215CD6EB" w14:textId="05661BD8" w:rsidR="0060304B" w:rsidRDefault="0060304B" w:rsidP="00E56A05">
      <w:pPr>
        <w:rPr>
          <w:rFonts w:ascii="Arial" w:hAnsi="Arial" w:cs="Arial"/>
          <w:noProof/>
          <w:lang w:eastAsia="en-GB"/>
        </w:rPr>
      </w:pPr>
      <w:r w:rsidRPr="0060304B">
        <w:rPr>
          <w:rFonts w:ascii="Arial" w:hAnsi="Arial" w:cs="Arial"/>
          <w:noProof/>
          <w:lang w:eastAsia="en-GB"/>
        </w:rPr>
        <w:t>The ‘Good Work’ mission, which forms part of London’s economic recovery work</w:t>
      </w:r>
      <w:r w:rsidR="00452E5F">
        <w:rPr>
          <w:rFonts w:ascii="Arial" w:hAnsi="Arial" w:cs="Arial"/>
          <w:noProof/>
          <w:lang w:eastAsia="en-GB"/>
        </w:rPr>
        <w:t>, is</w:t>
      </w:r>
      <w:r w:rsidRPr="0060304B">
        <w:rPr>
          <w:rFonts w:ascii="Arial" w:hAnsi="Arial" w:cs="Arial"/>
          <w:noProof/>
          <w:lang w:eastAsia="en-GB"/>
        </w:rPr>
        <w:t xml:space="preserve"> focusing on developing a ‘</w:t>
      </w:r>
      <w:r w:rsidR="00F05CE2">
        <w:rPr>
          <w:rFonts w:ascii="Arial" w:hAnsi="Arial" w:cs="Arial"/>
          <w:noProof/>
          <w:lang w:eastAsia="en-GB"/>
        </w:rPr>
        <w:t>N</w:t>
      </w:r>
      <w:r w:rsidRPr="0060304B">
        <w:rPr>
          <w:rFonts w:ascii="Arial" w:hAnsi="Arial" w:cs="Arial"/>
          <w:noProof/>
          <w:lang w:eastAsia="en-GB"/>
        </w:rPr>
        <w:t xml:space="preserve">o </w:t>
      </w:r>
      <w:r w:rsidR="00F05CE2">
        <w:rPr>
          <w:rFonts w:ascii="Arial" w:hAnsi="Arial" w:cs="Arial"/>
          <w:noProof/>
          <w:lang w:eastAsia="en-GB"/>
        </w:rPr>
        <w:t>W</w:t>
      </w:r>
      <w:r w:rsidRPr="0060304B">
        <w:rPr>
          <w:rFonts w:ascii="Arial" w:hAnsi="Arial" w:cs="Arial"/>
          <w:noProof/>
          <w:lang w:eastAsia="en-GB"/>
        </w:rPr>
        <w:t xml:space="preserve">rong </w:t>
      </w:r>
      <w:r w:rsidR="00F05CE2">
        <w:rPr>
          <w:rFonts w:ascii="Arial" w:hAnsi="Arial" w:cs="Arial"/>
          <w:noProof/>
          <w:lang w:eastAsia="en-GB"/>
        </w:rPr>
        <w:t>D</w:t>
      </w:r>
      <w:r w:rsidRPr="0060304B">
        <w:rPr>
          <w:rFonts w:ascii="Arial" w:hAnsi="Arial" w:cs="Arial"/>
          <w:noProof/>
          <w:lang w:eastAsia="en-GB"/>
        </w:rPr>
        <w:t xml:space="preserve">oor’ </w:t>
      </w:r>
      <w:r w:rsidR="00F05CE2">
        <w:rPr>
          <w:rFonts w:ascii="Arial" w:hAnsi="Arial" w:cs="Arial"/>
          <w:noProof/>
          <w:lang w:eastAsia="en-GB"/>
        </w:rPr>
        <w:t xml:space="preserve">(NWD) </w:t>
      </w:r>
      <w:r w:rsidRPr="0060304B">
        <w:rPr>
          <w:rFonts w:ascii="Arial" w:hAnsi="Arial" w:cs="Arial"/>
          <w:noProof/>
          <w:lang w:eastAsia="en-GB"/>
        </w:rPr>
        <w:t>approach for employment and skills provision. This is about helping Londoners find the support they need by making it easy to navigate the different service offers and joining up services locally.</w:t>
      </w:r>
    </w:p>
    <w:p w14:paraId="6D8C2735" w14:textId="73B68DC0" w:rsidR="00EF01A3" w:rsidRPr="00EF01A3" w:rsidRDefault="000D6BAC" w:rsidP="00EF01A3">
      <w:pPr>
        <w:rPr>
          <w:rFonts w:ascii="Arial" w:hAnsi="Arial" w:cs="Arial"/>
          <w:noProof/>
          <w:lang w:eastAsia="en-GB"/>
        </w:rPr>
      </w:pPr>
      <w:r>
        <w:rPr>
          <w:rFonts w:ascii="Arial" w:hAnsi="Arial" w:cs="Arial"/>
          <w:noProof/>
          <w:lang w:eastAsia="en-GB"/>
        </w:rPr>
        <w:t xml:space="preserve">London Councils asked boroughs whether they have been involved in developing a </w:t>
      </w:r>
      <w:r w:rsidR="00F05CE2">
        <w:rPr>
          <w:rFonts w:ascii="Arial" w:hAnsi="Arial" w:cs="Arial"/>
          <w:noProof/>
          <w:lang w:eastAsia="en-GB"/>
        </w:rPr>
        <w:t>NWD</w:t>
      </w:r>
      <w:r>
        <w:rPr>
          <w:rFonts w:ascii="Arial" w:hAnsi="Arial" w:cs="Arial"/>
          <w:noProof/>
          <w:lang w:eastAsia="en-GB"/>
        </w:rPr>
        <w:t xml:space="preserve"> approach locally or sub-regionally</w:t>
      </w:r>
      <w:r w:rsidR="00410E22">
        <w:rPr>
          <w:rFonts w:ascii="Arial" w:hAnsi="Arial" w:cs="Arial"/>
          <w:noProof/>
          <w:lang w:eastAsia="en-GB"/>
        </w:rPr>
        <w:t>. T</w:t>
      </w:r>
      <w:r w:rsidR="00A734D4">
        <w:rPr>
          <w:rFonts w:ascii="Arial" w:hAnsi="Arial" w:cs="Arial"/>
          <w:noProof/>
          <w:lang w:eastAsia="en-GB"/>
        </w:rPr>
        <w:t>he vast majority of them said they ha</w:t>
      </w:r>
      <w:r w:rsidR="00C46E9C">
        <w:rPr>
          <w:rFonts w:ascii="Arial" w:hAnsi="Arial" w:cs="Arial"/>
          <w:noProof/>
          <w:lang w:eastAsia="en-GB"/>
        </w:rPr>
        <w:t xml:space="preserve">d in </w:t>
      </w:r>
      <w:r w:rsidR="00A734D4">
        <w:rPr>
          <w:rFonts w:ascii="Arial" w:hAnsi="Arial" w:cs="Arial"/>
          <w:noProof/>
          <w:lang w:eastAsia="en-GB"/>
        </w:rPr>
        <w:t>202</w:t>
      </w:r>
      <w:r w:rsidR="00C46E9C">
        <w:rPr>
          <w:rFonts w:ascii="Arial" w:hAnsi="Arial" w:cs="Arial"/>
          <w:noProof/>
          <w:lang w:eastAsia="en-GB"/>
        </w:rPr>
        <w:t>1</w:t>
      </w:r>
      <w:r w:rsidR="00452E5F">
        <w:rPr>
          <w:rFonts w:ascii="Arial" w:hAnsi="Arial" w:cs="Arial"/>
          <w:noProof/>
          <w:lang w:eastAsia="en-GB"/>
        </w:rPr>
        <w:t>/22</w:t>
      </w:r>
      <w:r w:rsidR="00A734D4">
        <w:rPr>
          <w:rFonts w:ascii="Arial" w:hAnsi="Arial" w:cs="Arial"/>
          <w:noProof/>
          <w:lang w:eastAsia="en-GB"/>
        </w:rPr>
        <w:t xml:space="preserve"> (8</w:t>
      </w:r>
      <w:r w:rsidR="00C46E9C">
        <w:rPr>
          <w:rFonts w:ascii="Arial" w:hAnsi="Arial" w:cs="Arial"/>
          <w:noProof/>
          <w:lang w:eastAsia="en-GB"/>
        </w:rPr>
        <w:t>7%); in 202</w:t>
      </w:r>
      <w:r w:rsidR="00452E5F">
        <w:rPr>
          <w:rFonts w:ascii="Arial" w:hAnsi="Arial" w:cs="Arial"/>
          <w:noProof/>
          <w:lang w:eastAsia="en-GB"/>
        </w:rPr>
        <w:t>3</w:t>
      </w:r>
      <w:r w:rsidR="00C46E9C">
        <w:rPr>
          <w:rFonts w:ascii="Arial" w:hAnsi="Arial" w:cs="Arial"/>
          <w:noProof/>
          <w:lang w:eastAsia="en-GB"/>
        </w:rPr>
        <w:t xml:space="preserve">, all boroughs said they had been involved (100%). </w:t>
      </w:r>
    </w:p>
    <w:p w14:paraId="7C7AD4E5" w14:textId="1EFD4A36" w:rsidR="00F757FC" w:rsidRDefault="00EE4C73" w:rsidP="00E56A05">
      <w:pPr>
        <w:rPr>
          <w:rFonts w:ascii="Arial" w:hAnsi="Arial" w:cs="Arial"/>
          <w:noProof/>
          <w:lang w:eastAsia="en-GB"/>
        </w:rPr>
      </w:pPr>
      <w:r>
        <w:rPr>
          <w:rFonts w:ascii="Arial" w:hAnsi="Arial" w:cs="Arial"/>
          <w:noProof/>
          <w:lang w:eastAsia="en-GB"/>
        </w:rPr>
        <w:t xml:space="preserve">Of the boroughs who were involved in developing a </w:t>
      </w:r>
      <w:r w:rsidR="00F05CE2">
        <w:rPr>
          <w:rFonts w:ascii="Arial" w:hAnsi="Arial" w:cs="Arial"/>
          <w:noProof/>
          <w:lang w:eastAsia="en-GB"/>
        </w:rPr>
        <w:t xml:space="preserve">NWD </w:t>
      </w:r>
      <w:r>
        <w:rPr>
          <w:rFonts w:ascii="Arial" w:hAnsi="Arial" w:cs="Arial"/>
          <w:noProof/>
          <w:lang w:eastAsia="en-GB"/>
        </w:rPr>
        <w:t xml:space="preserve">approach, </w:t>
      </w:r>
      <w:r w:rsidR="00C46E9C">
        <w:rPr>
          <w:rFonts w:ascii="Arial" w:hAnsi="Arial" w:cs="Arial"/>
          <w:noProof/>
          <w:lang w:eastAsia="en-GB"/>
        </w:rPr>
        <w:t>nine in ten</w:t>
      </w:r>
      <w:r w:rsidR="00BE5C4A">
        <w:rPr>
          <w:rFonts w:ascii="Arial" w:hAnsi="Arial" w:cs="Arial"/>
          <w:noProof/>
          <w:lang w:eastAsia="en-GB"/>
        </w:rPr>
        <w:t xml:space="preserve"> (</w:t>
      </w:r>
      <w:r w:rsidR="00C46E9C">
        <w:rPr>
          <w:rFonts w:ascii="Arial" w:hAnsi="Arial" w:cs="Arial"/>
          <w:noProof/>
          <w:lang w:eastAsia="en-GB"/>
        </w:rPr>
        <w:t>91</w:t>
      </w:r>
      <w:r w:rsidR="00BE5C4A">
        <w:rPr>
          <w:rFonts w:ascii="Arial" w:hAnsi="Arial" w:cs="Arial"/>
          <w:noProof/>
          <w:lang w:eastAsia="en-GB"/>
        </w:rPr>
        <w:t xml:space="preserve">%) did so via </w:t>
      </w:r>
      <w:r w:rsidR="00C46E9C">
        <w:rPr>
          <w:rFonts w:ascii="Arial" w:hAnsi="Arial" w:cs="Arial"/>
          <w:noProof/>
          <w:lang w:eastAsia="en-GB"/>
        </w:rPr>
        <w:t xml:space="preserve">participation in networks of other employment practitioners, and four in five (85%) via </w:t>
      </w:r>
      <w:r w:rsidR="00BE5C4A">
        <w:rPr>
          <w:rFonts w:ascii="Arial" w:hAnsi="Arial" w:cs="Arial"/>
          <w:noProof/>
          <w:lang w:eastAsia="en-GB"/>
        </w:rPr>
        <w:t>closer interaction with adult learning providers</w:t>
      </w:r>
      <w:r w:rsidR="00A652FE">
        <w:rPr>
          <w:rFonts w:ascii="Arial" w:hAnsi="Arial" w:cs="Arial"/>
          <w:noProof/>
          <w:lang w:eastAsia="en-GB"/>
        </w:rPr>
        <w:t xml:space="preserve"> and employers</w:t>
      </w:r>
      <w:r w:rsidR="00C46E9C">
        <w:rPr>
          <w:rFonts w:ascii="Arial" w:hAnsi="Arial" w:cs="Arial"/>
          <w:noProof/>
          <w:lang w:eastAsia="en-GB"/>
        </w:rPr>
        <w:t>. O</w:t>
      </w:r>
      <w:r w:rsidR="00063C7F">
        <w:rPr>
          <w:rFonts w:ascii="Arial" w:hAnsi="Arial" w:cs="Arial"/>
          <w:noProof/>
          <w:lang w:eastAsia="en-GB"/>
        </w:rPr>
        <w:t>ver half</w:t>
      </w:r>
      <w:r w:rsidR="00D70085">
        <w:rPr>
          <w:rFonts w:ascii="Arial" w:hAnsi="Arial" w:cs="Arial"/>
          <w:noProof/>
          <w:lang w:eastAsia="en-GB"/>
        </w:rPr>
        <w:t xml:space="preserve"> (</w:t>
      </w:r>
      <w:r w:rsidR="00412898">
        <w:rPr>
          <w:rFonts w:ascii="Arial" w:hAnsi="Arial" w:cs="Arial"/>
          <w:noProof/>
          <w:lang w:eastAsia="en-GB"/>
        </w:rPr>
        <w:t>5</w:t>
      </w:r>
      <w:r w:rsidR="00C46E9C">
        <w:rPr>
          <w:rFonts w:ascii="Arial" w:hAnsi="Arial" w:cs="Arial"/>
          <w:noProof/>
          <w:lang w:eastAsia="en-GB"/>
        </w:rPr>
        <w:t>8</w:t>
      </w:r>
      <w:r w:rsidR="00D70085">
        <w:rPr>
          <w:rFonts w:ascii="Arial" w:hAnsi="Arial" w:cs="Arial"/>
          <w:noProof/>
          <w:lang w:eastAsia="en-GB"/>
        </w:rPr>
        <w:t xml:space="preserve">%) </w:t>
      </w:r>
      <w:r w:rsidR="00C46E9C">
        <w:rPr>
          <w:rFonts w:ascii="Arial" w:hAnsi="Arial" w:cs="Arial"/>
          <w:noProof/>
          <w:lang w:eastAsia="en-GB"/>
        </w:rPr>
        <w:t xml:space="preserve">had </w:t>
      </w:r>
      <w:r w:rsidR="00E23514">
        <w:rPr>
          <w:rFonts w:ascii="Arial" w:hAnsi="Arial" w:cs="Arial"/>
          <w:noProof/>
          <w:lang w:eastAsia="en-GB"/>
        </w:rPr>
        <w:t>worked on a digital platform to guide people to the right services</w:t>
      </w:r>
      <w:r w:rsidR="00C46E9C">
        <w:rPr>
          <w:rFonts w:ascii="Arial" w:hAnsi="Arial" w:cs="Arial"/>
          <w:noProof/>
          <w:lang w:eastAsia="en-GB"/>
        </w:rPr>
        <w:t xml:space="preserve"> or undertaken mapping of customer journeys to improve access to services</w:t>
      </w:r>
      <w:r w:rsidR="00CC6566">
        <w:rPr>
          <w:rFonts w:ascii="Arial" w:hAnsi="Arial" w:cs="Arial"/>
          <w:noProof/>
          <w:lang w:eastAsia="en-GB"/>
        </w:rPr>
        <w:t xml:space="preserve"> (58%).</w:t>
      </w:r>
    </w:p>
    <w:p w14:paraId="7D305096" w14:textId="48B6CEE2" w:rsidR="00D70085" w:rsidRDefault="00DF0563" w:rsidP="00E56A05">
      <w:pPr>
        <w:rPr>
          <w:rFonts w:ascii="Arial" w:hAnsi="Arial" w:cs="Arial"/>
          <w:noProof/>
          <w:lang w:eastAsia="en-GB"/>
        </w:rPr>
      </w:pPr>
      <w:r>
        <w:rPr>
          <w:rFonts w:ascii="Arial" w:hAnsi="Arial" w:cs="Arial"/>
          <w:noProof/>
          <w:lang w:eastAsia="en-GB"/>
        </w:rPr>
        <w:t>Many boroughs also indicated working closely with Jobcentre Plu</w:t>
      </w:r>
      <w:r w:rsidR="007E0924">
        <w:rPr>
          <w:rFonts w:ascii="Arial" w:hAnsi="Arial" w:cs="Arial"/>
          <w:noProof/>
          <w:lang w:eastAsia="en-GB"/>
        </w:rPr>
        <w:t>s</w:t>
      </w:r>
      <w:r>
        <w:rPr>
          <w:rFonts w:ascii="Arial" w:hAnsi="Arial" w:cs="Arial"/>
          <w:noProof/>
          <w:lang w:eastAsia="en-GB"/>
        </w:rPr>
        <w:t>, including via co-location (</w:t>
      </w:r>
      <w:r w:rsidR="00063C7F">
        <w:rPr>
          <w:rFonts w:ascii="Arial" w:hAnsi="Arial" w:cs="Arial"/>
          <w:noProof/>
          <w:lang w:eastAsia="en-GB"/>
        </w:rPr>
        <w:t>4</w:t>
      </w:r>
      <w:r w:rsidR="00CC6566">
        <w:rPr>
          <w:rFonts w:ascii="Arial" w:hAnsi="Arial" w:cs="Arial"/>
          <w:noProof/>
          <w:lang w:eastAsia="en-GB"/>
        </w:rPr>
        <w:t>2</w:t>
      </w:r>
      <w:r>
        <w:rPr>
          <w:rFonts w:ascii="Arial" w:hAnsi="Arial" w:cs="Arial"/>
          <w:noProof/>
          <w:lang w:eastAsia="en-GB"/>
        </w:rPr>
        <w:t>%)</w:t>
      </w:r>
      <w:r w:rsidR="00CC6566">
        <w:rPr>
          <w:rFonts w:ascii="Arial" w:hAnsi="Arial" w:cs="Arial"/>
          <w:noProof/>
          <w:lang w:eastAsia="en-GB"/>
        </w:rPr>
        <w:t xml:space="preserve">, </w:t>
      </w:r>
      <w:r w:rsidR="00EF654F">
        <w:rPr>
          <w:rFonts w:ascii="Arial" w:hAnsi="Arial" w:cs="Arial"/>
          <w:noProof/>
          <w:lang w:eastAsia="en-GB"/>
        </w:rPr>
        <w:t>hosting JCP and other services within borough teams (4</w:t>
      </w:r>
      <w:r w:rsidR="00CC6566">
        <w:rPr>
          <w:rFonts w:ascii="Arial" w:hAnsi="Arial" w:cs="Arial"/>
          <w:noProof/>
          <w:lang w:eastAsia="en-GB"/>
        </w:rPr>
        <w:t>5</w:t>
      </w:r>
      <w:r w:rsidR="00EF654F">
        <w:rPr>
          <w:rFonts w:ascii="Arial" w:hAnsi="Arial" w:cs="Arial"/>
          <w:noProof/>
          <w:lang w:eastAsia="en-GB"/>
        </w:rPr>
        <w:t>%)</w:t>
      </w:r>
      <w:r w:rsidR="00CC6566">
        <w:rPr>
          <w:rFonts w:ascii="Arial" w:hAnsi="Arial" w:cs="Arial"/>
          <w:noProof/>
          <w:lang w:eastAsia="en-GB"/>
        </w:rPr>
        <w:t>, and in working with JCP Youth Hubs (36%).</w:t>
      </w:r>
    </w:p>
    <w:p w14:paraId="013F9617" w14:textId="7F6D9943" w:rsidR="002D7101" w:rsidRDefault="002D7101" w:rsidP="00E80C84">
      <w:pPr>
        <w:rPr>
          <w:rFonts w:ascii="Arial" w:hAnsi="Arial" w:cs="Arial"/>
          <w:noProof/>
          <w:lang w:eastAsia="en-GB"/>
        </w:rPr>
      </w:pPr>
    </w:p>
    <w:p w14:paraId="2A9DA64A" w14:textId="7D012924" w:rsidR="002D7101" w:rsidRDefault="002D7101" w:rsidP="00E80C84">
      <w:pPr>
        <w:rPr>
          <w:rFonts w:ascii="Arial" w:hAnsi="Arial" w:cs="Arial"/>
          <w:noProof/>
          <w:lang w:eastAsia="en-GB"/>
        </w:rPr>
      </w:pPr>
    </w:p>
    <w:p w14:paraId="30943620" w14:textId="77777777" w:rsidR="002D7101" w:rsidRPr="00E80C84" w:rsidRDefault="002D7101" w:rsidP="00E80C84">
      <w:pPr>
        <w:rPr>
          <w:rFonts w:ascii="Arial" w:hAnsi="Arial" w:cs="Arial"/>
          <w:noProof/>
          <w:lang w:eastAsia="en-GB"/>
        </w:rPr>
      </w:pPr>
    </w:p>
    <w:p w14:paraId="15DD55C9" w14:textId="77777777" w:rsidR="00C14924" w:rsidRDefault="00C14924">
      <w:pPr>
        <w:rPr>
          <w:rFonts w:ascii="Arial" w:hAnsi="Arial" w:cs="Arial"/>
          <w:b/>
          <w:i/>
          <w:sz w:val="20"/>
        </w:rPr>
      </w:pPr>
      <w:r>
        <w:rPr>
          <w:rFonts w:ascii="Arial" w:hAnsi="Arial" w:cs="Arial"/>
          <w:b/>
          <w:i/>
          <w:sz w:val="20"/>
        </w:rPr>
        <w:br w:type="page"/>
      </w:r>
    </w:p>
    <w:p w14:paraId="0E0D289A" w14:textId="35F2608D" w:rsidR="008F0360" w:rsidRPr="00F50F1D" w:rsidRDefault="008F0360" w:rsidP="008F0360">
      <w:pPr>
        <w:spacing w:after="0"/>
        <w:rPr>
          <w:rFonts w:ascii="Arial" w:hAnsi="Arial" w:cs="Arial"/>
          <w:b/>
          <w:i/>
          <w:sz w:val="20"/>
        </w:rPr>
      </w:pPr>
      <w:r w:rsidRPr="00F50F1D">
        <w:rPr>
          <w:rFonts w:ascii="Arial" w:hAnsi="Arial" w:cs="Arial"/>
          <w:b/>
          <w:i/>
          <w:sz w:val="20"/>
        </w:rPr>
        <w:lastRenderedPageBreak/>
        <w:t xml:space="preserve">Figure </w:t>
      </w:r>
      <w:r w:rsidR="005C67FA">
        <w:rPr>
          <w:rFonts w:ascii="Arial" w:hAnsi="Arial" w:cs="Arial"/>
          <w:b/>
          <w:i/>
          <w:sz w:val="20"/>
        </w:rPr>
        <w:t>7</w:t>
      </w:r>
      <w:r w:rsidRPr="00F50F1D">
        <w:rPr>
          <w:rFonts w:ascii="Arial" w:hAnsi="Arial" w:cs="Arial"/>
          <w:b/>
          <w:i/>
          <w:sz w:val="20"/>
        </w:rPr>
        <w:t xml:space="preserve">. </w:t>
      </w:r>
      <w:r w:rsidR="00A000F5" w:rsidRPr="00F50F1D">
        <w:rPr>
          <w:rFonts w:ascii="Arial" w:hAnsi="Arial" w:cs="Arial"/>
          <w:b/>
          <w:i/>
          <w:sz w:val="20"/>
        </w:rPr>
        <w:t>How is your borough involved in developing a ‘</w:t>
      </w:r>
      <w:r w:rsidR="00F05CE2" w:rsidRPr="00F50F1D">
        <w:rPr>
          <w:rFonts w:ascii="Arial" w:hAnsi="Arial" w:cs="Arial"/>
          <w:b/>
          <w:i/>
          <w:sz w:val="20"/>
        </w:rPr>
        <w:t>N</w:t>
      </w:r>
      <w:r w:rsidR="00A000F5" w:rsidRPr="00F50F1D">
        <w:rPr>
          <w:rFonts w:ascii="Arial" w:hAnsi="Arial" w:cs="Arial"/>
          <w:b/>
          <w:i/>
          <w:sz w:val="20"/>
        </w:rPr>
        <w:t xml:space="preserve">o </w:t>
      </w:r>
      <w:r w:rsidR="00E80C84" w:rsidRPr="00F50F1D">
        <w:rPr>
          <w:rFonts w:ascii="Arial" w:hAnsi="Arial" w:cs="Arial"/>
          <w:b/>
          <w:i/>
          <w:sz w:val="20"/>
        </w:rPr>
        <w:t>W</w:t>
      </w:r>
      <w:r w:rsidR="00A000F5" w:rsidRPr="00F50F1D">
        <w:rPr>
          <w:rFonts w:ascii="Arial" w:hAnsi="Arial" w:cs="Arial"/>
          <w:b/>
          <w:i/>
          <w:sz w:val="20"/>
        </w:rPr>
        <w:t xml:space="preserve">rong </w:t>
      </w:r>
      <w:r w:rsidR="00E80C84" w:rsidRPr="00F50F1D">
        <w:rPr>
          <w:rFonts w:ascii="Arial" w:hAnsi="Arial" w:cs="Arial"/>
          <w:b/>
          <w:i/>
          <w:sz w:val="20"/>
        </w:rPr>
        <w:t>D</w:t>
      </w:r>
      <w:r w:rsidR="00A000F5" w:rsidRPr="00F50F1D">
        <w:rPr>
          <w:rFonts w:ascii="Arial" w:hAnsi="Arial" w:cs="Arial"/>
          <w:b/>
          <w:i/>
          <w:sz w:val="20"/>
        </w:rPr>
        <w:t>oor’ approach?</w:t>
      </w:r>
    </w:p>
    <w:p w14:paraId="5FBBDA4C" w14:textId="13748897" w:rsidR="008F0360" w:rsidRPr="00F50F1D" w:rsidRDefault="003E30F8" w:rsidP="00D70085">
      <w:pPr>
        <w:spacing w:after="0"/>
        <w:rPr>
          <w:rFonts w:ascii="Arial" w:hAnsi="Arial" w:cs="Arial"/>
          <w:noProof/>
          <w:lang w:eastAsia="en-GB"/>
        </w:rPr>
      </w:pPr>
      <w:r w:rsidRPr="00F50F1D">
        <w:rPr>
          <w:noProof/>
        </w:rPr>
        <w:drawing>
          <wp:inline distT="0" distB="0" distL="0" distR="0" wp14:anchorId="7233071D" wp14:editId="7E98402A">
            <wp:extent cx="5876925" cy="4629150"/>
            <wp:effectExtent l="0" t="0" r="9525" b="0"/>
            <wp:docPr id="22" name="Chart 22">
              <a:extLst xmlns:a="http://schemas.openxmlformats.org/drawingml/2006/main">
                <a:ext uri="{FF2B5EF4-FFF2-40B4-BE49-F238E27FC236}">
                  <a16:creationId xmlns:a16="http://schemas.microsoft.com/office/drawing/2014/main" id="{676F1A38-7176-49E4-89FB-CE21840C971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32500459" w14:textId="46929AFF" w:rsidR="00D77F55" w:rsidRDefault="00D70085" w:rsidP="00D77F55">
      <w:pPr>
        <w:spacing w:after="0"/>
        <w:jc w:val="right"/>
        <w:rPr>
          <w:rFonts w:ascii="Arial" w:hAnsi="Arial" w:cs="Arial"/>
          <w:sz w:val="20"/>
        </w:rPr>
      </w:pPr>
      <w:r w:rsidRPr="00F50F1D">
        <w:rPr>
          <w:rFonts w:ascii="Arial" w:hAnsi="Arial" w:cs="Arial"/>
          <w:sz w:val="20"/>
        </w:rPr>
        <w:t xml:space="preserve">Base: </w:t>
      </w:r>
      <w:r w:rsidR="003E30F8" w:rsidRPr="00F50F1D">
        <w:rPr>
          <w:rFonts w:ascii="Arial" w:hAnsi="Arial" w:cs="Arial"/>
          <w:sz w:val="20"/>
        </w:rPr>
        <w:t>33</w:t>
      </w:r>
      <w:r w:rsidR="00DF434D" w:rsidRPr="00F50F1D">
        <w:rPr>
          <w:rFonts w:ascii="Arial" w:hAnsi="Arial" w:cs="Arial"/>
          <w:sz w:val="20"/>
        </w:rPr>
        <w:t xml:space="preserve"> responses in 202</w:t>
      </w:r>
      <w:r w:rsidR="00E666FC" w:rsidRPr="00F50F1D">
        <w:rPr>
          <w:rFonts w:ascii="Arial" w:hAnsi="Arial" w:cs="Arial"/>
          <w:sz w:val="20"/>
        </w:rPr>
        <w:t>2</w:t>
      </w:r>
      <w:r w:rsidR="003E30F8" w:rsidRPr="00F50F1D">
        <w:rPr>
          <w:rFonts w:ascii="Arial" w:hAnsi="Arial" w:cs="Arial"/>
          <w:sz w:val="20"/>
        </w:rPr>
        <w:t>/23</w:t>
      </w:r>
      <w:r w:rsidR="00DF434D" w:rsidRPr="00F50F1D">
        <w:rPr>
          <w:rFonts w:ascii="Arial" w:hAnsi="Arial" w:cs="Arial"/>
          <w:sz w:val="20"/>
        </w:rPr>
        <w:t xml:space="preserve"> and </w:t>
      </w:r>
      <w:r w:rsidRPr="00F50F1D">
        <w:rPr>
          <w:rFonts w:ascii="Arial" w:hAnsi="Arial" w:cs="Arial"/>
          <w:sz w:val="20"/>
        </w:rPr>
        <w:t>2</w:t>
      </w:r>
      <w:r w:rsidR="003E30F8" w:rsidRPr="00F50F1D">
        <w:rPr>
          <w:rFonts w:ascii="Arial" w:hAnsi="Arial" w:cs="Arial"/>
          <w:sz w:val="20"/>
        </w:rPr>
        <w:t>7</w:t>
      </w:r>
      <w:r w:rsidRPr="00F50F1D">
        <w:rPr>
          <w:rFonts w:ascii="Arial" w:hAnsi="Arial" w:cs="Arial"/>
          <w:sz w:val="20"/>
        </w:rPr>
        <w:t xml:space="preserve"> responses</w:t>
      </w:r>
      <w:r w:rsidR="00DF434D" w:rsidRPr="00F50F1D">
        <w:rPr>
          <w:rFonts w:ascii="Arial" w:hAnsi="Arial" w:cs="Arial"/>
          <w:sz w:val="20"/>
        </w:rPr>
        <w:t xml:space="preserve"> in 202</w:t>
      </w:r>
      <w:r w:rsidR="003E30F8" w:rsidRPr="00F50F1D">
        <w:rPr>
          <w:rFonts w:ascii="Arial" w:hAnsi="Arial" w:cs="Arial"/>
          <w:sz w:val="20"/>
        </w:rPr>
        <w:t>1/22</w:t>
      </w:r>
      <w:r w:rsidRPr="00F50F1D">
        <w:rPr>
          <w:rFonts w:ascii="Arial" w:hAnsi="Arial" w:cs="Arial"/>
          <w:sz w:val="20"/>
        </w:rPr>
        <w:t>.</w:t>
      </w:r>
      <w:r w:rsidR="004C666C">
        <w:rPr>
          <w:rFonts w:ascii="Arial" w:hAnsi="Arial" w:cs="Arial"/>
          <w:sz w:val="20"/>
        </w:rPr>
        <w:t>Options with no responses in 2021/22</w:t>
      </w:r>
      <w:r w:rsidR="000A230B">
        <w:rPr>
          <w:rFonts w:ascii="Arial" w:hAnsi="Arial" w:cs="Arial"/>
          <w:sz w:val="20"/>
        </w:rPr>
        <w:t xml:space="preserve"> were not available when the survey was conducted. This reflects the evolution of the NWD programme.</w:t>
      </w:r>
    </w:p>
    <w:p w14:paraId="02DDC446" w14:textId="751242EB" w:rsidR="00D77F55" w:rsidRPr="00D77F55" w:rsidRDefault="00D77F55" w:rsidP="00D77F55">
      <w:pPr>
        <w:spacing w:after="0"/>
        <w:jc w:val="right"/>
        <w:rPr>
          <w:rFonts w:ascii="Arial" w:hAnsi="Arial" w:cs="Arial"/>
          <w:sz w:val="20"/>
        </w:rPr>
      </w:pPr>
    </w:p>
    <w:p w14:paraId="0EA17C13" w14:textId="23ABA089" w:rsidR="00EA5BF1" w:rsidRDefault="00D77F55" w:rsidP="00876EEC">
      <w:pPr>
        <w:rPr>
          <w:rFonts w:ascii="Arial" w:hAnsi="Arial" w:cs="Arial"/>
          <w:noProof/>
          <w:lang w:eastAsia="en-GB"/>
        </w:rPr>
      </w:pPr>
      <w:r w:rsidRPr="006B5B45">
        <w:rPr>
          <w:rFonts w:ascii="Arial" w:hAnsi="Arial" w:cs="Arial"/>
          <w:noProof/>
          <w:lang w:eastAsia="en-GB"/>
        </w:rPr>
        <w:t>As part of the ‘Good Work’ recovery mission, GLA provided grant funding for sub-regional partnerships (SRPs) to establish and deliver ‘Integration Hubs’ to help coordinate skills and employment services within their localities.</w:t>
      </w:r>
      <w:r w:rsidR="007D4F4D" w:rsidRPr="006B5B45">
        <w:rPr>
          <w:rFonts w:ascii="Arial" w:hAnsi="Arial" w:cs="Arial"/>
          <w:noProof/>
          <w:lang w:eastAsia="en-GB"/>
        </w:rPr>
        <w:t xml:space="preserve"> </w:t>
      </w:r>
      <w:r w:rsidR="00C31E6A" w:rsidRPr="006B5B45">
        <w:rPr>
          <w:rFonts w:ascii="Arial" w:hAnsi="Arial" w:cs="Arial"/>
          <w:noProof/>
          <w:lang w:eastAsia="en-GB"/>
        </w:rPr>
        <w:t xml:space="preserve">London Councils asked boroughs whether they have been involved locally in the development of the Integration Hubs and </w:t>
      </w:r>
      <w:r w:rsidR="00EA5BF1" w:rsidRPr="006B5B45">
        <w:rPr>
          <w:rFonts w:ascii="Arial" w:hAnsi="Arial" w:cs="Arial"/>
          <w:noProof/>
          <w:lang w:eastAsia="en-GB"/>
        </w:rPr>
        <w:t xml:space="preserve">four in five </w:t>
      </w:r>
      <w:r w:rsidR="00C31E6A" w:rsidRPr="006B5B45">
        <w:rPr>
          <w:rFonts w:ascii="Arial" w:hAnsi="Arial" w:cs="Arial"/>
          <w:noProof/>
          <w:lang w:eastAsia="en-GB"/>
        </w:rPr>
        <w:t>(</w:t>
      </w:r>
      <w:r w:rsidR="00EA5BF1" w:rsidRPr="006B5B45">
        <w:rPr>
          <w:rFonts w:ascii="Arial" w:hAnsi="Arial" w:cs="Arial"/>
          <w:noProof/>
          <w:lang w:eastAsia="en-GB"/>
        </w:rPr>
        <w:t>79</w:t>
      </w:r>
      <w:r w:rsidR="00C31E6A" w:rsidRPr="006B5B45">
        <w:rPr>
          <w:rFonts w:ascii="Arial" w:hAnsi="Arial" w:cs="Arial"/>
          <w:noProof/>
          <w:lang w:eastAsia="en-GB"/>
        </w:rPr>
        <w:t>%) said they were.</w:t>
      </w:r>
      <w:r w:rsidR="00C31E6A">
        <w:rPr>
          <w:rFonts w:ascii="Arial" w:hAnsi="Arial" w:cs="Arial"/>
          <w:noProof/>
          <w:lang w:eastAsia="en-GB"/>
        </w:rPr>
        <w:t xml:space="preserve"> </w:t>
      </w:r>
    </w:p>
    <w:p w14:paraId="751EE606" w14:textId="5CAB8262" w:rsidR="00182AE7" w:rsidRPr="002D7101" w:rsidRDefault="00C31E6A" w:rsidP="00876EEC">
      <w:pPr>
        <w:rPr>
          <w:rFonts w:ascii="Arial" w:hAnsi="Arial" w:cs="Arial"/>
          <w:noProof/>
          <w:lang w:eastAsia="en-GB"/>
        </w:rPr>
      </w:pPr>
      <w:r w:rsidRPr="001973E5">
        <w:rPr>
          <w:rFonts w:ascii="Arial" w:hAnsi="Arial" w:cs="Arial"/>
          <w:noProof/>
          <w:lang w:eastAsia="en-GB"/>
        </w:rPr>
        <w:t>When asked specifically about the nature of their involvement</w:t>
      </w:r>
      <w:r w:rsidR="00212479" w:rsidRPr="001973E5">
        <w:rPr>
          <w:rFonts w:ascii="Arial" w:hAnsi="Arial" w:cs="Arial"/>
          <w:noProof/>
          <w:lang w:eastAsia="en-GB"/>
        </w:rPr>
        <w:t xml:space="preserve">, most boroughs said that they were involved in </w:t>
      </w:r>
      <w:r w:rsidR="00763707" w:rsidRPr="001973E5">
        <w:rPr>
          <w:rFonts w:ascii="Arial" w:hAnsi="Arial" w:cs="Arial"/>
          <w:noProof/>
          <w:lang w:eastAsia="en-GB"/>
        </w:rPr>
        <w:t xml:space="preserve">sustaining the Integration Hub networks (for providers of SEND, refugee, and disabled people’s services, for example), alongside working on tying existing provision in with the Integration Hub. </w:t>
      </w:r>
      <w:r w:rsidR="00650493" w:rsidRPr="001973E5">
        <w:rPr>
          <w:rFonts w:ascii="Arial" w:hAnsi="Arial" w:cs="Arial"/>
          <w:noProof/>
          <w:lang w:eastAsia="en-GB"/>
        </w:rPr>
        <w:t>Boroughs mentioned contributing to some Integration Hubs’ online platforms, both by sharing their own data and inviting local providers to populate them. Elsewhere</w:t>
      </w:r>
      <w:r w:rsidR="00650493">
        <w:rPr>
          <w:rFonts w:ascii="Arial" w:hAnsi="Arial" w:cs="Arial"/>
          <w:noProof/>
          <w:lang w:eastAsia="en-GB"/>
        </w:rPr>
        <w:t xml:space="preserve">, boroughs would deliver targeted workshops on behalf of the Integration Hub. </w:t>
      </w:r>
    </w:p>
    <w:p w14:paraId="2444228B" w14:textId="5B5C0B00" w:rsidR="00876EEC" w:rsidRDefault="00876EEC" w:rsidP="00876EEC">
      <w:pPr>
        <w:rPr>
          <w:rFonts w:ascii="Arial" w:hAnsi="Arial" w:cs="Arial"/>
          <w:b/>
          <w:sz w:val="24"/>
        </w:rPr>
      </w:pPr>
      <w:r>
        <w:rPr>
          <w:rFonts w:ascii="Arial" w:hAnsi="Arial" w:cs="Arial"/>
          <w:b/>
          <w:sz w:val="24"/>
        </w:rPr>
        <w:t xml:space="preserve">Promoting good quality working practices </w:t>
      </w:r>
    </w:p>
    <w:p w14:paraId="3CF87D01" w14:textId="47A42AA6" w:rsidR="00A30D2B" w:rsidRDefault="009A205A" w:rsidP="00A30D2B">
      <w:pPr>
        <w:rPr>
          <w:rFonts w:ascii="Arial" w:hAnsi="Arial" w:cs="Arial"/>
          <w:bCs/>
          <w:iCs/>
          <w:lang w:val="en-US"/>
        </w:rPr>
      </w:pPr>
      <w:r>
        <w:rPr>
          <w:rFonts w:ascii="Arial" w:hAnsi="Arial" w:cs="Arial"/>
        </w:rPr>
        <w:t>Almost all</w:t>
      </w:r>
      <w:r w:rsidR="00B820F4">
        <w:rPr>
          <w:rFonts w:ascii="Arial" w:hAnsi="Arial" w:cs="Arial"/>
        </w:rPr>
        <w:t xml:space="preserve"> </w:t>
      </w:r>
      <w:r w:rsidR="001468E5" w:rsidRPr="001468E5">
        <w:rPr>
          <w:rFonts w:ascii="Arial" w:hAnsi="Arial" w:cs="Arial"/>
        </w:rPr>
        <w:t>(</w:t>
      </w:r>
      <w:r>
        <w:rPr>
          <w:rFonts w:ascii="Arial" w:hAnsi="Arial" w:cs="Arial"/>
        </w:rPr>
        <w:t>97</w:t>
      </w:r>
      <w:r w:rsidR="001468E5" w:rsidRPr="001468E5">
        <w:rPr>
          <w:rFonts w:ascii="Arial" w:hAnsi="Arial" w:cs="Arial"/>
        </w:rPr>
        <w:t xml:space="preserve">%) of the boroughs surveyed said that they have adopted measures to promote good quality working practices at a local level. </w:t>
      </w:r>
      <w:r w:rsidR="00A30D2B">
        <w:rPr>
          <w:rFonts w:ascii="Arial" w:hAnsi="Arial" w:cs="Arial"/>
          <w:bCs/>
          <w:iCs/>
          <w:lang w:val="en-US"/>
        </w:rPr>
        <w:t xml:space="preserve">This shows that </w:t>
      </w:r>
      <w:r w:rsidR="00603982">
        <w:rPr>
          <w:rFonts w:ascii="Arial" w:hAnsi="Arial" w:cs="Arial"/>
          <w:bCs/>
          <w:iCs/>
          <w:lang w:val="en-US"/>
        </w:rPr>
        <w:t xml:space="preserve">as part of their economic </w:t>
      </w:r>
      <w:r w:rsidR="00A30D2B">
        <w:rPr>
          <w:rFonts w:ascii="Arial" w:hAnsi="Arial" w:cs="Arial"/>
          <w:bCs/>
          <w:iCs/>
          <w:lang w:val="en-US"/>
        </w:rPr>
        <w:t xml:space="preserve">recovery London boroughs </w:t>
      </w:r>
      <w:r w:rsidR="00603982">
        <w:rPr>
          <w:rFonts w:ascii="Arial" w:hAnsi="Arial" w:cs="Arial"/>
          <w:bCs/>
          <w:iCs/>
          <w:lang w:val="en-US"/>
        </w:rPr>
        <w:t>aim to support their residents</w:t>
      </w:r>
      <w:r w:rsidR="00A30D2B">
        <w:rPr>
          <w:rFonts w:ascii="Arial" w:hAnsi="Arial" w:cs="Arial"/>
          <w:bCs/>
          <w:iCs/>
          <w:lang w:val="en-US"/>
        </w:rPr>
        <w:t xml:space="preserve"> in</w:t>
      </w:r>
      <w:r w:rsidR="00603982">
        <w:rPr>
          <w:rFonts w:ascii="Arial" w:hAnsi="Arial" w:cs="Arial"/>
          <w:bCs/>
          <w:iCs/>
          <w:lang w:val="en-US"/>
        </w:rPr>
        <w:t>to</w:t>
      </w:r>
      <w:r w:rsidR="00A30D2B">
        <w:rPr>
          <w:rFonts w:ascii="Arial" w:hAnsi="Arial" w:cs="Arial"/>
          <w:bCs/>
          <w:iCs/>
          <w:lang w:val="en-US"/>
        </w:rPr>
        <w:t xml:space="preserve"> good quality jobs rather than in insecure and low paid employment. </w:t>
      </w:r>
    </w:p>
    <w:p w14:paraId="1B30DB83" w14:textId="0ED70972" w:rsidR="00CE661F" w:rsidRDefault="00B820F4" w:rsidP="00A30D2B">
      <w:pPr>
        <w:rPr>
          <w:rFonts w:ascii="Arial" w:hAnsi="Arial" w:cs="Arial"/>
          <w:bCs/>
          <w:iCs/>
          <w:lang w:val="en-US"/>
        </w:rPr>
      </w:pPr>
      <w:r>
        <w:rPr>
          <w:rFonts w:ascii="Arial" w:hAnsi="Arial" w:cs="Arial"/>
          <w:bCs/>
          <w:iCs/>
          <w:lang w:val="en-US"/>
        </w:rPr>
        <w:lastRenderedPageBreak/>
        <w:t xml:space="preserve">Of those boroughs, when </w:t>
      </w:r>
      <w:r w:rsidR="00BB3CB0">
        <w:rPr>
          <w:rFonts w:ascii="Arial" w:hAnsi="Arial" w:cs="Arial"/>
          <w:bCs/>
          <w:iCs/>
          <w:lang w:val="en-US"/>
        </w:rPr>
        <w:t>asked specifically about the type of measures they have adopted</w:t>
      </w:r>
      <w:r w:rsidR="00773419">
        <w:rPr>
          <w:rFonts w:ascii="Arial" w:hAnsi="Arial" w:cs="Arial"/>
          <w:bCs/>
          <w:iCs/>
          <w:lang w:val="en-US"/>
        </w:rPr>
        <w:t xml:space="preserve"> to promote good work</w:t>
      </w:r>
      <w:r w:rsidR="00BB3CB0">
        <w:rPr>
          <w:rFonts w:ascii="Arial" w:hAnsi="Arial" w:cs="Arial"/>
          <w:bCs/>
          <w:iCs/>
          <w:lang w:val="en-US"/>
        </w:rPr>
        <w:t xml:space="preserve">, </w:t>
      </w:r>
      <w:r>
        <w:rPr>
          <w:rFonts w:ascii="Arial" w:hAnsi="Arial" w:cs="Arial"/>
          <w:bCs/>
          <w:iCs/>
          <w:lang w:val="en-US"/>
        </w:rPr>
        <w:t xml:space="preserve">97% responded </w:t>
      </w:r>
      <w:r w:rsidR="00DB4426">
        <w:rPr>
          <w:rFonts w:ascii="Arial" w:hAnsi="Arial" w:cs="Arial"/>
          <w:bCs/>
          <w:iCs/>
          <w:lang w:val="en-US"/>
        </w:rPr>
        <w:t xml:space="preserve">by promoting </w:t>
      </w:r>
      <w:r w:rsidR="00593BAD">
        <w:rPr>
          <w:rFonts w:ascii="Arial" w:hAnsi="Arial" w:cs="Arial"/>
          <w:bCs/>
          <w:iCs/>
          <w:lang w:val="en-US"/>
        </w:rPr>
        <w:t>the London Living Wage (LLW). A substantial proportion (7</w:t>
      </w:r>
      <w:r w:rsidR="006038BB">
        <w:rPr>
          <w:rFonts w:ascii="Arial" w:hAnsi="Arial" w:cs="Arial"/>
          <w:bCs/>
          <w:iCs/>
          <w:lang w:val="en-US"/>
        </w:rPr>
        <w:t>2</w:t>
      </w:r>
      <w:r w:rsidR="00593BAD">
        <w:rPr>
          <w:rFonts w:ascii="Arial" w:hAnsi="Arial" w:cs="Arial"/>
          <w:bCs/>
          <w:iCs/>
          <w:lang w:val="en-US"/>
        </w:rPr>
        <w:t xml:space="preserve">%) </w:t>
      </w:r>
      <w:r w:rsidR="000D7E2C">
        <w:rPr>
          <w:rFonts w:ascii="Arial" w:hAnsi="Arial" w:cs="Arial"/>
          <w:bCs/>
          <w:iCs/>
          <w:lang w:val="en-US"/>
        </w:rPr>
        <w:t xml:space="preserve">did so </w:t>
      </w:r>
      <w:r w:rsidR="006038BB">
        <w:rPr>
          <w:rFonts w:ascii="Arial" w:hAnsi="Arial" w:cs="Arial"/>
          <w:bCs/>
          <w:iCs/>
          <w:lang w:val="en-US"/>
        </w:rPr>
        <w:t xml:space="preserve">via the borough’s employment service, </w:t>
      </w:r>
      <w:r w:rsidR="000D7E2C">
        <w:rPr>
          <w:rFonts w:ascii="Arial" w:hAnsi="Arial" w:cs="Arial"/>
          <w:bCs/>
          <w:iCs/>
          <w:lang w:val="en-US"/>
        </w:rPr>
        <w:t xml:space="preserve">by promoting the Mayor’s </w:t>
      </w:r>
      <w:r w:rsidR="00DB4426">
        <w:rPr>
          <w:rFonts w:ascii="Arial" w:hAnsi="Arial" w:cs="Arial"/>
          <w:bCs/>
          <w:iCs/>
          <w:lang w:val="en-US"/>
        </w:rPr>
        <w:t xml:space="preserve">Good Work Standard </w:t>
      </w:r>
      <w:r w:rsidR="006038BB">
        <w:rPr>
          <w:rFonts w:ascii="Arial" w:hAnsi="Arial" w:cs="Arial"/>
          <w:bCs/>
          <w:iCs/>
          <w:lang w:val="en-US"/>
        </w:rPr>
        <w:t xml:space="preserve">(69%), </w:t>
      </w:r>
      <w:r w:rsidR="00DB4426">
        <w:rPr>
          <w:rFonts w:ascii="Arial" w:hAnsi="Arial" w:cs="Arial"/>
          <w:bCs/>
          <w:iCs/>
          <w:lang w:val="en-US"/>
        </w:rPr>
        <w:t xml:space="preserve">and </w:t>
      </w:r>
      <w:r w:rsidR="006650DB">
        <w:rPr>
          <w:rFonts w:ascii="Arial" w:hAnsi="Arial" w:cs="Arial"/>
          <w:bCs/>
          <w:iCs/>
          <w:lang w:val="en-US"/>
        </w:rPr>
        <w:t>via their Council’s procurement policy</w:t>
      </w:r>
      <w:r w:rsidR="006038BB">
        <w:rPr>
          <w:rFonts w:ascii="Arial" w:hAnsi="Arial" w:cs="Arial"/>
          <w:bCs/>
          <w:iCs/>
          <w:lang w:val="en-US"/>
        </w:rPr>
        <w:t xml:space="preserve"> (69%)</w:t>
      </w:r>
      <w:r w:rsidR="006650DB">
        <w:rPr>
          <w:rFonts w:ascii="Arial" w:hAnsi="Arial" w:cs="Arial"/>
          <w:bCs/>
          <w:iCs/>
          <w:lang w:val="en-US"/>
        </w:rPr>
        <w:t>.</w:t>
      </w:r>
    </w:p>
    <w:p w14:paraId="6B7BF81E" w14:textId="65320CB5" w:rsidR="006650DB" w:rsidRDefault="00C34471" w:rsidP="00A30D2B">
      <w:pPr>
        <w:rPr>
          <w:rFonts w:ascii="Arial" w:hAnsi="Arial" w:cs="Arial"/>
          <w:bCs/>
          <w:iCs/>
          <w:lang w:val="en-US"/>
        </w:rPr>
      </w:pPr>
      <w:r>
        <w:rPr>
          <w:rFonts w:ascii="Arial" w:hAnsi="Arial" w:cs="Arial"/>
          <w:bCs/>
          <w:iCs/>
          <w:lang w:val="en-US"/>
        </w:rPr>
        <w:t>Local co-ordination and integration</w:t>
      </w:r>
      <w:r w:rsidR="00E05858">
        <w:rPr>
          <w:rFonts w:ascii="Arial" w:hAnsi="Arial" w:cs="Arial"/>
          <w:bCs/>
          <w:iCs/>
          <w:lang w:val="en-US"/>
        </w:rPr>
        <w:t xml:space="preserve"> also seem to play a key part in promoting good work. </w:t>
      </w:r>
      <w:r w:rsidR="00907EDF">
        <w:rPr>
          <w:rFonts w:ascii="Arial" w:hAnsi="Arial" w:cs="Arial"/>
          <w:bCs/>
          <w:iCs/>
          <w:lang w:val="en-US"/>
        </w:rPr>
        <w:t>Two-thirds (6</w:t>
      </w:r>
      <w:r w:rsidR="00840872">
        <w:rPr>
          <w:rFonts w:ascii="Arial" w:hAnsi="Arial" w:cs="Arial"/>
          <w:bCs/>
          <w:iCs/>
          <w:lang w:val="en-US"/>
        </w:rPr>
        <w:t>3</w:t>
      </w:r>
      <w:r w:rsidR="00907EDF">
        <w:rPr>
          <w:rFonts w:ascii="Arial" w:hAnsi="Arial" w:cs="Arial"/>
          <w:bCs/>
          <w:iCs/>
          <w:lang w:val="en-US"/>
        </w:rPr>
        <w:t xml:space="preserve">%) </w:t>
      </w:r>
      <w:r w:rsidR="00E05858">
        <w:rPr>
          <w:rFonts w:ascii="Arial" w:hAnsi="Arial" w:cs="Arial"/>
          <w:bCs/>
          <w:iCs/>
          <w:lang w:val="en-US"/>
        </w:rPr>
        <w:t>of boroughs said they</w:t>
      </w:r>
      <w:r w:rsidR="00907EDF">
        <w:rPr>
          <w:rFonts w:ascii="Arial" w:hAnsi="Arial" w:cs="Arial"/>
          <w:bCs/>
          <w:iCs/>
          <w:lang w:val="en-US"/>
        </w:rPr>
        <w:t xml:space="preserve"> work closely with anchor institutions to promote </w:t>
      </w:r>
      <w:r w:rsidR="00E05858">
        <w:rPr>
          <w:rFonts w:ascii="Arial" w:hAnsi="Arial" w:cs="Arial"/>
          <w:bCs/>
          <w:iCs/>
          <w:lang w:val="en-US"/>
        </w:rPr>
        <w:t>it</w:t>
      </w:r>
      <w:r w:rsidR="00907EDF">
        <w:rPr>
          <w:rFonts w:ascii="Arial" w:hAnsi="Arial" w:cs="Arial"/>
          <w:bCs/>
          <w:iCs/>
          <w:lang w:val="en-US"/>
        </w:rPr>
        <w:t xml:space="preserve"> </w:t>
      </w:r>
      <w:r w:rsidR="00FD1331">
        <w:rPr>
          <w:rFonts w:ascii="Arial" w:hAnsi="Arial" w:cs="Arial"/>
          <w:bCs/>
          <w:iCs/>
          <w:lang w:val="en-US"/>
        </w:rPr>
        <w:t xml:space="preserve">and </w:t>
      </w:r>
      <w:r w:rsidR="00840872">
        <w:rPr>
          <w:rFonts w:ascii="Arial" w:hAnsi="Arial" w:cs="Arial"/>
          <w:bCs/>
          <w:iCs/>
          <w:lang w:val="en-US"/>
        </w:rPr>
        <w:t>one</w:t>
      </w:r>
      <w:r w:rsidR="00FD1331">
        <w:rPr>
          <w:rFonts w:ascii="Arial" w:hAnsi="Arial" w:cs="Arial"/>
          <w:bCs/>
          <w:iCs/>
          <w:lang w:val="en-US"/>
        </w:rPr>
        <w:t xml:space="preserve"> in five (</w:t>
      </w:r>
      <w:r w:rsidR="00840872">
        <w:rPr>
          <w:rFonts w:ascii="Arial" w:hAnsi="Arial" w:cs="Arial"/>
          <w:bCs/>
          <w:iCs/>
          <w:lang w:val="en-US"/>
        </w:rPr>
        <w:t>22</w:t>
      </w:r>
      <w:r w:rsidR="00FD1331">
        <w:rPr>
          <w:rFonts w:ascii="Arial" w:hAnsi="Arial" w:cs="Arial"/>
          <w:bCs/>
          <w:iCs/>
          <w:lang w:val="en-US"/>
        </w:rPr>
        <w:t xml:space="preserve">%) </w:t>
      </w:r>
      <w:r w:rsidR="00E05858">
        <w:rPr>
          <w:rFonts w:ascii="Arial" w:hAnsi="Arial" w:cs="Arial"/>
          <w:bCs/>
          <w:iCs/>
          <w:lang w:val="en-US"/>
        </w:rPr>
        <w:t>have created</w:t>
      </w:r>
      <w:r w:rsidR="00FD1331">
        <w:rPr>
          <w:rFonts w:ascii="Arial" w:hAnsi="Arial" w:cs="Arial"/>
          <w:bCs/>
          <w:iCs/>
          <w:lang w:val="en-US"/>
        </w:rPr>
        <w:t xml:space="preserve"> local Good Employer/Business </w:t>
      </w:r>
      <w:r w:rsidR="00840872">
        <w:rPr>
          <w:rFonts w:ascii="Arial" w:hAnsi="Arial" w:cs="Arial"/>
          <w:bCs/>
          <w:iCs/>
          <w:lang w:val="en-US"/>
        </w:rPr>
        <w:t>c</w:t>
      </w:r>
      <w:r w:rsidR="00FD1331">
        <w:rPr>
          <w:rFonts w:ascii="Arial" w:hAnsi="Arial" w:cs="Arial"/>
          <w:bCs/>
          <w:iCs/>
          <w:lang w:val="en-US"/>
        </w:rPr>
        <w:t>harter</w:t>
      </w:r>
      <w:r w:rsidR="00E05858">
        <w:rPr>
          <w:rFonts w:ascii="Arial" w:hAnsi="Arial" w:cs="Arial"/>
          <w:bCs/>
          <w:iCs/>
          <w:lang w:val="en-US"/>
        </w:rPr>
        <w:t>s</w:t>
      </w:r>
      <w:r w:rsidR="00FD1331">
        <w:rPr>
          <w:rFonts w:ascii="Arial" w:hAnsi="Arial" w:cs="Arial"/>
          <w:bCs/>
          <w:iCs/>
          <w:lang w:val="en-US"/>
        </w:rPr>
        <w:t xml:space="preserve"> to encourage local businesses to </w:t>
      </w:r>
      <w:r w:rsidR="00E05858">
        <w:rPr>
          <w:rFonts w:ascii="Arial" w:hAnsi="Arial" w:cs="Arial"/>
          <w:bCs/>
          <w:iCs/>
          <w:lang w:val="en-US"/>
        </w:rPr>
        <w:t>provide</w:t>
      </w:r>
      <w:r w:rsidR="00FD1331">
        <w:rPr>
          <w:rFonts w:ascii="Arial" w:hAnsi="Arial" w:cs="Arial"/>
          <w:bCs/>
          <w:iCs/>
          <w:lang w:val="en-US"/>
        </w:rPr>
        <w:t xml:space="preserve"> good quality working practices for </w:t>
      </w:r>
      <w:r w:rsidR="00E05858">
        <w:rPr>
          <w:rFonts w:ascii="Arial" w:hAnsi="Arial" w:cs="Arial"/>
          <w:bCs/>
          <w:iCs/>
          <w:lang w:val="en-US"/>
        </w:rPr>
        <w:t>their employees</w:t>
      </w:r>
      <w:r w:rsidR="00FD1331">
        <w:rPr>
          <w:rFonts w:ascii="Arial" w:hAnsi="Arial" w:cs="Arial"/>
          <w:bCs/>
          <w:iCs/>
          <w:lang w:val="en-US"/>
        </w:rPr>
        <w:t>.</w:t>
      </w:r>
    </w:p>
    <w:p w14:paraId="1B15FEEC" w14:textId="02956027" w:rsidR="0098350F" w:rsidRPr="00DA2046" w:rsidRDefault="0098350F" w:rsidP="00BB3CB0">
      <w:pPr>
        <w:spacing w:after="0"/>
        <w:rPr>
          <w:rFonts w:ascii="Arial" w:hAnsi="Arial" w:cs="Arial"/>
          <w:b/>
          <w:i/>
          <w:sz w:val="20"/>
        </w:rPr>
      </w:pPr>
      <w:r w:rsidRPr="00DA2046">
        <w:rPr>
          <w:rFonts w:ascii="Arial" w:hAnsi="Arial" w:cs="Arial"/>
          <w:b/>
          <w:i/>
          <w:sz w:val="20"/>
        </w:rPr>
        <w:t xml:space="preserve">Figure </w:t>
      </w:r>
      <w:r w:rsidR="005C67FA">
        <w:rPr>
          <w:rFonts w:ascii="Arial" w:hAnsi="Arial" w:cs="Arial"/>
          <w:b/>
          <w:i/>
          <w:sz w:val="20"/>
        </w:rPr>
        <w:t>8</w:t>
      </w:r>
      <w:r w:rsidRPr="00DA2046">
        <w:rPr>
          <w:rFonts w:ascii="Arial" w:hAnsi="Arial" w:cs="Arial"/>
          <w:b/>
          <w:i/>
          <w:sz w:val="20"/>
        </w:rPr>
        <w:t xml:space="preserve">. </w:t>
      </w:r>
      <w:r w:rsidR="00BB3CB0" w:rsidRPr="00DA2046">
        <w:rPr>
          <w:rFonts w:ascii="Arial" w:hAnsi="Arial" w:cs="Arial"/>
          <w:b/>
          <w:i/>
          <w:sz w:val="20"/>
        </w:rPr>
        <w:t>Which measures have you adopted to promote good quality working practices at a local level?</w:t>
      </w:r>
    </w:p>
    <w:p w14:paraId="661A07B6" w14:textId="719DC2E5" w:rsidR="00DA2046" w:rsidRPr="00DA2046" w:rsidRDefault="00DA2046" w:rsidP="00BB3CB0">
      <w:pPr>
        <w:spacing w:after="0"/>
        <w:rPr>
          <w:rFonts w:ascii="Arial" w:hAnsi="Arial" w:cs="Arial"/>
          <w:bCs/>
          <w:iCs/>
          <w:lang w:val="en-US"/>
        </w:rPr>
      </w:pPr>
      <w:r w:rsidRPr="00DA2046">
        <w:rPr>
          <w:noProof/>
        </w:rPr>
        <w:drawing>
          <wp:inline distT="0" distB="0" distL="0" distR="0" wp14:anchorId="07A6FA1C" wp14:editId="6AF6E432">
            <wp:extent cx="5857875" cy="2743200"/>
            <wp:effectExtent l="0" t="0" r="9525" b="0"/>
            <wp:docPr id="24" name="Chart 24">
              <a:extLst xmlns:a="http://schemas.openxmlformats.org/drawingml/2006/main">
                <a:ext uri="{FF2B5EF4-FFF2-40B4-BE49-F238E27FC236}">
                  <a16:creationId xmlns:a16="http://schemas.microsoft.com/office/drawing/2014/main" id="{8DA67B0E-B4C1-4494-BB18-089E2D5D5DA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76EAAEE3" w14:textId="666DFF41" w:rsidR="00876EEC" w:rsidRDefault="00BB3CB0" w:rsidP="00BD57B6">
      <w:pPr>
        <w:spacing w:after="0"/>
        <w:ind w:left="7200"/>
        <w:jc w:val="center"/>
        <w:rPr>
          <w:rFonts w:ascii="Arial" w:hAnsi="Arial" w:cs="Arial"/>
          <w:sz w:val="20"/>
        </w:rPr>
      </w:pPr>
      <w:r w:rsidRPr="00DA2046">
        <w:rPr>
          <w:rFonts w:ascii="Arial" w:hAnsi="Arial" w:cs="Arial"/>
          <w:sz w:val="20"/>
        </w:rPr>
        <w:t xml:space="preserve">Base: </w:t>
      </w:r>
      <w:r w:rsidR="00DA2046" w:rsidRPr="00DA2046">
        <w:rPr>
          <w:rFonts w:ascii="Arial" w:hAnsi="Arial" w:cs="Arial"/>
          <w:sz w:val="20"/>
        </w:rPr>
        <w:t>32</w:t>
      </w:r>
      <w:r w:rsidRPr="00DA2046">
        <w:rPr>
          <w:rFonts w:ascii="Arial" w:hAnsi="Arial" w:cs="Arial"/>
          <w:sz w:val="20"/>
        </w:rPr>
        <w:t xml:space="preserve"> responses.</w:t>
      </w:r>
    </w:p>
    <w:p w14:paraId="10516D7B" w14:textId="77777777" w:rsidR="00EA3DB5" w:rsidRPr="00EA3DB5" w:rsidRDefault="00EA3DB5" w:rsidP="00EA3DB5">
      <w:pPr>
        <w:spacing w:after="0"/>
        <w:jc w:val="right"/>
        <w:rPr>
          <w:rFonts w:ascii="Arial" w:hAnsi="Arial" w:cs="Arial"/>
          <w:sz w:val="20"/>
        </w:rPr>
      </w:pPr>
    </w:p>
    <w:p w14:paraId="79FE917A" w14:textId="4BA516DB" w:rsidR="004F62A4" w:rsidRPr="00153BAC" w:rsidRDefault="004F62A4" w:rsidP="004F62A4">
      <w:pPr>
        <w:rPr>
          <w:rFonts w:ascii="Arial" w:hAnsi="Arial" w:cs="Arial"/>
          <w:b/>
          <w:sz w:val="24"/>
        </w:rPr>
      </w:pPr>
      <w:r w:rsidRPr="00153BAC">
        <w:rPr>
          <w:rFonts w:ascii="Arial" w:hAnsi="Arial" w:cs="Arial"/>
          <w:b/>
          <w:sz w:val="24"/>
        </w:rPr>
        <w:t>Adult and Community Learning Service</w:t>
      </w:r>
    </w:p>
    <w:p w14:paraId="686955D4" w14:textId="36B88B77" w:rsidR="00D119A1" w:rsidRPr="00CC7592" w:rsidRDefault="00CF2C92" w:rsidP="00CC7592">
      <w:pPr>
        <w:rPr>
          <w:rFonts w:ascii="Arial" w:hAnsi="Arial" w:cs="Arial"/>
        </w:rPr>
      </w:pPr>
      <w:r>
        <w:rPr>
          <w:rFonts w:ascii="Arial" w:hAnsi="Arial" w:cs="Arial"/>
        </w:rPr>
        <w:t>All</w:t>
      </w:r>
      <w:r w:rsidR="00C21333">
        <w:rPr>
          <w:rFonts w:ascii="Arial" w:hAnsi="Arial" w:cs="Arial"/>
        </w:rPr>
        <w:t xml:space="preserve"> </w:t>
      </w:r>
      <w:r w:rsidR="00EA3DB5">
        <w:rPr>
          <w:rFonts w:ascii="Arial" w:hAnsi="Arial" w:cs="Arial"/>
        </w:rPr>
        <w:t>(</w:t>
      </w:r>
      <w:r>
        <w:rPr>
          <w:rFonts w:ascii="Arial" w:hAnsi="Arial" w:cs="Arial"/>
        </w:rPr>
        <w:t>100</w:t>
      </w:r>
      <w:r w:rsidR="00EA3DB5">
        <w:rPr>
          <w:rFonts w:ascii="Arial" w:hAnsi="Arial" w:cs="Arial"/>
        </w:rPr>
        <w:t xml:space="preserve">%) </w:t>
      </w:r>
      <w:r w:rsidR="000C5C08">
        <w:rPr>
          <w:rFonts w:ascii="Arial" w:hAnsi="Arial" w:cs="Arial"/>
        </w:rPr>
        <w:t xml:space="preserve">London boroughs </w:t>
      </w:r>
      <w:r>
        <w:rPr>
          <w:rFonts w:ascii="Arial" w:hAnsi="Arial" w:cs="Arial"/>
        </w:rPr>
        <w:t>with an employment service</w:t>
      </w:r>
      <w:r w:rsidR="00DA2046">
        <w:rPr>
          <w:rStyle w:val="FootnoteReference"/>
          <w:rFonts w:ascii="Arial" w:hAnsi="Arial" w:cs="Arial"/>
        </w:rPr>
        <w:footnoteReference w:id="7"/>
      </w:r>
      <w:r>
        <w:rPr>
          <w:rFonts w:ascii="Arial" w:hAnsi="Arial" w:cs="Arial"/>
        </w:rPr>
        <w:t xml:space="preserve"> </w:t>
      </w:r>
      <w:r w:rsidR="000C5C08">
        <w:rPr>
          <w:rFonts w:ascii="Arial" w:hAnsi="Arial" w:cs="Arial"/>
        </w:rPr>
        <w:t xml:space="preserve">said that their Adult and Community Learning Service (ACL), which provides a range of courses, professional </w:t>
      </w:r>
      <w:r w:rsidR="00074BBA">
        <w:rPr>
          <w:rFonts w:ascii="Arial" w:hAnsi="Arial" w:cs="Arial"/>
        </w:rPr>
        <w:t>qualifications,</w:t>
      </w:r>
      <w:r w:rsidR="000C5C08">
        <w:rPr>
          <w:rFonts w:ascii="Arial" w:hAnsi="Arial" w:cs="Arial"/>
        </w:rPr>
        <w:t xml:space="preserve"> and other support, is linked to their employment service. This </w:t>
      </w:r>
      <w:r w:rsidR="00350E27">
        <w:rPr>
          <w:rFonts w:ascii="Arial" w:hAnsi="Arial" w:cs="Arial"/>
        </w:rPr>
        <w:t>is</w:t>
      </w:r>
      <w:r w:rsidR="00C21333">
        <w:rPr>
          <w:rFonts w:ascii="Arial" w:hAnsi="Arial" w:cs="Arial"/>
        </w:rPr>
        <w:t xml:space="preserve"> higher than the</w:t>
      </w:r>
      <w:r w:rsidR="000C5C08">
        <w:rPr>
          <w:rFonts w:ascii="Arial" w:hAnsi="Arial" w:cs="Arial"/>
        </w:rPr>
        <w:t xml:space="preserve"> proportion </w:t>
      </w:r>
      <w:r w:rsidR="00240F72">
        <w:rPr>
          <w:rFonts w:ascii="Arial" w:hAnsi="Arial" w:cs="Arial"/>
        </w:rPr>
        <w:t>identified in 202</w:t>
      </w:r>
      <w:r w:rsidR="00970937">
        <w:rPr>
          <w:rFonts w:ascii="Arial" w:hAnsi="Arial" w:cs="Arial"/>
        </w:rPr>
        <w:t>1</w:t>
      </w:r>
      <w:r w:rsidR="00DA2046">
        <w:rPr>
          <w:rFonts w:ascii="Arial" w:hAnsi="Arial" w:cs="Arial"/>
        </w:rPr>
        <w:t>/22</w:t>
      </w:r>
      <w:r w:rsidR="00240F72">
        <w:rPr>
          <w:rFonts w:ascii="Arial" w:hAnsi="Arial" w:cs="Arial"/>
        </w:rPr>
        <w:t xml:space="preserve"> (8</w:t>
      </w:r>
      <w:r w:rsidR="00970937">
        <w:rPr>
          <w:rFonts w:ascii="Arial" w:hAnsi="Arial" w:cs="Arial"/>
        </w:rPr>
        <w:t>4</w:t>
      </w:r>
      <w:r w:rsidR="00240F72">
        <w:rPr>
          <w:rFonts w:ascii="Arial" w:hAnsi="Arial" w:cs="Arial"/>
        </w:rPr>
        <w:t>%).</w:t>
      </w:r>
    </w:p>
    <w:p w14:paraId="149A4550" w14:textId="0E147028" w:rsidR="00CC7592" w:rsidRPr="006F2D66" w:rsidRDefault="00CC7592" w:rsidP="004F62A4">
      <w:pPr>
        <w:rPr>
          <w:rFonts w:ascii="Arial" w:hAnsi="Arial" w:cs="Arial"/>
        </w:rPr>
      </w:pPr>
      <w:r w:rsidRPr="006F2D66">
        <w:rPr>
          <w:rFonts w:ascii="Arial" w:hAnsi="Arial" w:cs="Arial"/>
        </w:rPr>
        <w:t xml:space="preserve">In most instances, boroughs indicated that their ACL and employment services are placed within the same division, sometimes sharing a joint Matrix accreditation, and the link is mostly operational around cross-referrals between the services and sharing of the ACL provision. </w:t>
      </w:r>
      <w:r w:rsidR="004F62A4" w:rsidRPr="006F2D66">
        <w:rPr>
          <w:rFonts w:ascii="Arial" w:hAnsi="Arial" w:cs="Arial"/>
        </w:rPr>
        <w:t xml:space="preserve">This allows boroughs to leverage better job outcomes for learners </w:t>
      </w:r>
      <w:r w:rsidR="001C6278" w:rsidRPr="006F2D66">
        <w:rPr>
          <w:rFonts w:ascii="Arial" w:hAnsi="Arial" w:cs="Arial"/>
        </w:rPr>
        <w:t>and</w:t>
      </w:r>
      <w:r w:rsidR="004F62A4" w:rsidRPr="006F2D66">
        <w:rPr>
          <w:rFonts w:ascii="Arial" w:hAnsi="Arial" w:cs="Arial"/>
        </w:rPr>
        <w:t xml:space="preserve"> refer those seeking better employment or a job to skills support.</w:t>
      </w:r>
    </w:p>
    <w:p w14:paraId="3A903FC5" w14:textId="49727797" w:rsidR="007F6A71" w:rsidRPr="00445DA8" w:rsidRDefault="00CC7592" w:rsidP="004F62A4">
      <w:pPr>
        <w:rPr>
          <w:rFonts w:ascii="Arial" w:hAnsi="Arial" w:cs="Arial"/>
          <w:sz w:val="20"/>
        </w:rPr>
      </w:pPr>
      <w:r w:rsidRPr="00F15885">
        <w:rPr>
          <w:rFonts w:ascii="Arial" w:hAnsi="Arial" w:cs="Arial"/>
        </w:rPr>
        <w:t xml:space="preserve">Some boroughs outlined </w:t>
      </w:r>
      <w:r w:rsidR="00C55A62" w:rsidRPr="00F15885">
        <w:rPr>
          <w:rFonts w:ascii="Arial" w:hAnsi="Arial" w:cs="Arial"/>
        </w:rPr>
        <w:t>that the link is designed around the delivery of the</w:t>
      </w:r>
      <w:r w:rsidR="000A230B">
        <w:rPr>
          <w:rFonts w:ascii="Arial" w:hAnsi="Arial" w:cs="Arial"/>
        </w:rPr>
        <w:t xml:space="preserve"> Sector Based Work Academy Programmes</w:t>
      </w:r>
      <w:r w:rsidR="00F15885" w:rsidRPr="00F15885">
        <w:rPr>
          <w:rFonts w:ascii="Arial" w:hAnsi="Arial" w:cs="Arial"/>
        </w:rPr>
        <w:t xml:space="preserve">, or that </w:t>
      </w:r>
      <w:r w:rsidR="00457156" w:rsidRPr="00F15885">
        <w:rPr>
          <w:rFonts w:ascii="Arial" w:hAnsi="Arial" w:cs="Arial"/>
        </w:rPr>
        <w:t xml:space="preserve">the link is more </w:t>
      </w:r>
      <w:r w:rsidR="00F6212D" w:rsidRPr="00F15885">
        <w:rPr>
          <w:rFonts w:ascii="Arial" w:hAnsi="Arial" w:cs="Arial"/>
        </w:rPr>
        <w:t>strategic</w:t>
      </w:r>
      <w:r w:rsidR="00F15885" w:rsidRPr="00F15885">
        <w:rPr>
          <w:rFonts w:ascii="Arial" w:hAnsi="Arial" w:cs="Arial"/>
        </w:rPr>
        <w:t>, based around the co-design of training programmes and thematic events, often with specific focus on local needs (such as ESOL and functional skills). Many boroughs also pointed to close links with local colleges and maintenance of those relationships.</w:t>
      </w:r>
    </w:p>
    <w:p w14:paraId="5BC89E7A" w14:textId="7153E54A" w:rsidR="004F62A4" w:rsidRPr="00153BAC" w:rsidRDefault="004F62A4" w:rsidP="004F62A4">
      <w:pPr>
        <w:rPr>
          <w:rFonts w:ascii="Arial" w:hAnsi="Arial" w:cs="Arial"/>
          <w:b/>
          <w:sz w:val="24"/>
        </w:rPr>
      </w:pPr>
      <w:r w:rsidRPr="00153BAC">
        <w:rPr>
          <w:rFonts w:ascii="Arial" w:hAnsi="Arial" w:cs="Arial"/>
          <w:b/>
          <w:sz w:val="24"/>
        </w:rPr>
        <w:t>Skills support in addition to the ACL service</w:t>
      </w:r>
    </w:p>
    <w:p w14:paraId="2CD778BC" w14:textId="4A6EE64E" w:rsidR="00D119A1" w:rsidRPr="006866DB" w:rsidRDefault="004C17CF" w:rsidP="006866DB">
      <w:pPr>
        <w:rPr>
          <w:rFonts w:ascii="Arial" w:hAnsi="Arial" w:cs="Arial"/>
        </w:rPr>
      </w:pPr>
      <w:r>
        <w:rPr>
          <w:rFonts w:ascii="Arial" w:hAnsi="Arial" w:cs="Arial"/>
        </w:rPr>
        <w:lastRenderedPageBreak/>
        <w:t>Two-third</w:t>
      </w:r>
      <w:r w:rsidR="006866DB">
        <w:rPr>
          <w:rFonts w:ascii="Arial" w:hAnsi="Arial" w:cs="Arial"/>
        </w:rPr>
        <w:t>s</w:t>
      </w:r>
      <w:r>
        <w:rPr>
          <w:rFonts w:ascii="Arial" w:hAnsi="Arial" w:cs="Arial"/>
        </w:rPr>
        <w:t xml:space="preserve"> of</w:t>
      </w:r>
      <w:r w:rsidR="006866DB">
        <w:rPr>
          <w:rFonts w:ascii="Arial" w:hAnsi="Arial" w:cs="Arial"/>
        </w:rPr>
        <w:t xml:space="preserve"> London</w:t>
      </w:r>
      <w:r>
        <w:rPr>
          <w:rFonts w:ascii="Arial" w:hAnsi="Arial" w:cs="Arial"/>
        </w:rPr>
        <w:t xml:space="preserve"> boroughs (6</w:t>
      </w:r>
      <w:r w:rsidR="001E1A37">
        <w:rPr>
          <w:rFonts w:ascii="Arial" w:hAnsi="Arial" w:cs="Arial"/>
        </w:rPr>
        <w:t>7</w:t>
      </w:r>
      <w:r>
        <w:rPr>
          <w:rFonts w:ascii="Arial" w:hAnsi="Arial" w:cs="Arial"/>
        </w:rPr>
        <w:t>%)</w:t>
      </w:r>
      <w:r w:rsidR="006866DB">
        <w:rPr>
          <w:rFonts w:ascii="Arial" w:hAnsi="Arial" w:cs="Arial"/>
        </w:rPr>
        <w:t xml:space="preserve"> said they provide skills support to residents in addition to the Adult and Community Learning Service. This is a </w:t>
      </w:r>
      <w:r w:rsidR="00153378">
        <w:rPr>
          <w:rFonts w:ascii="Arial" w:hAnsi="Arial" w:cs="Arial"/>
        </w:rPr>
        <w:t>similar</w:t>
      </w:r>
      <w:r w:rsidR="006866DB">
        <w:rPr>
          <w:rFonts w:ascii="Arial" w:hAnsi="Arial" w:cs="Arial"/>
        </w:rPr>
        <w:t xml:space="preserve"> proportion in comparison to 202</w:t>
      </w:r>
      <w:r w:rsidR="003953F0">
        <w:rPr>
          <w:rFonts w:ascii="Arial" w:hAnsi="Arial" w:cs="Arial"/>
        </w:rPr>
        <w:t>1</w:t>
      </w:r>
      <w:r w:rsidR="006866DB">
        <w:rPr>
          <w:rFonts w:ascii="Arial" w:hAnsi="Arial" w:cs="Arial"/>
        </w:rPr>
        <w:t xml:space="preserve"> (</w:t>
      </w:r>
      <w:r w:rsidR="003953F0">
        <w:rPr>
          <w:rFonts w:ascii="Arial" w:hAnsi="Arial" w:cs="Arial"/>
        </w:rPr>
        <w:t>68</w:t>
      </w:r>
      <w:r w:rsidR="006866DB">
        <w:rPr>
          <w:rFonts w:ascii="Arial" w:hAnsi="Arial" w:cs="Arial"/>
        </w:rPr>
        <w:t>%).</w:t>
      </w:r>
    </w:p>
    <w:p w14:paraId="55086A4E" w14:textId="05CA6813" w:rsidR="009A3050" w:rsidRPr="00E45364" w:rsidRDefault="00E45364" w:rsidP="009A3050">
      <w:pPr>
        <w:rPr>
          <w:rFonts w:ascii="Arial" w:hAnsi="Arial" w:cs="Arial"/>
        </w:rPr>
      </w:pPr>
      <w:r w:rsidRPr="00E45364">
        <w:rPr>
          <w:rFonts w:ascii="Arial" w:hAnsi="Arial" w:cs="Arial"/>
        </w:rPr>
        <w:t xml:space="preserve">As with last year, a significant </w:t>
      </w:r>
      <w:r w:rsidR="009A3050" w:rsidRPr="00E45364">
        <w:rPr>
          <w:rFonts w:ascii="Arial" w:hAnsi="Arial" w:cs="Arial"/>
        </w:rPr>
        <w:t>proportion</w:t>
      </w:r>
      <w:r w:rsidRPr="00E45364">
        <w:rPr>
          <w:rFonts w:ascii="Arial" w:hAnsi="Arial" w:cs="Arial"/>
        </w:rPr>
        <w:t xml:space="preserve"> </w:t>
      </w:r>
      <w:r w:rsidR="009A3050" w:rsidRPr="00E45364">
        <w:rPr>
          <w:rFonts w:ascii="Arial" w:hAnsi="Arial" w:cs="Arial"/>
        </w:rPr>
        <w:t>focused on sector-specific training in sectors such as construction</w:t>
      </w:r>
      <w:r w:rsidRPr="00E45364">
        <w:rPr>
          <w:rFonts w:ascii="Arial" w:hAnsi="Arial" w:cs="Arial"/>
        </w:rPr>
        <w:t>, hospitality</w:t>
      </w:r>
      <w:r w:rsidR="009A3050" w:rsidRPr="00E45364">
        <w:rPr>
          <w:rFonts w:ascii="Arial" w:hAnsi="Arial" w:cs="Arial"/>
        </w:rPr>
        <w:t xml:space="preserve"> or training HGV drivers</w:t>
      </w:r>
      <w:r w:rsidRPr="00E45364">
        <w:rPr>
          <w:rFonts w:ascii="Arial" w:hAnsi="Arial" w:cs="Arial"/>
        </w:rPr>
        <w:t xml:space="preserve"> and providing level 3 gas engineering courses</w:t>
      </w:r>
      <w:r w:rsidR="009A3050" w:rsidRPr="00E45364">
        <w:rPr>
          <w:rFonts w:ascii="Arial" w:hAnsi="Arial" w:cs="Arial"/>
        </w:rPr>
        <w:t xml:space="preserve">, as well as via the Sector-Based Work Academies. This </w:t>
      </w:r>
      <w:r w:rsidRPr="00E45364">
        <w:rPr>
          <w:rFonts w:ascii="Arial" w:hAnsi="Arial" w:cs="Arial"/>
        </w:rPr>
        <w:t xml:space="preserve">is </w:t>
      </w:r>
      <w:r w:rsidR="009A3050" w:rsidRPr="00E45364">
        <w:rPr>
          <w:rFonts w:ascii="Arial" w:hAnsi="Arial" w:cs="Arial"/>
        </w:rPr>
        <w:t xml:space="preserve">linked to the growing </w:t>
      </w:r>
      <w:r w:rsidR="006F33B8" w:rsidRPr="00E45364">
        <w:rPr>
          <w:rFonts w:ascii="Arial" w:hAnsi="Arial" w:cs="Arial"/>
        </w:rPr>
        <w:t xml:space="preserve">skills and labour shortages many businesses experience in the capital. </w:t>
      </w:r>
    </w:p>
    <w:p w14:paraId="70657567" w14:textId="523CB08F" w:rsidR="006F33B8" w:rsidRPr="00E45364" w:rsidRDefault="006F33B8" w:rsidP="009A3050">
      <w:pPr>
        <w:rPr>
          <w:rFonts w:ascii="Arial" w:hAnsi="Arial" w:cs="Arial"/>
        </w:rPr>
      </w:pPr>
      <w:r w:rsidRPr="00E45364">
        <w:rPr>
          <w:rFonts w:ascii="Arial" w:hAnsi="Arial" w:cs="Arial"/>
        </w:rPr>
        <w:t>Other boroughs</w:t>
      </w:r>
      <w:r w:rsidR="009732C0" w:rsidRPr="00E45364">
        <w:rPr>
          <w:rFonts w:ascii="Arial" w:hAnsi="Arial" w:cs="Arial"/>
        </w:rPr>
        <w:t xml:space="preserve"> said they</w:t>
      </w:r>
      <w:r w:rsidRPr="00E45364">
        <w:rPr>
          <w:rFonts w:ascii="Arial" w:hAnsi="Arial" w:cs="Arial"/>
        </w:rPr>
        <w:t xml:space="preserve"> </w:t>
      </w:r>
      <w:r w:rsidR="00205BA4" w:rsidRPr="00E45364">
        <w:rPr>
          <w:rFonts w:ascii="Arial" w:hAnsi="Arial" w:cs="Arial"/>
        </w:rPr>
        <w:t>provide</w:t>
      </w:r>
      <w:r w:rsidRPr="00E45364">
        <w:rPr>
          <w:rFonts w:ascii="Arial" w:hAnsi="Arial" w:cs="Arial"/>
        </w:rPr>
        <w:t xml:space="preserve"> digital skills support </w:t>
      </w:r>
      <w:r w:rsidR="00205BA4" w:rsidRPr="00E45364">
        <w:rPr>
          <w:rFonts w:ascii="Arial" w:hAnsi="Arial" w:cs="Arial"/>
        </w:rPr>
        <w:t xml:space="preserve">and develop </w:t>
      </w:r>
      <w:r w:rsidR="00103C98" w:rsidRPr="00E45364">
        <w:rPr>
          <w:rFonts w:ascii="Arial" w:hAnsi="Arial" w:cs="Arial"/>
        </w:rPr>
        <w:t xml:space="preserve">residents’ ESOL, ICT and functional skills. </w:t>
      </w:r>
      <w:r w:rsidR="00312275" w:rsidRPr="00E45364">
        <w:rPr>
          <w:rFonts w:ascii="Arial" w:hAnsi="Arial" w:cs="Arial"/>
        </w:rPr>
        <w:t>A few boroughs also focused on providing pre-apprenticeship training and apprenticeship support</w:t>
      </w:r>
      <w:r w:rsidR="00E45364" w:rsidRPr="00E45364">
        <w:rPr>
          <w:rFonts w:ascii="Arial" w:hAnsi="Arial" w:cs="Arial"/>
        </w:rPr>
        <w:t>, and specialist courses for those with care experience, refugees and over 50s.</w:t>
      </w:r>
    </w:p>
    <w:p w14:paraId="68EC152B" w14:textId="27B888C9" w:rsidR="00FD324F" w:rsidRDefault="00FD324F" w:rsidP="009A3050">
      <w:pPr>
        <w:rPr>
          <w:rFonts w:ascii="Arial" w:hAnsi="Arial" w:cs="Arial"/>
        </w:rPr>
      </w:pPr>
      <w:r w:rsidRPr="00E45364">
        <w:rPr>
          <w:rFonts w:ascii="Arial" w:hAnsi="Arial" w:cs="Arial"/>
        </w:rPr>
        <w:t>Similar to promoting good working practice</w:t>
      </w:r>
      <w:r w:rsidR="00942416" w:rsidRPr="00E45364">
        <w:rPr>
          <w:rFonts w:ascii="Arial" w:hAnsi="Arial" w:cs="Arial"/>
        </w:rPr>
        <w:t>s</w:t>
      </w:r>
      <w:r w:rsidRPr="00E45364">
        <w:rPr>
          <w:rFonts w:ascii="Arial" w:hAnsi="Arial" w:cs="Arial"/>
        </w:rPr>
        <w:t xml:space="preserve">, a key channel for ensuring </w:t>
      </w:r>
      <w:r w:rsidR="00A4242C" w:rsidRPr="00E45364">
        <w:rPr>
          <w:rFonts w:ascii="Arial" w:hAnsi="Arial" w:cs="Arial"/>
        </w:rPr>
        <w:t>sustained skills support was via building strong local partnerships with training providers, employers and other organisations that provide dedicated skills support.</w:t>
      </w:r>
    </w:p>
    <w:p w14:paraId="1BF27E04" w14:textId="50FDDD04" w:rsidR="006535AD" w:rsidRDefault="006535AD" w:rsidP="009A3050">
      <w:pPr>
        <w:rPr>
          <w:rFonts w:ascii="Arial" w:hAnsi="Arial" w:cs="Arial"/>
        </w:rPr>
      </w:pPr>
      <w:r>
        <w:rPr>
          <w:rFonts w:ascii="Arial" w:hAnsi="Arial" w:cs="Arial"/>
          <w:noProof/>
          <w:sz w:val="20"/>
        </w:rPr>
        <mc:AlternateContent>
          <mc:Choice Requires="wps">
            <w:drawing>
              <wp:anchor distT="0" distB="0" distL="114300" distR="114300" simplePos="0" relativeHeight="251663360" behindDoc="0" locked="0" layoutInCell="1" allowOverlap="1" wp14:anchorId="1F0EFCD6" wp14:editId="032BF68A">
                <wp:simplePos x="0" y="0"/>
                <wp:positionH relativeFrom="margin">
                  <wp:posOffset>-9525</wp:posOffset>
                </wp:positionH>
                <wp:positionV relativeFrom="paragraph">
                  <wp:posOffset>-4445</wp:posOffset>
                </wp:positionV>
                <wp:extent cx="5819775" cy="3038475"/>
                <wp:effectExtent l="0" t="0" r="28575" b="28575"/>
                <wp:wrapNone/>
                <wp:docPr id="10" name="Rectangle 10"/>
                <wp:cNvGraphicFramePr/>
                <a:graphic xmlns:a="http://schemas.openxmlformats.org/drawingml/2006/main">
                  <a:graphicData uri="http://schemas.microsoft.com/office/word/2010/wordprocessingShape">
                    <wps:wsp>
                      <wps:cNvSpPr/>
                      <wps:spPr>
                        <a:xfrm>
                          <a:off x="0" y="0"/>
                          <a:ext cx="5819775" cy="3038475"/>
                        </a:xfrm>
                        <a:prstGeom prst="rect">
                          <a:avLst/>
                        </a:prstGeom>
                        <a:solidFill>
                          <a:srgbClr val="CC66FF"/>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8C31DB2" w14:textId="77777777" w:rsidR="007B6B96" w:rsidRDefault="000B3D7D" w:rsidP="00814E07">
                            <w:pPr>
                              <w:pStyle w:val="NormalWeb"/>
                              <w:spacing w:before="0" w:beforeAutospacing="0" w:after="0" w:afterAutospacing="0"/>
                              <w:rPr>
                                <w:rFonts w:ascii="Arial" w:hAnsi="Arial" w:cs="Arial"/>
                                <w:b/>
                                <w:bCs/>
                                <w:color w:val="000000" w:themeColor="text1"/>
                                <w:sz w:val="22"/>
                                <w:szCs w:val="22"/>
                              </w:rPr>
                            </w:pPr>
                            <w:bookmarkStart w:id="1" w:name="_Hlk133223611"/>
                            <w:bookmarkStart w:id="2" w:name="_Hlk133223612"/>
                            <w:r w:rsidRPr="001A0D29">
                              <w:rPr>
                                <w:rFonts w:ascii="Arial" w:hAnsi="Arial" w:cs="Arial"/>
                                <w:b/>
                                <w:bCs/>
                                <w:color w:val="000000" w:themeColor="text1"/>
                                <w:sz w:val="22"/>
                                <w:szCs w:val="22"/>
                              </w:rPr>
                              <w:t xml:space="preserve">Case study: </w:t>
                            </w:r>
                            <w:r w:rsidR="00FD4853" w:rsidRPr="001A0D29">
                              <w:rPr>
                                <w:rFonts w:ascii="Arial" w:hAnsi="Arial" w:cs="Arial"/>
                                <w:b/>
                                <w:bCs/>
                                <w:color w:val="000000" w:themeColor="text1"/>
                                <w:sz w:val="22"/>
                                <w:szCs w:val="22"/>
                              </w:rPr>
                              <w:t>RB Greenwich’s Building Green Skills Youth Training Camp</w:t>
                            </w:r>
                          </w:p>
                          <w:p w14:paraId="1BD498D0" w14:textId="301A372A" w:rsidR="000B3D7D" w:rsidRPr="001A0D29" w:rsidRDefault="000B3D7D" w:rsidP="00814E07">
                            <w:pPr>
                              <w:pStyle w:val="NormalWeb"/>
                              <w:spacing w:before="0" w:beforeAutospacing="0" w:after="0" w:afterAutospacing="0"/>
                              <w:rPr>
                                <w:rFonts w:ascii="Arial" w:hAnsi="Arial" w:cs="Arial"/>
                                <w:color w:val="000000" w:themeColor="text1"/>
                                <w:sz w:val="22"/>
                                <w:szCs w:val="22"/>
                              </w:rPr>
                            </w:pPr>
                            <w:r w:rsidRPr="001A0D29">
                              <w:rPr>
                                <w:rFonts w:ascii="Arial" w:hAnsi="Arial" w:cs="Arial"/>
                                <w:color w:val="000000" w:themeColor="text1"/>
                                <w:sz w:val="22"/>
                                <w:szCs w:val="22"/>
                              </w:rPr>
                              <w:t> </w:t>
                            </w:r>
                          </w:p>
                          <w:p w14:paraId="60DA4617" w14:textId="1F73D9E6" w:rsidR="00A10925" w:rsidRPr="001A0D29" w:rsidRDefault="003B75B4" w:rsidP="00814E07">
                            <w:pPr>
                              <w:pStyle w:val="NormalWeb"/>
                              <w:spacing w:before="0" w:beforeAutospacing="0" w:after="0" w:afterAutospacing="0"/>
                              <w:rPr>
                                <w:rFonts w:ascii="Arial" w:hAnsi="Arial" w:cs="Arial"/>
                                <w:color w:val="000000" w:themeColor="text1"/>
                                <w:sz w:val="22"/>
                                <w:szCs w:val="22"/>
                              </w:rPr>
                            </w:pPr>
                            <w:r w:rsidRPr="001A0D29">
                              <w:rPr>
                                <w:rFonts w:ascii="Arial" w:hAnsi="Arial" w:cs="Arial"/>
                                <w:color w:val="000000" w:themeColor="text1"/>
                                <w:sz w:val="22"/>
                                <w:szCs w:val="22"/>
                              </w:rPr>
                              <w:t>In response to growth and shortages in the green skills sector, RB Greenwich developed a pilot youth training camp for those aged 18-29</w:t>
                            </w:r>
                            <w:r w:rsidR="00385952">
                              <w:rPr>
                                <w:rFonts w:ascii="Arial" w:hAnsi="Arial" w:cs="Arial"/>
                                <w:color w:val="000000" w:themeColor="text1"/>
                                <w:sz w:val="22"/>
                                <w:szCs w:val="22"/>
                              </w:rPr>
                              <w:t>. The camp</w:t>
                            </w:r>
                            <w:r w:rsidRPr="001A0D29">
                              <w:rPr>
                                <w:rFonts w:ascii="Arial" w:hAnsi="Arial" w:cs="Arial"/>
                                <w:color w:val="000000" w:themeColor="text1"/>
                                <w:sz w:val="22"/>
                                <w:szCs w:val="22"/>
                              </w:rPr>
                              <w:t xml:space="preserve"> educate</w:t>
                            </w:r>
                            <w:r w:rsidR="00385952">
                              <w:rPr>
                                <w:rFonts w:ascii="Arial" w:hAnsi="Arial" w:cs="Arial"/>
                                <w:color w:val="000000" w:themeColor="text1"/>
                                <w:sz w:val="22"/>
                                <w:szCs w:val="22"/>
                              </w:rPr>
                              <w:t>s</w:t>
                            </w:r>
                            <w:r w:rsidRPr="001A0D29">
                              <w:rPr>
                                <w:rFonts w:ascii="Arial" w:hAnsi="Arial" w:cs="Arial"/>
                                <w:color w:val="000000" w:themeColor="text1"/>
                                <w:sz w:val="22"/>
                                <w:szCs w:val="22"/>
                              </w:rPr>
                              <w:t xml:space="preserve"> local people on green skills and</w:t>
                            </w:r>
                            <w:r w:rsidR="00315454">
                              <w:rPr>
                                <w:rFonts w:ascii="Arial" w:hAnsi="Arial" w:cs="Arial"/>
                                <w:color w:val="000000" w:themeColor="text1"/>
                                <w:sz w:val="22"/>
                                <w:szCs w:val="22"/>
                              </w:rPr>
                              <w:t xml:space="preserve"> helps</w:t>
                            </w:r>
                            <w:r w:rsidRPr="001A0D29">
                              <w:rPr>
                                <w:rFonts w:ascii="Arial" w:hAnsi="Arial" w:cs="Arial"/>
                                <w:color w:val="000000" w:themeColor="text1"/>
                                <w:sz w:val="22"/>
                                <w:szCs w:val="22"/>
                              </w:rPr>
                              <w:t xml:space="preserve"> them to prepare and compete for green jobs</w:t>
                            </w:r>
                            <w:r w:rsidR="00A10925" w:rsidRPr="001A0D29">
                              <w:rPr>
                                <w:rFonts w:ascii="Arial" w:hAnsi="Arial" w:cs="Arial"/>
                                <w:color w:val="000000" w:themeColor="text1"/>
                                <w:sz w:val="22"/>
                                <w:szCs w:val="22"/>
                              </w:rPr>
                              <w:t xml:space="preserve"> created through local retrofit programmes and future regeneration schemes. </w:t>
                            </w:r>
                          </w:p>
                          <w:p w14:paraId="4A4AB450" w14:textId="77777777" w:rsidR="00A10925" w:rsidRPr="001A0D29" w:rsidRDefault="00A10925" w:rsidP="00814E07">
                            <w:pPr>
                              <w:pStyle w:val="NormalWeb"/>
                              <w:spacing w:before="0" w:beforeAutospacing="0" w:after="0" w:afterAutospacing="0"/>
                              <w:rPr>
                                <w:rFonts w:ascii="Arial" w:hAnsi="Arial" w:cs="Arial"/>
                                <w:color w:val="000000" w:themeColor="text1"/>
                                <w:sz w:val="22"/>
                                <w:szCs w:val="22"/>
                              </w:rPr>
                            </w:pPr>
                          </w:p>
                          <w:p w14:paraId="62F6071D" w14:textId="77777777" w:rsidR="00A10925" w:rsidRPr="001A0D29" w:rsidRDefault="00A10925" w:rsidP="00814E07">
                            <w:pPr>
                              <w:pStyle w:val="NormalWeb"/>
                              <w:spacing w:before="0" w:beforeAutospacing="0" w:after="0" w:afterAutospacing="0"/>
                              <w:rPr>
                                <w:rFonts w:ascii="Arial" w:hAnsi="Arial" w:cs="Arial"/>
                                <w:color w:val="000000" w:themeColor="text1"/>
                                <w:sz w:val="22"/>
                                <w:szCs w:val="22"/>
                              </w:rPr>
                            </w:pPr>
                            <w:r w:rsidRPr="001A0D29">
                              <w:rPr>
                                <w:rFonts w:ascii="Arial" w:hAnsi="Arial" w:cs="Arial"/>
                                <w:color w:val="000000" w:themeColor="text1"/>
                                <w:sz w:val="22"/>
                                <w:szCs w:val="22"/>
                              </w:rPr>
                              <w:t>The council developed a six week pre-employment bootcamp, with training focused on low carbon construction methods, air and ground source heat pumps, solar PV, battery storage and LED lighting. All learners gained a CSCS card qualification in addition to meeting contractors in the area and attending site visits to see green construction methods first-hand.</w:t>
                            </w:r>
                          </w:p>
                          <w:p w14:paraId="0D3F5C00" w14:textId="77777777" w:rsidR="00A10925" w:rsidRPr="001A0D29" w:rsidRDefault="00A10925" w:rsidP="00814E07">
                            <w:pPr>
                              <w:pStyle w:val="NormalWeb"/>
                              <w:spacing w:before="0" w:beforeAutospacing="0" w:after="0" w:afterAutospacing="0"/>
                              <w:rPr>
                                <w:rFonts w:ascii="Arial" w:hAnsi="Arial" w:cs="Arial"/>
                                <w:color w:val="000000" w:themeColor="text1"/>
                                <w:sz w:val="22"/>
                                <w:szCs w:val="22"/>
                              </w:rPr>
                            </w:pPr>
                          </w:p>
                          <w:p w14:paraId="2CE06369" w14:textId="6EDD6C84" w:rsidR="000B3D7D" w:rsidRPr="00814E07" w:rsidRDefault="00A10925" w:rsidP="00814E07">
                            <w:pPr>
                              <w:pStyle w:val="NormalWeb"/>
                              <w:spacing w:before="0" w:beforeAutospacing="0" w:after="0" w:afterAutospacing="0"/>
                              <w:rPr>
                                <w:rFonts w:ascii="Arial" w:hAnsi="Arial" w:cs="Arial"/>
                                <w:color w:val="000000" w:themeColor="text1"/>
                                <w:sz w:val="22"/>
                                <w:szCs w:val="22"/>
                              </w:rPr>
                            </w:pPr>
                            <w:r w:rsidRPr="001A0D29">
                              <w:rPr>
                                <w:rFonts w:ascii="Arial" w:hAnsi="Arial" w:cs="Arial"/>
                                <w:color w:val="000000" w:themeColor="text1"/>
                                <w:sz w:val="22"/>
                                <w:szCs w:val="22"/>
                              </w:rPr>
                              <w:t xml:space="preserve">17 learners completed the two bootcamps, with all gaining a </w:t>
                            </w:r>
                            <w:r w:rsidR="0034217E">
                              <w:rPr>
                                <w:rFonts w:ascii="Arial" w:hAnsi="Arial" w:cs="Arial"/>
                                <w:color w:val="000000" w:themeColor="text1"/>
                                <w:sz w:val="22"/>
                                <w:szCs w:val="22"/>
                              </w:rPr>
                              <w:t>L</w:t>
                            </w:r>
                            <w:r w:rsidRPr="001A0D29">
                              <w:rPr>
                                <w:rFonts w:ascii="Arial" w:hAnsi="Arial" w:cs="Arial"/>
                                <w:color w:val="000000" w:themeColor="text1"/>
                                <w:sz w:val="22"/>
                                <w:szCs w:val="22"/>
                              </w:rPr>
                              <w:t xml:space="preserve">evel 1 in Health &amp; Safety and passing the CSCS test. 11 participants went on to secure </w:t>
                            </w:r>
                            <w:r w:rsidR="008B77D7">
                              <w:rPr>
                                <w:rFonts w:ascii="Arial" w:hAnsi="Arial" w:cs="Arial"/>
                                <w:color w:val="000000" w:themeColor="text1"/>
                                <w:sz w:val="22"/>
                                <w:szCs w:val="22"/>
                              </w:rPr>
                              <w:t>ongoing</w:t>
                            </w:r>
                            <w:r w:rsidRPr="001A0D29">
                              <w:rPr>
                                <w:rFonts w:ascii="Arial" w:hAnsi="Arial" w:cs="Arial"/>
                                <w:color w:val="000000" w:themeColor="text1"/>
                                <w:sz w:val="22"/>
                                <w:szCs w:val="22"/>
                              </w:rPr>
                              <w:t xml:space="preserve"> employment</w:t>
                            </w:r>
                            <w:r w:rsidR="008B77D7">
                              <w:rPr>
                                <w:rFonts w:ascii="Arial" w:hAnsi="Arial" w:cs="Arial"/>
                                <w:color w:val="000000" w:themeColor="text1"/>
                                <w:sz w:val="22"/>
                                <w:szCs w:val="22"/>
                              </w:rPr>
                              <w:t xml:space="preserve">, eight of whom were employed </w:t>
                            </w:r>
                            <w:r w:rsidRPr="001A0D29">
                              <w:rPr>
                                <w:rFonts w:ascii="Arial" w:hAnsi="Arial" w:cs="Arial"/>
                                <w:color w:val="000000" w:themeColor="text1"/>
                                <w:sz w:val="22"/>
                                <w:szCs w:val="22"/>
                              </w:rPr>
                              <w:t>in the</w:t>
                            </w:r>
                            <w:r w:rsidR="008B77D7">
                              <w:rPr>
                                <w:rFonts w:ascii="Arial" w:hAnsi="Arial" w:cs="Arial"/>
                                <w:color w:val="000000" w:themeColor="text1"/>
                                <w:sz w:val="22"/>
                                <w:szCs w:val="22"/>
                              </w:rPr>
                              <w:t xml:space="preserve"> </w:t>
                            </w:r>
                            <w:r w:rsidRPr="001A0D29">
                              <w:rPr>
                                <w:rFonts w:ascii="Arial" w:hAnsi="Arial" w:cs="Arial"/>
                                <w:color w:val="000000" w:themeColor="text1"/>
                                <w:sz w:val="22"/>
                                <w:szCs w:val="22"/>
                              </w:rPr>
                              <w:t xml:space="preserve">construction </w:t>
                            </w:r>
                            <w:r w:rsidR="008B77D7">
                              <w:rPr>
                                <w:rFonts w:ascii="Arial" w:hAnsi="Arial" w:cs="Arial"/>
                                <w:color w:val="000000" w:themeColor="text1"/>
                                <w:sz w:val="22"/>
                                <w:szCs w:val="22"/>
                              </w:rPr>
                              <w:t>sector</w:t>
                            </w:r>
                            <w:r w:rsidRPr="001A0D29">
                              <w:rPr>
                                <w:rFonts w:ascii="Arial" w:hAnsi="Arial" w:cs="Arial"/>
                                <w:color w:val="000000" w:themeColor="text1"/>
                                <w:sz w:val="22"/>
                                <w:szCs w:val="22"/>
                              </w:rPr>
                              <w:t xml:space="preserve">. Crucially, this pilot has highlighted the need for increased accredited training, apprenticeships and </w:t>
                            </w:r>
                            <w:r w:rsidR="001A0D29" w:rsidRPr="001A0D29">
                              <w:rPr>
                                <w:rFonts w:ascii="Arial" w:hAnsi="Arial" w:cs="Arial"/>
                                <w:color w:val="000000" w:themeColor="text1"/>
                                <w:sz w:val="22"/>
                                <w:szCs w:val="22"/>
                              </w:rPr>
                              <w:t>entry-level opportunities in the rapidly growing green construction sector.</w:t>
                            </w:r>
                            <w:r w:rsidRPr="001A0D29">
                              <w:rPr>
                                <w:rFonts w:ascii="Arial" w:hAnsi="Arial" w:cs="Arial"/>
                                <w:color w:val="000000" w:themeColor="text1"/>
                                <w:sz w:val="22"/>
                                <w:szCs w:val="22"/>
                              </w:rPr>
                              <w:t xml:space="preserve"> </w:t>
                            </w:r>
                            <w:bookmarkEnd w:id="1"/>
                            <w:bookmarkEnd w:id="2"/>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0EFCD6" id="Rectangle 10" o:spid="_x0000_s1027" style="position:absolute;margin-left:-.75pt;margin-top:-.35pt;width:458.25pt;height:239.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" fillcolor="#c6f" strokecolor="#7030a0" strokeweight="1pt">
                <v:textbox>
                  <w:txbxContent>
                    <w:p w14:paraId="78C31DB2" w14:textId="77777777" w:rsidR="007B6B96" w:rsidRDefault="000B3D7D" w:rsidP="00814E07">
                      <w:pPr>
                        <w:pStyle w:val="NormalWeb"/>
                        <w:spacing w:before="0" w:beforeAutospacing="0" w:after="0" w:afterAutospacing="0"/>
                        <w:rPr>
                          <w:rFonts w:ascii="Arial" w:hAnsi="Arial" w:cs="Arial"/>
                          <w:b/>
                          <w:bCs/>
                          <w:color w:val="000000" w:themeColor="text1"/>
                          <w:sz w:val="22"/>
                          <w:szCs w:val="22"/>
                        </w:rPr>
                      </w:pPr>
                      <w:bookmarkStart w:id="3" w:name="_Hlk133223611"/>
                      <w:bookmarkStart w:id="4" w:name="_Hlk133223612"/>
                      <w:r w:rsidRPr="001A0D29">
                        <w:rPr>
                          <w:rFonts w:ascii="Arial" w:hAnsi="Arial" w:cs="Arial"/>
                          <w:b/>
                          <w:bCs/>
                          <w:color w:val="000000" w:themeColor="text1"/>
                          <w:sz w:val="22"/>
                          <w:szCs w:val="22"/>
                        </w:rPr>
                        <w:t xml:space="preserve">Case study: </w:t>
                      </w:r>
                      <w:r w:rsidR="00FD4853" w:rsidRPr="001A0D29">
                        <w:rPr>
                          <w:rFonts w:ascii="Arial" w:hAnsi="Arial" w:cs="Arial"/>
                          <w:b/>
                          <w:bCs/>
                          <w:color w:val="000000" w:themeColor="text1"/>
                          <w:sz w:val="22"/>
                          <w:szCs w:val="22"/>
                        </w:rPr>
                        <w:t>RB Greenwich’s Building Green Skills Youth Training Camp</w:t>
                      </w:r>
                    </w:p>
                    <w:p w14:paraId="1BD498D0" w14:textId="301A372A" w:rsidR="000B3D7D" w:rsidRPr="001A0D29" w:rsidRDefault="000B3D7D" w:rsidP="00814E07">
                      <w:pPr>
                        <w:pStyle w:val="NormalWeb"/>
                        <w:spacing w:before="0" w:beforeAutospacing="0" w:after="0" w:afterAutospacing="0"/>
                        <w:rPr>
                          <w:rFonts w:ascii="Arial" w:hAnsi="Arial" w:cs="Arial"/>
                          <w:color w:val="000000" w:themeColor="text1"/>
                          <w:sz w:val="22"/>
                          <w:szCs w:val="22"/>
                        </w:rPr>
                      </w:pPr>
                      <w:r w:rsidRPr="001A0D29">
                        <w:rPr>
                          <w:rFonts w:ascii="Arial" w:hAnsi="Arial" w:cs="Arial"/>
                          <w:color w:val="000000" w:themeColor="text1"/>
                          <w:sz w:val="22"/>
                          <w:szCs w:val="22"/>
                        </w:rPr>
                        <w:t> </w:t>
                      </w:r>
                    </w:p>
                    <w:p w14:paraId="60DA4617" w14:textId="1F73D9E6" w:rsidR="00A10925" w:rsidRPr="001A0D29" w:rsidRDefault="003B75B4" w:rsidP="00814E07">
                      <w:pPr>
                        <w:pStyle w:val="NormalWeb"/>
                        <w:spacing w:before="0" w:beforeAutospacing="0" w:after="0" w:afterAutospacing="0"/>
                        <w:rPr>
                          <w:rFonts w:ascii="Arial" w:hAnsi="Arial" w:cs="Arial"/>
                          <w:color w:val="000000" w:themeColor="text1"/>
                          <w:sz w:val="22"/>
                          <w:szCs w:val="22"/>
                        </w:rPr>
                      </w:pPr>
                      <w:r w:rsidRPr="001A0D29">
                        <w:rPr>
                          <w:rFonts w:ascii="Arial" w:hAnsi="Arial" w:cs="Arial"/>
                          <w:color w:val="000000" w:themeColor="text1"/>
                          <w:sz w:val="22"/>
                          <w:szCs w:val="22"/>
                        </w:rPr>
                        <w:t>In response to growth and shortages in the green skills sector, RB Greenwich developed a pilot youth training camp for those aged 18-29</w:t>
                      </w:r>
                      <w:r w:rsidR="00385952">
                        <w:rPr>
                          <w:rFonts w:ascii="Arial" w:hAnsi="Arial" w:cs="Arial"/>
                          <w:color w:val="000000" w:themeColor="text1"/>
                          <w:sz w:val="22"/>
                          <w:szCs w:val="22"/>
                        </w:rPr>
                        <w:t>. The camp</w:t>
                      </w:r>
                      <w:r w:rsidRPr="001A0D29">
                        <w:rPr>
                          <w:rFonts w:ascii="Arial" w:hAnsi="Arial" w:cs="Arial"/>
                          <w:color w:val="000000" w:themeColor="text1"/>
                          <w:sz w:val="22"/>
                          <w:szCs w:val="22"/>
                        </w:rPr>
                        <w:t xml:space="preserve"> educate</w:t>
                      </w:r>
                      <w:r w:rsidR="00385952">
                        <w:rPr>
                          <w:rFonts w:ascii="Arial" w:hAnsi="Arial" w:cs="Arial"/>
                          <w:color w:val="000000" w:themeColor="text1"/>
                          <w:sz w:val="22"/>
                          <w:szCs w:val="22"/>
                        </w:rPr>
                        <w:t>s</w:t>
                      </w:r>
                      <w:r w:rsidRPr="001A0D29">
                        <w:rPr>
                          <w:rFonts w:ascii="Arial" w:hAnsi="Arial" w:cs="Arial"/>
                          <w:color w:val="000000" w:themeColor="text1"/>
                          <w:sz w:val="22"/>
                          <w:szCs w:val="22"/>
                        </w:rPr>
                        <w:t xml:space="preserve"> local people on green skills and</w:t>
                      </w:r>
                      <w:r w:rsidR="00315454">
                        <w:rPr>
                          <w:rFonts w:ascii="Arial" w:hAnsi="Arial" w:cs="Arial"/>
                          <w:color w:val="000000" w:themeColor="text1"/>
                          <w:sz w:val="22"/>
                          <w:szCs w:val="22"/>
                        </w:rPr>
                        <w:t xml:space="preserve"> helps</w:t>
                      </w:r>
                      <w:r w:rsidRPr="001A0D29">
                        <w:rPr>
                          <w:rFonts w:ascii="Arial" w:hAnsi="Arial" w:cs="Arial"/>
                          <w:color w:val="000000" w:themeColor="text1"/>
                          <w:sz w:val="22"/>
                          <w:szCs w:val="22"/>
                        </w:rPr>
                        <w:t xml:space="preserve"> them to prepare and compete for green jobs</w:t>
                      </w:r>
                      <w:r w:rsidR="00A10925" w:rsidRPr="001A0D29">
                        <w:rPr>
                          <w:rFonts w:ascii="Arial" w:hAnsi="Arial" w:cs="Arial"/>
                          <w:color w:val="000000" w:themeColor="text1"/>
                          <w:sz w:val="22"/>
                          <w:szCs w:val="22"/>
                        </w:rPr>
                        <w:t xml:space="preserve"> created through local retrofit programmes and future regeneration schemes. </w:t>
                      </w:r>
                    </w:p>
                    <w:p w14:paraId="4A4AB450" w14:textId="77777777" w:rsidR="00A10925" w:rsidRPr="001A0D29" w:rsidRDefault="00A10925" w:rsidP="00814E07">
                      <w:pPr>
                        <w:pStyle w:val="NormalWeb"/>
                        <w:spacing w:before="0" w:beforeAutospacing="0" w:after="0" w:afterAutospacing="0"/>
                        <w:rPr>
                          <w:rFonts w:ascii="Arial" w:hAnsi="Arial" w:cs="Arial"/>
                          <w:color w:val="000000" w:themeColor="text1"/>
                          <w:sz w:val="22"/>
                          <w:szCs w:val="22"/>
                        </w:rPr>
                      </w:pPr>
                    </w:p>
                    <w:p w14:paraId="62F6071D" w14:textId="77777777" w:rsidR="00A10925" w:rsidRPr="001A0D29" w:rsidRDefault="00A10925" w:rsidP="00814E07">
                      <w:pPr>
                        <w:pStyle w:val="NormalWeb"/>
                        <w:spacing w:before="0" w:beforeAutospacing="0" w:after="0" w:afterAutospacing="0"/>
                        <w:rPr>
                          <w:rFonts w:ascii="Arial" w:hAnsi="Arial" w:cs="Arial"/>
                          <w:color w:val="000000" w:themeColor="text1"/>
                          <w:sz w:val="22"/>
                          <w:szCs w:val="22"/>
                        </w:rPr>
                      </w:pPr>
                      <w:r w:rsidRPr="001A0D29">
                        <w:rPr>
                          <w:rFonts w:ascii="Arial" w:hAnsi="Arial" w:cs="Arial"/>
                          <w:color w:val="000000" w:themeColor="text1"/>
                          <w:sz w:val="22"/>
                          <w:szCs w:val="22"/>
                        </w:rPr>
                        <w:t>The council developed a six week pre-employment bootcamp, with training focused on low carbon construction methods, air and ground source heat pumps, solar PV, battery storage and LED lighting. All learners gained a CSCS card qualification in addition to meeting contractors in the area and attending site visits to see green construction methods first-hand.</w:t>
                      </w:r>
                    </w:p>
                    <w:p w14:paraId="0D3F5C00" w14:textId="77777777" w:rsidR="00A10925" w:rsidRPr="001A0D29" w:rsidRDefault="00A10925" w:rsidP="00814E07">
                      <w:pPr>
                        <w:pStyle w:val="NormalWeb"/>
                        <w:spacing w:before="0" w:beforeAutospacing="0" w:after="0" w:afterAutospacing="0"/>
                        <w:rPr>
                          <w:rFonts w:ascii="Arial" w:hAnsi="Arial" w:cs="Arial"/>
                          <w:color w:val="000000" w:themeColor="text1"/>
                          <w:sz w:val="22"/>
                          <w:szCs w:val="22"/>
                        </w:rPr>
                      </w:pPr>
                    </w:p>
                    <w:p w14:paraId="2CE06369" w14:textId="6EDD6C84" w:rsidR="000B3D7D" w:rsidRPr="00814E07" w:rsidRDefault="00A10925" w:rsidP="00814E07">
                      <w:pPr>
                        <w:pStyle w:val="NormalWeb"/>
                        <w:spacing w:before="0" w:beforeAutospacing="0" w:after="0" w:afterAutospacing="0"/>
                        <w:rPr>
                          <w:rFonts w:ascii="Arial" w:hAnsi="Arial" w:cs="Arial"/>
                          <w:color w:val="000000" w:themeColor="text1"/>
                          <w:sz w:val="22"/>
                          <w:szCs w:val="22"/>
                        </w:rPr>
                      </w:pPr>
                      <w:r w:rsidRPr="001A0D29">
                        <w:rPr>
                          <w:rFonts w:ascii="Arial" w:hAnsi="Arial" w:cs="Arial"/>
                          <w:color w:val="000000" w:themeColor="text1"/>
                          <w:sz w:val="22"/>
                          <w:szCs w:val="22"/>
                        </w:rPr>
                        <w:t xml:space="preserve">17 learners completed the two bootcamps, with all gaining a </w:t>
                      </w:r>
                      <w:r w:rsidR="0034217E">
                        <w:rPr>
                          <w:rFonts w:ascii="Arial" w:hAnsi="Arial" w:cs="Arial"/>
                          <w:color w:val="000000" w:themeColor="text1"/>
                          <w:sz w:val="22"/>
                          <w:szCs w:val="22"/>
                        </w:rPr>
                        <w:t>L</w:t>
                      </w:r>
                      <w:r w:rsidRPr="001A0D29">
                        <w:rPr>
                          <w:rFonts w:ascii="Arial" w:hAnsi="Arial" w:cs="Arial"/>
                          <w:color w:val="000000" w:themeColor="text1"/>
                          <w:sz w:val="22"/>
                          <w:szCs w:val="22"/>
                        </w:rPr>
                        <w:t xml:space="preserve">evel 1 in Health &amp; Safety and passing the CSCS test. 11 participants went on to secure </w:t>
                      </w:r>
                      <w:r w:rsidR="008B77D7">
                        <w:rPr>
                          <w:rFonts w:ascii="Arial" w:hAnsi="Arial" w:cs="Arial"/>
                          <w:color w:val="000000" w:themeColor="text1"/>
                          <w:sz w:val="22"/>
                          <w:szCs w:val="22"/>
                        </w:rPr>
                        <w:t>ongoing</w:t>
                      </w:r>
                      <w:r w:rsidRPr="001A0D29">
                        <w:rPr>
                          <w:rFonts w:ascii="Arial" w:hAnsi="Arial" w:cs="Arial"/>
                          <w:color w:val="000000" w:themeColor="text1"/>
                          <w:sz w:val="22"/>
                          <w:szCs w:val="22"/>
                        </w:rPr>
                        <w:t xml:space="preserve"> employment</w:t>
                      </w:r>
                      <w:r w:rsidR="008B77D7">
                        <w:rPr>
                          <w:rFonts w:ascii="Arial" w:hAnsi="Arial" w:cs="Arial"/>
                          <w:color w:val="000000" w:themeColor="text1"/>
                          <w:sz w:val="22"/>
                          <w:szCs w:val="22"/>
                        </w:rPr>
                        <w:t xml:space="preserve">, eight of whom were employed </w:t>
                      </w:r>
                      <w:r w:rsidRPr="001A0D29">
                        <w:rPr>
                          <w:rFonts w:ascii="Arial" w:hAnsi="Arial" w:cs="Arial"/>
                          <w:color w:val="000000" w:themeColor="text1"/>
                          <w:sz w:val="22"/>
                          <w:szCs w:val="22"/>
                        </w:rPr>
                        <w:t>in the</w:t>
                      </w:r>
                      <w:r w:rsidR="008B77D7">
                        <w:rPr>
                          <w:rFonts w:ascii="Arial" w:hAnsi="Arial" w:cs="Arial"/>
                          <w:color w:val="000000" w:themeColor="text1"/>
                          <w:sz w:val="22"/>
                          <w:szCs w:val="22"/>
                        </w:rPr>
                        <w:t xml:space="preserve"> </w:t>
                      </w:r>
                      <w:r w:rsidRPr="001A0D29">
                        <w:rPr>
                          <w:rFonts w:ascii="Arial" w:hAnsi="Arial" w:cs="Arial"/>
                          <w:color w:val="000000" w:themeColor="text1"/>
                          <w:sz w:val="22"/>
                          <w:szCs w:val="22"/>
                        </w:rPr>
                        <w:t xml:space="preserve">construction </w:t>
                      </w:r>
                      <w:r w:rsidR="008B77D7">
                        <w:rPr>
                          <w:rFonts w:ascii="Arial" w:hAnsi="Arial" w:cs="Arial"/>
                          <w:color w:val="000000" w:themeColor="text1"/>
                          <w:sz w:val="22"/>
                          <w:szCs w:val="22"/>
                        </w:rPr>
                        <w:t>sector</w:t>
                      </w:r>
                      <w:bookmarkStart w:id="5" w:name="_GoBack"/>
                      <w:bookmarkEnd w:id="5"/>
                      <w:r w:rsidRPr="001A0D29">
                        <w:rPr>
                          <w:rFonts w:ascii="Arial" w:hAnsi="Arial" w:cs="Arial"/>
                          <w:color w:val="000000" w:themeColor="text1"/>
                          <w:sz w:val="22"/>
                          <w:szCs w:val="22"/>
                        </w:rPr>
                        <w:t xml:space="preserve">. Crucially, this pilot has highlighted the need for increased accredited training, apprenticeships and </w:t>
                      </w:r>
                      <w:r w:rsidR="001A0D29" w:rsidRPr="001A0D29">
                        <w:rPr>
                          <w:rFonts w:ascii="Arial" w:hAnsi="Arial" w:cs="Arial"/>
                          <w:color w:val="000000" w:themeColor="text1"/>
                          <w:sz w:val="22"/>
                          <w:szCs w:val="22"/>
                        </w:rPr>
                        <w:t>entry-level opportunities in the rapidly growing green construction sector.</w:t>
                      </w:r>
                      <w:r w:rsidRPr="001A0D29">
                        <w:rPr>
                          <w:rFonts w:ascii="Arial" w:hAnsi="Arial" w:cs="Arial"/>
                          <w:color w:val="000000" w:themeColor="text1"/>
                          <w:sz w:val="22"/>
                          <w:szCs w:val="22"/>
                        </w:rPr>
                        <w:t xml:space="preserve"> </w:t>
                      </w:r>
                      <w:bookmarkEnd w:id="3"/>
                      <w:bookmarkEnd w:id="4"/>
                    </w:p>
                  </w:txbxContent>
                </v:textbox>
                <w10:wrap anchorx="margin"/>
              </v:rect>
            </w:pict>
          </mc:Fallback>
        </mc:AlternateContent>
      </w:r>
    </w:p>
    <w:p w14:paraId="6735D266" w14:textId="26B78CCA" w:rsidR="006535AD" w:rsidRDefault="006535AD" w:rsidP="009A3050">
      <w:pPr>
        <w:rPr>
          <w:rFonts w:ascii="Arial" w:hAnsi="Arial" w:cs="Arial"/>
        </w:rPr>
      </w:pPr>
    </w:p>
    <w:p w14:paraId="1A9BDB5C" w14:textId="46BD765F" w:rsidR="006535AD" w:rsidRDefault="006535AD" w:rsidP="009A3050">
      <w:pPr>
        <w:rPr>
          <w:rFonts w:ascii="Arial" w:hAnsi="Arial" w:cs="Arial"/>
        </w:rPr>
      </w:pPr>
    </w:p>
    <w:p w14:paraId="3BC5CDEB" w14:textId="3DC70624" w:rsidR="006535AD" w:rsidRDefault="006535AD" w:rsidP="009A3050">
      <w:pPr>
        <w:rPr>
          <w:rFonts w:ascii="Arial" w:hAnsi="Arial" w:cs="Arial"/>
        </w:rPr>
      </w:pPr>
    </w:p>
    <w:p w14:paraId="06145E2D" w14:textId="7A4CCF1A" w:rsidR="006535AD" w:rsidRDefault="006535AD" w:rsidP="009A3050">
      <w:pPr>
        <w:rPr>
          <w:rFonts w:ascii="Arial" w:hAnsi="Arial" w:cs="Arial"/>
        </w:rPr>
      </w:pPr>
    </w:p>
    <w:p w14:paraId="4383610D" w14:textId="0C50485A" w:rsidR="006535AD" w:rsidRDefault="006535AD" w:rsidP="009A3050">
      <w:pPr>
        <w:rPr>
          <w:rFonts w:ascii="Arial" w:hAnsi="Arial" w:cs="Arial"/>
        </w:rPr>
      </w:pPr>
    </w:p>
    <w:p w14:paraId="01C268A9" w14:textId="38D9AB47" w:rsidR="006535AD" w:rsidRDefault="006535AD" w:rsidP="009A3050">
      <w:pPr>
        <w:rPr>
          <w:rFonts w:ascii="Arial" w:hAnsi="Arial" w:cs="Arial"/>
        </w:rPr>
      </w:pPr>
    </w:p>
    <w:p w14:paraId="1D9E8F11" w14:textId="1D4B2C81" w:rsidR="006535AD" w:rsidRDefault="006535AD" w:rsidP="009A3050">
      <w:pPr>
        <w:rPr>
          <w:rFonts w:ascii="Arial" w:hAnsi="Arial" w:cs="Arial"/>
        </w:rPr>
      </w:pPr>
    </w:p>
    <w:p w14:paraId="3870BBEE" w14:textId="19CBB9A4" w:rsidR="006535AD" w:rsidRDefault="006535AD" w:rsidP="009A3050">
      <w:pPr>
        <w:rPr>
          <w:rFonts w:ascii="Arial" w:hAnsi="Arial" w:cs="Arial"/>
        </w:rPr>
      </w:pPr>
    </w:p>
    <w:p w14:paraId="393763A4" w14:textId="55C489F5" w:rsidR="006535AD" w:rsidRDefault="006535AD" w:rsidP="004F62A4">
      <w:pPr>
        <w:rPr>
          <w:rFonts w:ascii="Arial" w:hAnsi="Arial" w:cs="Arial"/>
          <w:b/>
          <w:sz w:val="24"/>
        </w:rPr>
      </w:pPr>
    </w:p>
    <w:p w14:paraId="365C40C3" w14:textId="77777777" w:rsidR="001A0D29" w:rsidRDefault="001A0D29" w:rsidP="004F62A4">
      <w:pPr>
        <w:rPr>
          <w:rFonts w:ascii="Arial" w:hAnsi="Arial" w:cs="Arial"/>
          <w:b/>
          <w:sz w:val="24"/>
        </w:rPr>
      </w:pPr>
    </w:p>
    <w:p w14:paraId="685C2EDD" w14:textId="77777777" w:rsidR="00EB29AE" w:rsidRDefault="00EB29AE" w:rsidP="004F62A4">
      <w:pPr>
        <w:rPr>
          <w:rFonts w:ascii="Arial" w:hAnsi="Arial" w:cs="Arial"/>
          <w:b/>
          <w:sz w:val="24"/>
        </w:rPr>
      </w:pPr>
    </w:p>
    <w:p w14:paraId="1D4E858B" w14:textId="489DCA06" w:rsidR="006535AD" w:rsidRPr="00153BAC" w:rsidRDefault="004F62A4" w:rsidP="004F62A4">
      <w:pPr>
        <w:rPr>
          <w:rFonts w:ascii="Arial" w:hAnsi="Arial" w:cs="Arial"/>
          <w:b/>
          <w:sz w:val="24"/>
        </w:rPr>
      </w:pPr>
      <w:r w:rsidRPr="00153BAC">
        <w:rPr>
          <w:rFonts w:ascii="Arial" w:hAnsi="Arial" w:cs="Arial"/>
          <w:b/>
          <w:sz w:val="24"/>
        </w:rPr>
        <w:t>Top priority activities/services to support residents into employment</w:t>
      </w:r>
    </w:p>
    <w:p w14:paraId="54987EE0" w14:textId="57761D4B" w:rsidR="004F62A4" w:rsidRDefault="004F62A4" w:rsidP="004F62A4">
      <w:pPr>
        <w:rPr>
          <w:rFonts w:ascii="Arial" w:hAnsi="Arial" w:cs="Arial"/>
        </w:rPr>
      </w:pPr>
      <w:r w:rsidRPr="004F62A4">
        <w:rPr>
          <w:rFonts w:ascii="Arial" w:hAnsi="Arial" w:cs="Arial"/>
        </w:rPr>
        <w:t xml:space="preserve">London Councils asked boroughs what their top three priority activities/services to support residents into employment would </w:t>
      </w:r>
      <w:r w:rsidR="002550D0" w:rsidRPr="004F62A4">
        <w:rPr>
          <w:rFonts w:ascii="Arial" w:hAnsi="Arial" w:cs="Arial"/>
        </w:rPr>
        <w:t>be if</w:t>
      </w:r>
      <w:r w:rsidRPr="004F62A4">
        <w:rPr>
          <w:rFonts w:ascii="Arial" w:hAnsi="Arial" w:cs="Arial"/>
        </w:rPr>
        <w:t xml:space="preserve"> they had the funding.</w:t>
      </w:r>
      <w:r w:rsidR="00445235">
        <w:rPr>
          <w:rFonts w:ascii="Arial" w:hAnsi="Arial" w:cs="Arial"/>
        </w:rPr>
        <w:t xml:space="preserve"> </w:t>
      </w:r>
      <w:r w:rsidRPr="004F62A4">
        <w:rPr>
          <w:rFonts w:ascii="Arial" w:hAnsi="Arial" w:cs="Arial"/>
        </w:rPr>
        <w:t xml:space="preserve">Interestingly, while boroughs were given the opportunity to mention any priority areas related to employment and skills, there was a lot of </w:t>
      </w:r>
      <w:r w:rsidR="002550D0" w:rsidRPr="004F62A4">
        <w:rPr>
          <w:rFonts w:ascii="Arial" w:hAnsi="Arial" w:cs="Arial"/>
        </w:rPr>
        <w:t>commonalit</w:t>
      </w:r>
      <w:r w:rsidR="002943BC">
        <w:rPr>
          <w:rFonts w:ascii="Arial" w:hAnsi="Arial" w:cs="Arial"/>
        </w:rPr>
        <w:t>y</w:t>
      </w:r>
      <w:r w:rsidRPr="004F62A4">
        <w:rPr>
          <w:rFonts w:ascii="Arial" w:hAnsi="Arial" w:cs="Arial"/>
        </w:rPr>
        <w:t xml:space="preserve"> in their answers. </w:t>
      </w:r>
    </w:p>
    <w:p w14:paraId="7AAB6D25" w14:textId="354419EE" w:rsidR="00342C9F" w:rsidRDefault="001C10C2" w:rsidP="004F62A4">
      <w:pPr>
        <w:rPr>
          <w:rFonts w:ascii="Arial" w:hAnsi="Arial" w:cs="Arial"/>
        </w:rPr>
      </w:pPr>
      <w:r>
        <w:rPr>
          <w:rFonts w:ascii="Arial" w:hAnsi="Arial" w:cs="Arial"/>
        </w:rPr>
        <w:t xml:space="preserve">Similar to responses in 2021/22, many boroughs indicated that their </w:t>
      </w:r>
      <w:r w:rsidR="00342C9F">
        <w:rPr>
          <w:rFonts w:ascii="Arial" w:hAnsi="Arial" w:cs="Arial"/>
        </w:rPr>
        <w:t>priority area</w:t>
      </w:r>
      <w:r>
        <w:rPr>
          <w:rFonts w:ascii="Arial" w:hAnsi="Arial" w:cs="Arial"/>
        </w:rPr>
        <w:t xml:space="preserve"> would</w:t>
      </w:r>
      <w:r w:rsidR="00342C9F">
        <w:rPr>
          <w:rFonts w:ascii="Arial" w:hAnsi="Arial" w:cs="Arial"/>
        </w:rPr>
        <w:t xml:space="preserve"> focus on developing a</w:t>
      </w:r>
      <w:r>
        <w:rPr>
          <w:rFonts w:ascii="Arial" w:hAnsi="Arial" w:cs="Arial"/>
        </w:rPr>
        <w:t xml:space="preserve"> wider</w:t>
      </w:r>
      <w:r w:rsidR="00342C9F">
        <w:rPr>
          <w:rFonts w:ascii="Arial" w:hAnsi="Arial" w:cs="Arial"/>
        </w:rPr>
        <w:t xml:space="preserve"> ‘No Wrong Door’ approach to the delivery of employment and skills services in the boroughs via better integration and co-operation between local stakeholders.</w:t>
      </w:r>
      <w:r w:rsidR="00650D8F">
        <w:rPr>
          <w:rFonts w:ascii="Arial" w:hAnsi="Arial" w:cs="Arial"/>
        </w:rPr>
        <w:t xml:space="preserve"> </w:t>
      </w:r>
      <w:r w:rsidR="00B9147E">
        <w:rPr>
          <w:rFonts w:ascii="Arial" w:hAnsi="Arial" w:cs="Arial"/>
        </w:rPr>
        <w:t>For instance, some borough respondents highlighted the need for</w:t>
      </w:r>
      <w:r w:rsidR="00650D8F">
        <w:rPr>
          <w:rFonts w:ascii="Arial" w:hAnsi="Arial" w:cs="Arial"/>
        </w:rPr>
        <w:t xml:space="preserve"> greater co-location with other </w:t>
      </w:r>
      <w:r w:rsidR="00B9147E">
        <w:rPr>
          <w:rFonts w:ascii="Arial" w:hAnsi="Arial" w:cs="Arial"/>
        </w:rPr>
        <w:t xml:space="preserve">borough services such as housing, skills, welfare and mental health to provide wrap-around support to </w:t>
      </w:r>
      <w:r w:rsidR="00440CF0">
        <w:rPr>
          <w:rFonts w:ascii="Arial" w:hAnsi="Arial" w:cs="Arial"/>
        </w:rPr>
        <w:t>residents</w:t>
      </w:r>
      <w:r w:rsidR="0087389F">
        <w:rPr>
          <w:rFonts w:ascii="Arial" w:hAnsi="Arial" w:cs="Arial"/>
        </w:rPr>
        <w:t xml:space="preserve"> in libraries, community hubs, and social prescribing settings. </w:t>
      </w:r>
    </w:p>
    <w:p w14:paraId="26928350" w14:textId="40FCD6D4" w:rsidR="0087389F" w:rsidRDefault="0087389F" w:rsidP="004F62A4">
      <w:pPr>
        <w:rPr>
          <w:rFonts w:ascii="Arial" w:hAnsi="Arial" w:cs="Arial"/>
        </w:rPr>
      </w:pPr>
      <w:r>
        <w:rPr>
          <w:rFonts w:ascii="Arial" w:hAnsi="Arial" w:cs="Arial"/>
        </w:rPr>
        <w:t>Another</w:t>
      </w:r>
      <w:r w:rsidR="0055141E">
        <w:rPr>
          <w:rFonts w:ascii="Arial" w:hAnsi="Arial" w:cs="Arial"/>
        </w:rPr>
        <w:t xml:space="preserve"> priority which was shared by many boroughs centred on deepening work with employers. Given the funding, they would work with employers in broader and more </w:t>
      </w:r>
      <w:r w:rsidR="0055141E">
        <w:rPr>
          <w:rFonts w:ascii="Arial" w:hAnsi="Arial" w:cs="Arial"/>
        </w:rPr>
        <w:lastRenderedPageBreak/>
        <w:t xml:space="preserve">emerging industries to develop programmes focused on growth sectors, with flexible and good work principles built in. For some boroughs, this included working with employers to provide subsidised internships and work experience in high growth sectors too. With employers more generally, boroughs would like to collaborate to engage the hardest to reach communities and the economically inactive, </w:t>
      </w:r>
      <w:r w:rsidR="00440CF0">
        <w:rPr>
          <w:rFonts w:ascii="Arial" w:hAnsi="Arial" w:cs="Arial"/>
        </w:rPr>
        <w:t>using more employer levers such as pre-employment</w:t>
      </w:r>
      <w:r w:rsidR="000145CB">
        <w:rPr>
          <w:rFonts w:ascii="Arial" w:hAnsi="Arial" w:cs="Arial"/>
        </w:rPr>
        <w:t xml:space="preserve"> and </w:t>
      </w:r>
      <w:r w:rsidR="00440CF0">
        <w:rPr>
          <w:rFonts w:ascii="Arial" w:hAnsi="Arial" w:cs="Arial"/>
        </w:rPr>
        <w:t>pre-apprenticeship programmes</w:t>
      </w:r>
      <w:r w:rsidR="000145CB">
        <w:rPr>
          <w:rFonts w:ascii="Arial" w:hAnsi="Arial" w:cs="Arial"/>
        </w:rPr>
        <w:t xml:space="preserve">, and guaranteed interviews to support emerging groups. </w:t>
      </w:r>
    </w:p>
    <w:p w14:paraId="259A517A" w14:textId="7A7F2E6D" w:rsidR="007E3DA3" w:rsidRDefault="005D3324" w:rsidP="004F62A4">
      <w:pPr>
        <w:rPr>
          <w:rFonts w:ascii="Arial" w:hAnsi="Arial" w:cs="Arial"/>
        </w:rPr>
      </w:pPr>
      <w:r>
        <w:rPr>
          <w:rFonts w:ascii="Arial" w:hAnsi="Arial" w:cs="Arial"/>
        </w:rPr>
        <w:t xml:space="preserve">Another key area for boroughs was supporting residents </w:t>
      </w:r>
      <w:r w:rsidR="00440CF0">
        <w:rPr>
          <w:rFonts w:ascii="Arial" w:hAnsi="Arial" w:cs="Arial"/>
        </w:rPr>
        <w:t xml:space="preserve">to improve their skills and get onto higher level courses in </w:t>
      </w:r>
      <w:r>
        <w:rPr>
          <w:rFonts w:ascii="Arial" w:hAnsi="Arial" w:cs="Arial"/>
        </w:rPr>
        <w:t>growing</w:t>
      </w:r>
      <w:r w:rsidR="00440CF0">
        <w:rPr>
          <w:rFonts w:ascii="Arial" w:hAnsi="Arial" w:cs="Arial"/>
        </w:rPr>
        <w:t xml:space="preserve"> </w:t>
      </w:r>
      <w:r>
        <w:rPr>
          <w:rFonts w:ascii="Arial" w:hAnsi="Arial" w:cs="Arial"/>
        </w:rPr>
        <w:t>sectors</w:t>
      </w:r>
      <w:r w:rsidR="00440CF0">
        <w:rPr>
          <w:rFonts w:ascii="Arial" w:hAnsi="Arial" w:cs="Arial"/>
        </w:rPr>
        <w:t xml:space="preserve">. </w:t>
      </w:r>
      <w:r w:rsidR="00BC47C4">
        <w:rPr>
          <w:rFonts w:ascii="Arial" w:hAnsi="Arial" w:cs="Arial"/>
        </w:rPr>
        <w:t xml:space="preserve"> Examples included green jobs, </w:t>
      </w:r>
      <w:r w:rsidR="007D65F2">
        <w:rPr>
          <w:rFonts w:ascii="Arial" w:hAnsi="Arial" w:cs="Arial"/>
        </w:rPr>
        <w:t xml:space="preserve">health and social care, hospitality, </w:t>
      </w:r>
      <w:r w:rsidR="0040716E">
        <w:rPr>
          <w:rFonts w:ascii="Arial" w:hAnsi="Arial" w:cs="Arial"/>
        </w:rPr>
        <w:t xml:space="preserve">the </w:t>
      </w:r>
      <w:r w:rsidR="007D65F2">
        <w:rPr>
          <w:rFonts w:ascii="Arial" w:hAnsi="Arial" w:cs="Arial"/>
        </w:rPr>
        <w:t xml:space="preserve">digital and creative sectors, as well as training residents to </w:t>
      </w:r>
      <w:r w:rsidR="002D3202">
        <w:rPr>
          <w:rFonts w:ascii="Arial" w:hAnsi="Arial" w:cs="Arial"/>
        </w:rPr>
        <w:t>retrofit engineers</w:t>
      </w:r>
      <w:r w:rsidR="007D65F2">
        <w:rPr>
          <w:rFonts w:ascii="Arial" w:hAnsi="Arial" w:cs="Arial"/>
        </w:rPr>
        <w:t>.</w:t>
      </w:r>
      <w:r w:rsidR="002B422C">
        <w:rPr>
          <w:rFonts w:ascii="Arial" w:hAnsi="Arial" w:cs="Arial"/>
        </w:rPr>
        <w:t xml:space="preserve"> For </w:t>
      </w:r>
      <w:r w:rsidR="00514F27">
        <w:rPr>
          <w:rFonts w:ascii="Arial" w:hAnsi="Arial" w:cs="Arial"/>
        </w:rPr>
        <w:t>other</w:t>
      </w:r>
      <w:r w:rsidR="002B422C">
        <w:rPr>
          <w:rFonts w:ascii="Arial" w:hAnsi="Arial" w:cs="Arial"/>
        </w:rPr>
        <w:t xml:space="preserve"> boroughs </w:t>
      </w:r>
      <w:r w:rsidR="002D3202">
        <w:rPr>
          <w:rFonts w:ascii="Arial" w:hAnsi="Arial" w:cs="Arial"/>
        </w:rPr>
        <w:t>skills development focused on basic skills, such as improving ESOL provision and developing more modular learning for IT courses</w:t>
      </w:r>
      <w:r w:rsidR="00514F27">
        <w:rPr>
          <w:rFonts w:ascii="Arial" w:hAnsi="Arial" w:cs="Arial"/>
        </w:rPr>
        <w:t xml:space="preserve">. Improving pathways into higher paid work was a core priority, and skills was often pointed to as the founding stone for this. </w:t>
      </w:r>
    </w:p>
    <w:p w14:paraId="47C9C738" w14:textId="16715200" w:rsidR="000145CB" w:rsidRDefault="00514F27" w:rsidP="001B1F58">
      <w:pPr>
        <w:rPr>
          <w:rFonts w:ascii="Arial" w:hAnsi="Arial" w:cs="Arial"/>
        </w:rPr>
      </w:pPr>
      <w:r>
        <w:rPr>
          <w:rFonts w:ascii="Arial" w:hAnsi="Arial" w:cs="Arial"/>
        </w:rPr>
        <w:t xml:space="preserve">Boroughs would like to improve pathways into higher paid work, and also ensure that this growth is inclusive, with a focus on in-work support and progression. Some suggested that, given the funding, they would ideally have this </w:t>
      </w:r>
      <w:r w:rsidR="000145CB">
        <w:rPr>
          <w:rFonts w:ascii="Arial" w:hAnsi="Arial" w:cs="Arial"/>
        </w:rPr>
        <w:t xml:space="preserve">work </w:t>
      </w:r>
      <w:r>
        <w:rPr>
          <w:rFonts w:ascii="Arial" w:hAnsi="Arial" w:cs="Arial"/>
        </w:rPr>
        <w:t xml:space="preserve">fully devolved and delivered by councils. </w:t>
      </w:r>
      <w:r w:rsidR="000145CB">
        <w:rPr>
          <w:rFonts w:ascii="Arial" w:hAnsi="Arial" w:cs="Arial"/>
        </w:rPr>
        <w:t>As part of this, boroughs could prioritise identifying the disadvantaged groups in their area and developing tailored programmes to close these employment gaps. Closely linked to this, some boroughs</w:t>
      </w:r>
      <w:r w:rsidR="00D57BFB">
        <w:rPr>
          <w:rFonts w:ascii="Arial" w:hAnsi="Arial" w:cs="Arial"/>
        </w:rPr>
        <w:t xml:space="preserve"> stated that their priority would be to better coordinate and understand the 18-25 funding landscape across agencies, and to potentially then develop more provision locally.</w:t>
      </w:r>
    </w:p>
    <w:p w14:paraId="38F9027C" w14:textId="4F85B17C" w:rsidR="0049051B" w:rsidRDefault="0049051B" w:rsidP="001B1F58">
      <w:pPr>
        <w:rPr>
          <w:rFonts w:ascii="Arial" w:hAnsi="Arial" w:cs="Arial"/>
        </w:rPr>
      </w:pPr>
      <w:r>
        <w:rPr>
          <w:rFonts w:ascii="Arial" w:hAnsi="Arial" w:cs="Arial"/>
        </w:rPr>
        <w:t xml:space="preserve">Strikingly, the overwhelming priority of boroughs to support residents into employment in the 2022/23 survey was merely having the funding to continue employment support programmes when ESF and other grant funding comes to an end. Shutdown of current programmes only to commission new ones creates a disjointed and uncertain experience for residents, which can often serve to deter them from engaging with the system at all. With the UK due to lose its access to ESF at the end of 2023, it is clear that boroughs will find themselves with multiple gaps as provision winds down with no alternative. </w:t>
      </w:r>
      <w:r w:rsidR="00785DE0">
        <w:rPr>
          <w:rFonts w:ascii="Arial" w:hAnsi="Arial" w:cs="Arial"/>
        </w:rPr>
        <w:t>The recent government announcement to bring forward UKSPF to 2022-23 may provide some temporary relief for borough employment services.</w:t>
      </w:r>
    </w:p>
    <w:p w14:paraId="66016193" w14:textId="56F6C480" w:rsidR="00D255D4" w:rsidRDefault="00FD4853" w:rsidP="004F62A4">
      <w:pPr>
        <w:rPr>
          <w:rFonts w:ascii="Arial" w:hAnsi="Arial" w:cs="Arial"/>
        </w:rPr>
      </w:pPr>
      <w:r>
        <w:rPr>
          <w:rFonts w:ascii="Arial" w:hAnsi="Arial" w:cs="Arial"/>
          <w:noProof/>
          <w:sz w:val="20"/>
        </w:rPr>
        <mc:AlternateContent>
          <mc:Choice Requires="wps">
            <w:drawing>
              <wp:anchor distT="0" distB="0" distL="114300" distR="114300" simplePos="0" relativeHeight="251661312" behindDoc="0" locked="0" layoutInCell="1" allowOverlap="1" wp14:anchorId="2DCC5FE1" wp14:editId="3EDB89AC">
                <wp:simplePos x="0" y="0"/>
                <wp:positionH relativeFrom="margin">
                  <wp:posOffset>-66675</wp:posOffset>
                </wp:positionH>
                <wp:positionV relativeFrom="paragraph">
                  <wp:posOffset>10795</wp:posOffset>
                </wp:positionV>
                <wp:extent cx="5819775" cy="319087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5819775" cy="3190875"/>
                        </a:xfrm>
                        <a:prstGeom prst="rect">
                          <a:avLst/>
                        </a:prstGeom>
                        <a:solidFill>
                          <a:srgbClr val="CC66FF"/>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F0511DA" w14:textId="77777777" w:rsidR="00A56CE8" w:rsidRDefault="000B3D7D" w:rsidP="00A01564">
                            <w:pPr>
                              <w:pStyle w:val="NormalWeb"/>
                              <w:spacing w:before="0" w:beforeAutospacing="0" w:after="0" w:afterAutospacing="0"/>
                              <w:rPr>
                                <w:rFonts w:ascii="Arial" w:hAnsi="Arial" w:cs="Arial"/>
                                <w:b/>
                                <w:bCs/>
                                <w:color w:val="000000" w:themeColor="text1"/>
                                <w:sz w:val="22"/>
                                <w:szCs w:val="22"/>
                              </w:rPr>
                            </w:pPr>
                            <w:r w:rsidRPr="00100503">
                              <w:rPr>
                                <w:rFonts w:ascii="Arial" w:hAnsi="Arial" w:cs="Arial"/>
                                <w:b/>
                                <w:bCs/>
                                <w:color w:val="000000" w:themeColor="text1"/>
                                <w:sz w:val="22"/>
                                <w:szCs w:val="22"/>
                              </w:rPr>
                              <w:t xml:space="preserve">Case study: </w:t>
                            </w:r>
                            <w:r w:rsidR="00FD4853">
                              <w:rPr>
                                <w:rFonts w:ascii="Arial" w:hAnsi="Arial" w:cs="Arial"/>
                                <w:b/>
                                <w:bCs/>
                                <w:color w:val="000000" w:themeColor="text1"/>
                                <w:sz w:val="22"/>
                                <w:szCs w:val="22"/>
                              </w:rPr>
                              <w:t xml:space="preserve">LB Lambeth </w:t>
                            </w:r>
                            <w:r w:rsidR="00A56CE8">
                              <w:rPr>
                                <w:rFonts w:ascii="Arial" w:hAnsi="Arial" w:cs="Arial"/>
                                <w:b/>
                                <w:bCs/>
                                <w:color w:val="000000" w:themeColor="text1"/>
                                <w:sz w:val="22"/>
                                <w:szCs w:val="22"/>
                              </w:rPr>
                              <w:t>Steps to Success Programme</w:t>
                            </w:r>
                          </w:p>
                          <w:p w14:paraId="217B705C" w14:textId="77777777" w:rsidR="00A56CE8" w:rsidRDefault="00A56CE8" w:rsidP="00A01564">
                            <w:pPr>
                              <w:pStyle w:val="NormalWeb"/>
                              <w:spacing w:before="0" w:beforeAutospacing="0" w:after="0" w:afterAutospacing="0"/>
                              <w:rPr>
                                <w:rFonts w:ascii="Arial" w:hAnsi="Arial" w:cs="Arial"/>
                                <w:b/>
                                <w:bCs/>
                                <w:color w:val="000000" w:themeColor="text1"/>
                                <w:sz w:val="22"/>
                                <w:szCs w:val="22"/>
                              </w:rPr>
                            </w:pPr>
                          </w:p>
                          <w:p w14:paraId="4C4B989C" w14:textId="1DD0CCA8" w:rsidR="00A4089E" w:rsidRDefault="00A56CE8" w:rsidP="00A01564">
                            <w:pPr>
                              <w:pStyle w:val="NormalWeb"/>
                              <w:spacing w:before="0" w:beforeAutospacing="0" w:after="0" w:afterAutospacing="0"/>
                              <w:rPr>
                                <w:rFonts w:ascii="Arial" w:hAnsi="Arial" w:cs="Arial"/>
                                <w:color w:val="000000" w:themeColor="text1"/>
                                <w:sz w:val="22"/>
                                <w:szCs w:val="22"/>
                              </w:rPr>
                            </w:pPr>
                            <w:r w:rsidRPr="00100503">
                              <w:rPr>
                                <w:rFonts w:ascii="Arial" w:hAnsi="Arial" w:cs="Arial"/>
                                <w:color w:val="000000" w:themeColor="text1"/>
                                <w:sz w:val="22"/>
                                <w:szCs w:val="22"/>
                              </w:rPr>
                              <w:t xml:space="preserve">LB Lambeth </w:t>
                            </w:r>
                            <w:r w:rsidR="0034217E">
                              <w:rPr>
                                <w:rFonts w:ascii="Arial" w:hAnsi="Arial" w:cs="Arial"/>
                                <w:color w:val="000000" w:themeColor="text1"/>
                                <w:sz w:val="22"/>
                                <w:szCs w:val="22"/>
                              </w:rPr>
                              <w:t>is</w:t>
                            </w:r>
                            <w:r w:rsidRPr="00100503">
                              <w:rPr>
                                <w:rFonts w:ascii="Arial" w:hAnsi="Arial" w:cs="Arial"/>
                                <w:color w:val="000000" w:themeColor="text1"/>
                                <w:sz w:val="22"/>
                                <w:szCs w:val="22"/>
                              </w:rPr>
                              <w:t xml:space="preserve"> working closely with employers such as Lloyds, John Lewis, and NHS to provide work experience and other-work related opportunities for care-experienced young people within the borough, including young unaccompanied refugees within no </w:t>
                            </w:r>
                            <w:r w:rsidR="00A4089E" w:rsidRPr="00100503">
                              <w:rPr>
                                <w:rFonts w:ascii="Arial" w:hAnsi="Arial" w:cs="Arial"/>
                                <w:color w:val="000000" w:themeColor="text1"/>
                                <w:sz w:val="22"/>
                                <w:szCs w:val="22"/>
                              </w:rPr>
                              <w:t xml:space="preserve">recourse to public funds. </w:t>
                            </w:r>
                          </w:p>
                          <w:p w14:paraId="770796CB" w14:textId="77777777" w:rsidR="00A4089E" w:rsidRDefault="00A4089E" w:rsidP="00A01564">
                            <w:pPr>
                              <w:pStyle w:val="NormalWeb"/>
                              <w:spacing w:before="0" w:beforeAutospacing="0" w:after="0" w:afterAutospacing="0"/>
                              <w:rPr>
                                <w:rFonts w:ascii="Arial" w:hAnsi="Arial" w:cs="Arial"/>
                                <w:color w:val="000000" w:themeColor="text1"/>
                                <w:sz w:val="22"/>
                                <w:szCs w:val="22"/>
                              </w:rPr>
                            </w:pPr>
                          </w:p>
                          <w:p w14:paraId="1B5FAB13" w14:textId="6E4800ED" w:rsidR="00100503" w:rsidRDefault="00A4089E" w:rsidP="00A01564">
                            <w:pPr>
                              <w:pStyle w:val="NormalWeb"/>
                              <w:spacing w:before="0" w:beforeAutospacing="0" w:after="0" w:afterAutospacing="0"/>
                              <w:rPr>
                                <w:rFonts w:ascii="Arial" w:hAnsi="Arial" w:cs="Arial"/>
                                <w:color w:val="000000" w:themeColor="text1"/>
                                <w:sz w:val="22"/>
                                <w:szCs w:val="22"/>
                              </w:rPr>
                            </w:pPr>
                            <w:r>
                              <w:rPr>
                                <w:rFonts w:ascii="Arial" w:hAnsi="Arial" w:cs="Arial"/>
                                <w:color w:val="000000" w:themeColor="text1"/>
                                <w:sz w:val="22"/>
                                <w:szCs w:val="22"/>
                              </w:rPr>
                              <w:t xml:space="preserve">Personal advisers or social workers refer the young people to the programme where they take part in 1:1 support, mentoring and work experience. </w:t>
                            </w:r>
                            <w:r w:rsidRPr="00A4089E">
                              <w:rPr>
                                <w:rFonts w:ascii="Arial" w:hAnsi="Arial" w:cs="Arial"/>
                                <w:color w:val="000000" w:themeColor="text1"/>
                                <w:sz w:val="22"/>
                                <w:szCs w:val="22"/>
                              </w:rPr>
                              <w:t xml:space="preserve">Their educational background varies from having few or no formal school qualifications to graduate status. </w:t>
                            </w:r>
                            <w:r>
                              <w:rPr>
                                <w:rFonts w:ascii="Arial" w:hAnsi="Arial" w:cs="Arial"/>
                                <w:color w:val="000000" w:themeColor="text1"/>
                                <w:sz w:val="22"/>
                                <w:szCs w:val="22"/>
                              </w:rPr>
                              <w:t>The provider</w:t>
                            </w:r>
                            <w:r w:rsidRPr="00A4089E">
                              <w:rPr>
                                <w:rFonts w:ascii="Arial" w:hAnsi="Arial" w:cs="Arial"/>
                                <w:color w:val="000000" w:themeColor="text1"/>
                                <w:sz w:val="22"/>
                                <w:szCs w:val="22"/>
                              </w:rPr>
                              <w:t xml:space="preserve"> carries out the initial assessments, delivers the individual support and arranges the work experience and mentoring.</w:t>
                            </w:r>
                            <w:r>
                              <w:rPr>
                                <w:rFonts w:ascii="Arial" w:hAnsi="Arial" w:cs="Arial"/>
                                <w:b/>
                                <w:bCs/>
                                <w:color w:val="000000" w:themeColor="text1"/>
                                <w:sz w:val="22"/>
                                <w:szCs w:val="22"/>
                              </w:rPr>
                              <w:t xml:space="preserve"> </w:t>
                            </w:r>
                            <w:r>
                              <w:rPr>
                                <w:rFonts w:ascii="Arial" w:hAnsi="Arial" w:cs="Arial"/>
                                <w:color w:val="000000" w:themeColor="text1"/>
                                <w:sz w:val="22"/>
                                <w:szCs w:val="22"/>
                              </w:rPr>
                              <w:t>Aside from employer partnerships for work experience and related opportunities,</w:t>
                            </w:r>
                            <w:r w:rsidR="00100503">
                              <w:rPr>
                                <w:rFonts w:ascii="Arial" w:hAnsi="Arial" w:cs="Arial"/>
                                <w:color w:val="000000" w:themeColor="text1"/>
                                <w:sz w:val="22"/>
                                <w:szCs w:val="22"/>
                              </w:rPr>
                              <w:t xml:space="preserve"> the programme has also successfully reached out to a wide range of companies and organisations to source mentors in a variety of professions and seniority within their roles. All mentors are vetted thoroughly and provided with trauma training, before being matched with a young person. </w:t>
                            </w:r>
                          </w:p>
                          <w:p w14:paraId="7294FD87" w14:textId="77777777" w:rsidR="00100503" w:rsidRDefault="00100503" w:rsidP="00A01564">
                            <w:pPr>
                              <w:pStyle w:val="NormalWeb"/>
                              <w:spacing w:before="0" w:beforeAutospacing="0" w:after="0" w:afterAutospacing="0"/>
                              <w:rPr>
                                <w:rFonts w:ascii="Arial" w:hAnsi="Arial" w:cs="Arial"/>
                                <w:color w:val="000000" w:themeColor="text1"/>
                                <w:sz w:val="22"/>
                                <w:szCs w:val="22"/>
                              </w:rPr>
                            </w:pPr>
                          </w:p>
                          <w:p w14:paraId="61DDB774" w14:textId="49FD26B6" w:rsidR="000B3D7D" w:rsidRPr="00A4089E" w:rsidRDefault="00100503" w:rsidP="00A01564">
                            <w:pPr>
                              <w:pStyle w:val="NormalWeb"/>
                              <w:spacing w:before="0" w:beforeAutospacing="0" w:after="0" w:afterAutospacing="0"/>
                              <w:rPr>
                                <w:rFonts w:ascii="Arial" w:hAnsi="Arial" w:cs="Arial"/>
                                <w:b/>
                                <w:bCs/>
                                <w:color w:val="000000" w:themeColor="text1"/>
                                <w:sz w:val="22"/>
                                <w:szCs w:val="22"/>
                              </w:rPr>
                            </w:pPr>
                            <w:r>
                              <w:rPr>
                                <w:rFonts w:ascii="Arial" w:hAnsi="Arial" w:cs="Arial"/>
                                <w:color w:val="000000" w:themeColor="text1"/>
                                <w:sz w:val="22"/>
                                <w:szCs w:val="22"/>
                              </w:rPr>
                              <w:t xml:space="preserve">In the past year the programme has supported 131 participants and has had good feedback from mentors and mentees alike. </w:t>
                            </w:r>
                          </w:p>
                          <w:p w14:paraId="1462FF4A" w14:textId="34E8821D" w:rsidR="000A47F5" w:rsidRDefault="000A47F5" w:rsidP="00A01564">
                            <w:pPr>
                              <w:pStyle w:val="NormalWeb"/>
                              <w:spacing w:before="0" w:beforeAutospacing="0" w:after="0" w:afterAutospacing="0"/>
                              <w:rPr>
                                <w:rFonts w:ascii="Arial" w:hAnsi="Arial" w:cs="Arial"/>
                                <w:b/>
                                <w:bCs/>
                                <w:color w:val="000000" w:themeColor="text1"/>
                                <w:sz w:val="22"/>
                                <w:szCs w:val="22"/>
                              </w:rPr>
                            </w:pPr>
                          </w:p>
                          <w:p w14:paraId="56D47045" w14:textId="77777777" w:rsidR="000A47F5" w:rsidRPr="00BD57B6" w:rsidRDefault="000A47F5" w:rsidP="00A01564">
                            <w:pPr>
                              <w:pStyle w:val="NormalWeb"/>
                              <w:spacing w:before="0" w:beforeAutospacing="0" w:after="0" w:afterAutospacing="0"/>
                              <w:rPr>
                                <w:rFonts w:ascii="Arial" w:hAnsi="Arial" w:cs="Arial"/>
                                <w:b/>
                                <w:bCs/>
                                <w:color w:val="000000" w:themeColor="text1"/>
                                <w:sz w:val="22"/>
                                <w:szCs w:val="22"/>
                              </w:rPr>
                            </w:pPr>
                          </w:p>
                          <w:p w14:paraId="34B263A8" w14:textId="77777777" w:rsidR="000B3D7D" w:rsidRPr="00BD57B6" w:rsidRDefault="000B3D7D" w:rsidP="00A01564">
                            <w:pPr>
                              <w:pStyle w:val="NormalWeb"/>
                              <w:spacing w:before="0" w:beforeAutospacing="0" w:after="0" w:afterAutospacing="0"/>
                              <w:rPr>
                                <w:rFonts w:ascii="Arial" w:hAnsi="Arial" w:cs="Arial"/>
                                <w:color w:val="000000" w:themeColor="text1"/>
                                <w:sz w:val="22"/>
                                <w:szCs w:val="22"/>
                              </w:rPr>
                            </w:pPr>
                          </w:p>
                          <w:p w14:paraId="30E7F1C6" w14:textId="34D170B6" w:rsidR="000B3D7D" w:rsidRPr="001F4C4A" w:rsidRDefault="000B3D7D" w:rsidP="009E7289">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CC5FE1" id="Rectangle 9" o:spid="_x0000_s1028" style="position:absolute;margin-left:-5.25pt;margin-top:.85pt;width:458.25pt;height:251.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" fillcolor="#c6f" strokecolor="#7030a0" strokeweight="1pt">
                <v:textbox>
                  <w:txbxContent>
                    <w:p w14:paraId="3F0511DA" w14:textId="77777777" w:rsidR="00A56CE8" w:rsidRDefault="000B3D7D" w:rsidP="00A01564">
                      <w:pPr>
                        <w:pStyle w:val="NormalWeb"/>
                        <w:spacing w:before="0" w:beforeAutospacing="0" w:after="0" w:afterAutospacing="0"/>
                        <w:rPr>
                          <w:rFonts w:ascii="Arial" w:hAnsi="Arial" w:cs="Arial"/>
                          <w:b/>
                          <w:bCs/>
                          <w:color w:val="000000" w:themeColor="text1"/>
                          <w:sz w:val="22"/>
                          <w:szCs w:val="22"/>
                        </w:rPr>
                      </w:pPr>
                      <w:r w:rsidRPr="00100503">
                        <w:rPr>
                          <w:rFonts w:ascii="Arial" w:hAnsi="Arial" w:cs="Arial"/>
                          <w:b/>
                          <w:bCs/>
                          <w:color w:val="000000" w:themeColor="text1"/>
                          <w:sz w:val="22"/>
                          <w:szCs w:val="22"/>
                        </w:rPr>
                        <w:t xml:space="preserve">Case study: </w:t>
                      </w:r>
                      <w:r w:rsidR="00FD4853">
                        <w:rPr>
                          <w:rFonts w:ascii="Arial" w:hAnsi="Arial" w:cs="Arial"/>
                          <w:b/>
                          <w:bCs/>
                          <w:color w:val="000000" w:themeColor="text1"/>
                          <w:sz w:val="22"/>
                          <w:szCs w:val="22"/>
                        </w:rPr>
                        <w:t xml:space="preserve">LB Lambeth </w:t>
                      </w:r>
                      <w:r w:rsidR="00A56CE8">
                        <w:rPr>
                          <w:rFonts w:ascii="Arial" w:hAnsi="Arial" w:cs="Arial"/>
                          <w:b/>
                          <w:bCs/>
                          <w:color w:val="000000" w:themeColor="text1"/>
                          <w:sz w:val="22"/>
                          <w:szCs w:val="22"/>
                        </w:rPr>
                        <w:t>Steps to Success Programme</w:t>
                      </w:r>
                    </w:p>
                    <w:p w14:paraId="217B705C" w14:textId="77777777" w:rsidR="00A56CE8" w:rsidRDefault="00A56CE8" w:rsidP="00A01564">
                      <w:pPr>
                        <w:pStyle w:val="NormalWeb"/>
                        <w:spacing w:before="0" w:beforeAutospacing="0" w:after="0" w:afterAutospacing="0"/>
                        <w:rPr>
                          <w:rFonts w:ascii="Arial" w:hAnsi="Arial" w:cs="Arial"/>
                          <w:b/>
                          <w:bCs/>
                          <w:color w:val="000000" w:themeColor="text1"/>
                          <w:sz w:val="22"/>
                          <w:szCs w:val="22"/>
                        </w:rPr>
                      </w:pPr>
                    </w:p>
                    <w:p w14:paraId="4C4B989C" w14:textId="1DD0CCA8" w:rsidR="00A4089E" w:rsidRDefault="00A56CE8" w:rsidP="00A01564">
                      <w:pPr>
                        <w:pStyle w:val="NormalWeb"/>
                        <w:spacing w:before="0" w:beforeAutospacing="0" w:after="0" w:afterAutospacing="0"/>
                        <w:rPr>
                          <w:rFonts w:ascii="Arial" w:hAnsi="Arial" w:cs="Arial"/>
                          <w:color w:val="000000" w:themeColor="text1"/>
                          <w:sz w:val="22"/>
                          <w:szCs w:val="22"/>
                        </w:rPr>
                      </w:pPr>
                      <w:r w:rsidRPr="00100503">
                        <w:rPr>
                          <w:rFonts w:ascii="Arial" w:hAnsi="Arial" w:cs="Arial"/>
                          <w:color w:val="000000" w:themeColor="text1"/>
                          <w:sz w:val="22"/>
                          <w:szCs w:val="22"/>
                        </w:rPr>
                        <w:t xml:space="preserve">LB Lambeth </w:t>
                      </w:r>
                      <w:r w:rsidR="0034217E">
                        <w:rPr>
                          <w:rFonts w:ascii="Arial" w:hAnsi="Arial" w:cs="Arial"/>
                          <w:color w:val="000000" w:themeColor="text1"/>
                          <w:sz w:val="22"/>
                          <w:szCs w:val="22"/>
                        </w:rPr>
                        <w:t>is</w:t>
                      </w:r>
                      <w:r w:rsidRPr="00100503">
                        <w:rPr>
                          <w:rFonts w:ascii="Arial" w:hAnsi="Arial" w:cs="Arial"/>
                          <w:color w:val="000000" w:themeColor="text1"/>
                          <w:sz w:val="22"/>
                          <w:szCs w:val="22"/>
                        </w:rPr>
                        <w:t xml:space="preserve"> working closely with employers such as Lloyds, John Lewis, and NHS to provide work experience and other-work related opportunities for care-experienced young people within the borough, including young unaccompanied refugees within no </w:t>
                      </w:r>
                      <w:r w:rsidR="00A4089E" w:rsidRPr="00100503">
                        <w:rPr>
                          <w:rFonts w:ascii="Arial" w:hAnsi="Arial" w:cs="Arial"/>
                          <w:color w:val="000000" w:themeColor="text1"/>
                          <w:sz w:val="22"/>
                          <w:szCs w:val="22"/>
                        </w:rPr>
                        <w:t xml:space="preserve">recourse to public funds. </w:t>
                      </w:r>
                    </w:p>
                    <w:p w14:paraId="770796CB" w14:textId="77777777" w:rsidR="00A4089E" w:rsidRDefault="00A4089E" w:rsidP="00A01564">
                      <w:pPr>
                        <w:pStyle w:val="NormalWeb"/>
                        <w:spacing w:before="0" w:beforeAutospacing="0" w:after="0" w:afterAutospacing="0"/>
                        <w:rPr>
                          <w:rFonts w:ascii="Arial" w:hAnsi="Arial" w:cs="Arial"/>
                          <w:color w:val="000000" w:themeColor="text1"/>
                          <w:sz w:val="22"/>
                          <w:szCs w:val="22"/>
                        </w:rPr>
                      </w:pPr>
                    </w:p>
                    <w:p w14:paraId="1B5FAB13" w14:textId="6E4800ED" w:rsidR="00100503" w:rsidRDefault="00A4089E" w:rsidP="00A01564">
                      <w:pPr>
                        <w:pStyle w:val="NormalWeb"/>
                        <w:spacing w:before="0" w:beforeAutospacing="0" w:after="0" w:afterAutospacing="0"/>
                        <w:rPr>
                          <w:rFonts w:ascii="Arial" w:hAnsi="Arial" w:cs="Arial"/>
                          <w:color w:val="000000" w:themeColor="text1"/>
                          <w:sz w:val="22"/>
                          <w:szCs w:val="22"/>
                        </w:rPr>
                      </w:pPr>
                      <w:r>
                        <w:rPr>
                          <w:rFonts w:ascii="Arial" w:hAnsi="Arial" w:cs="Arial"/>
                          <w:color w:val="000000" w:themeColor="text1"/>
                          <w:sz w:val="22"/>
                          <w:szCs w:val="22"/>
                        </w:rPr>
                        <w:t xml:space="preserve">Personal advisers or social workers refer the young people to the programme where they take part in 1:1 support, mentoring and work experience. </w:t>
                      </w:r>
                      <w:r w:rsidRPr="00A4089E">
                        <w:rPr>
                          <w:rFonts w:ascii="Arial" w:hAnsi="Arial" w:cs="Arial"/>
                          <w:color w:val="000000" w:themeColor="text1"/>
                          <w:sz w:val="22"/>
                          <w:szCs w:val="22"/>
                        </w:rPr>
                        <w:t xml:space="preserve">Their educational background varies from having few or no formal school qualifications to graduate status. </w:t>
                      </w:r>
                      <w:r>
                        <w:rPr>
                          <w:rFonts w:ascii="Arial" w:hAnsi="Arial" w:cs="Arial"/>
                          <w:color w:val="000000" w:themeColor="text1"/>
                          <w:sz w:val="22"/>
                          <w:szCs w:val="22"/>
                        </w:rPr>
                        <w:t>The provider</w:t>
                      </w:r>
                      <w:r w:rsidRPr="00A4089E">
                        <w:rPr>
                          <w:rFonts w:ascii="Arial" w:hAnsi="Arial" w:cs="Arial"/>
                          <w:color w:val="000000" w:themeColor="text1"/>
                          <w:sz w:val="22"/>
                          <w:szCs w:val="22"/>
                        </w:rPr>
                        <w:t xml:space="preserve"> carries out the initial assessments, delivers the individual support and arranges the work experience and mentoring.</w:t>
                      </w:r>
                      <w:r>
                        <w:rPr>
                          <w:rFonts w:ascii="Arial" w:hAnsi="Arial" w:cs="Arial"/>
                          <w:b/>
                          <w:bCs/>
                          <w:color w:val="000000" w:themeColor="text1"/>
                          <w:sz w:val="22"/>
                          <w:szCs w:val="22"/>
                        </w:rPr>
                        <w:t xml:space="preserve"> </w:t>
                      </w:r>
                      <w:r>
                        <w:rPr>
                          <w:rFonts w:ascii="Arial" w:hAnsi="Arial" w:cs="Arial"/>
                          <w:color w:val="000000" w:themeColor="text1"/>
                          <w:sz w:val="22"/>
                          <w:szCs w:val="22"/>
                        </w:rPr>
                        <w:t>Aside from employer partnerships for work experience and related opportunities,</w:t>
                      </w:r>
                      <w:r w:rsidR="00100503">
                        <w:rPr>
                          <w:rFonts w:ascii="Arial" w:hAnsi="Arial" w:cs="Arial"/>
                          <w:color w:val="000000" w:themeColor="text1"/>
                          <w:sz w:val="22"/>
                          <w:szCs w:val="22"/>
                        </w:rPr>
                        <w:t xml:space="preserve"> the programme has also successfully reached out to a wide range of companies and organisations to source mentors in a variety of professions and seniority within their roles. All mentors are vetted thoroughly and provided with trauma training, before being matched with a young person. </w:t>
                      </w:r>
                    </w:p>
                    <w:p w14:paraId="7294FD87" w14:textId="77777777" w:rsidR="00100503" w:rsidRDefault="00100503" w:rsidP="00A01564">
                      <w:pPr>
                        <w:pStyle w:val="NormalWeb"/>
                        <w:spacing w:before="0" w:beforeAutospacing="0" w:after="0" w:afterAutospacing="0"/>
                        <w:rPr>
                          <w:rFonts w:ascii="Arial" w:hAnsi="Arial" w:cs="Arial"/>
                          <w:color w:val="000000" w:themeColor="text1"/>
                          <w:sz w:val="22"/>
                          <w:szCs w:val="22"/>
                        </w:rPr>
                      </w:pPr>
                    </w:p>
                    <w:p w14:paraId="61DDB774" w14:textId="49FD26B6" w:rsidR="000B3D7D" w:rsidRPr="00A4089E" w:rsidRDefault="00100503" w:rsidP="00A01564">
                      <w:pPr>
                        <w:pStyle w:val="NormalWeb"/>
                        <w:spacing w:before="0" w:beforeAutospacing="0" w:after="0" w:afterAutospacing="0"/>
                        <w:rPr>
                          <w:rFonts w:ascii="Arial" w:hAnsi="Arial" w:cs="Arial"/>
                          <w:b/>
                          <w:bCs/>
                          <w:color w:val="000000" w:themeColor="text1"/>
                          <w:sz w:val="22"/>
                          <w:szCs w:val="22"/>
                        </w:rPr>
                      </w:pPr>
                      <w:r>
                        <w:rPr>
                          <w:rFonts w:ascii="Arial" w:hAnsi="Arial" w:cs="Arial"/>
                          <w:color w:val="000000" w:themeColor="text1"/>
                          <w:sz w:val="22"/>
                          <w:szCs w:val="22"/>
                        </w:rPr>
                        <w:t xml:space="preserve">In the past year the programme has supported 131 participants and has had good feedback from mentors and mentees alike. </w:t>
                      </w:r>
                    </w:p>
                    <w:p w14:paraId="1462FF4A" w14:textId="34E8821D" w:rsidR="000A47F5" w:rsidRDefault="000A47F5" w:rsidP="00A01564">
                      <w:pPr>
                        <w:pStyle w:val="NormalWeb"/>
                        <w:spacing w:before="0" w:beforeAutospacing="0" w:after="0" w:afterAutospacing="0"/>
                        <w:rPr>
                          <w:rFonts w:ascii="Arial" w:hAnsi="Arial" w:cs="Arial"/>
                          <w:b/>
                          <w:bCs/>
                          <w:color w:val="000000" w:themeColor="text1"/>
                          <w:sz w:val="22"/>
                          <w:szCs w:val="22"/>
                        </w:rPr>
                      </w:pPr>
                    </w:p>
                    <w:p w14:paraId="56D47045" w14:textId="77777777" w:rsidR="000A47F5" w:rsidRPr="00BD57B6" w:rsidRDefault="000A47F5" w:rsidP="00A01564">
                      <w:pPr>
                        <w:pStyle w:val="NormalWeb"/>
                        <w:spacing w:before="0" w:beforeAutospacing="0" w:after="0" w:afterAutospacing="0"/>
                        <w:rPr>
                          <w:rFonts w:ascii="Arial" w:hAnsi="Arial" w:cs="Arial"/>
                          <w:b/>
                          <w:bCs/>
                          <w:color w:val="000000" w:themeColor="text1"/>
                          <w:sz w:val="22"/>
                          <w:szCs w:val="22"/>
                        </w:rPr>
                      </w:pPr>
                    </w:p>
                    <w:p w14:paraId="34B263A8" w14:textId="77777777" w:rsidR="000B3D7D" w:rsidRPr="00BD57B6" w:rsidRDefault="000B3D7D" w:rsidP="00A01564">
                      <w:pPr>
                        <w:pStyle w:val="NormalWeb"/>
                        <w:spacing w:before="0" w:beforeAutospacing="0" w:after="0" w:afterAutospacing="0"/>
                        <w:rPr>
                          <w:rFonts w:ascii="Arial" w:hAnsi="Arial" w:cs="Arial"/>
                          <w:color w:val="000000" w:themeColor="text1"/>
                          <w:sz w:val="22"/>
                          <w:szCs w:val="22"/>
                        </w:rPr>
                      </w:pPr>
                    </w:p>
                    <w:p w14:paraId="30E7F1C6" w14:textId="34D170B6" w:rsidR="000B3D7D" w:rsidRPr="001F4C4A" w:rsidRDefault="000B3D7D" w:rsidP="009E7289">
                      <w:pPr>
                        <w:rPr>
                          <w:color w:val="000000" w:themeColor="text1"/>
                        </w:rPr>
                      </w:pPr>
                    </w:p>
                  </w:txbxContent>
                </v:textbox>
                <w10:wrap anchorx="margin"/>
              </v:rect>
            </w:pict>
          </mc:Fallback>
        </mc:AlternateContent>
      </w:r>
    </w:p>
    <w:p w14:paraId="6A8F9371" w14:textId="77777777" w:rsidR="00FD4853" w:rsidRDefault="00FD4853">
      <w:pPr>
        <w:rPr>
          <w:rFonts w:ascii="Arial" w:hAnsi="Arial" w:cs="Arial"/>
          <w:b/>
          <w:sz w:val="24"/>
        </w:rPr>
      </w:pPr>
      <w:r>
        <w:rPr>
          <w:rFonts w:ascii="Arial" w:hAnsi="Arial" w:cs="Arial"/>
          <w:b/>
          <w:sz w:val="24"/>
        </w:rPr>
        <w:br w:type="page"/>
      </w:r>
    </w:p>
    <w:p w14:paraId="7F2A51E3" w14:textId="1D9B516D" w:rsidR="00D255D4" w:rsidRDefault="00D255D4" w:rsidP="00C47317">
      <w:pPr>
        <w:rPr>
          <w:rFonts w:ascii="Arial" w:hAnsi="Arial" w:cs="Arial"/>
          <w:b/>
          <w:sz w:val="24"/>
        </w:rPr>
      </w:pPr>
      <w:r>
        <w:rPr>
          <w:rFonts w:ascii="Arial" w:hAnsi="Arial" w:cs="Arial"/>
          <w:b/>
          <w:sz w:val="24"/>
        </w:rPr>
        <w:lastRenderedPageBreak/>
        <w:t>Working relationships with DWP</w:t>
      </w:r>
    </w:p>
    <w:p w14:paraId="61FADF55" w14:textId="0AC42922" w:rsidR="00D255D4" w:rsidRPr="00217C01" w:rsidRDefault="00625042" w:rsidP="00C47317">
      <w:pPr>
        <w:rPr>
          <w:rFonts w:ascii="Arial" w:hAnsi="Arial" w:cs="Arial"/>
          <w:bCs/>
        </w:rPr>
      </w:pPr>
      <w:r w:rsidRPr="00217C01">
        <w:rPr>
          <w:rFonts w:ascii="Arial" w:hAnsi="Arial" w:cs="Arial"/>
          <w:bCs/>
        </w:rPr>
        <w:t xml:space="preserve">London Councils asked boroughs if they worked closely with the DWP and what their priority would be in improving this working relationship. </w:t>
      </w:r>
      <w:r w:rsidR="007E5AFF">
        <w:rPr>
          <w:rFonts w:ascii="Arial" w:hAnsi="Arial" w:cs="Arial"/>
          <w:bCs/>
        </w:rPr>
        <w:t xml:space="preserve">The vast majority of boroughs highlighted good working relationships with DWP. </w:t>
      </w:r>
      <w:r w:rsidR="009F02BA">
        <w:rPr>
          <w:rFonts w:ascii="Arial" w:hAnsi="Arial" w:cs="Arial"/>
          <w:bCs/>
        </w:rPr>
        <w:t>On how these relationships can be improved, responses</w:t>
      </w:r>
      <w:r w:rsidR="00012578">
        <w:rPr>
          <w:rFonts w:ascii="Arial" w:hAnsi="Arial" w:cs="Arial"/>
          <w:bCs/>
        </w:rPr>
        <w:t xml:space="preserve"> </w:t>
      </w:r>
      <w:r w:rsidRPr="00217C01">
        <w:rPr>
          <w:rFonts w:ascii="Arial" w:hAnsi="Arial" w:cs="Arial"/>
          <w:bCs/>
        </w:rPr>
        <w:t xml:space="preserve">revolved around </w:t>
      </w:r>
      <w:r w:rsidR="00B91BF7">
        <w:rPr>
          <w:rFonts w:ascii="Arial" w:hAnsi="Arial" w:cs="Arial"/>
          <w:bCs/>
        </w:rPr>
        <w:t xml:space="preserve">a central desire to </w:t>
      </w:r>
      <w:r w:rsidR="009F02BA">
        <w:rPr>
          <w:rFonts w:ascii="Arial" w:hAnsi="Arial" w:cs="Arial"/>
          <w:bCs/>
        </w:rPr>
        <w:t xml:space="preserve">continued joint work between </w:t>
      </w:r>
      <w:r w:rsidR="00B91BF7">
        <w:rPr>
          <w:rFonts w:ascii="Arial" w:hAnsi="Arial" w:cs="Arial"/>
          <w:bCs/>
        </w:rPr>
        <w:t>DWP and borough</w:t>
      </w:r>
      <w:r w:rsidR="009F02BA">
        <w:rPr>
          <w:rFonts w:ascii="Arial" w:hAnsi="Arial" w:cs="Arial"/>
          <w:bCs/>
        </w:rPr>
        <w:t>s</w:t>
      </w:r>
      <w:r w:rsidR="00B91BF7">
        <w:rPr>
          <w:rFonts w:ascii="Arial" w:hAnsi="Arial" w:cs="Arial"/>
          <w:bCs/>
        </w:rPr>
        <w:t xml:space="preserve"> to streamline processes for residents, and focused on four areas</w:t>
      </w:r>
      <w:r w:rsidRPr="00217C01">
        <w:rPr>
          <w:rFonts w:ascii="Arial" w:hAnsi="Arial" w:cs="Arial"/>
          <w:bCs/>
        </w:rPr>
        <w:t xml:space="preserve">: Referrals, communication and join-up, </w:t>
      </w:r>
      <w:r w:rsidR="00AE0EF9" w:rsidRPr="00217C01">
        <w:rPr>
          <w:rFonts w:ascii="Arial" w:hAnsi="Arial" w:cs="Arial"/>
          <w:bCs/>
        </w:rPr>
        <w:t xml:space="preserve">data sharing, and senior DWP representation at strategic </w:t>
      </w:r>
      <w:r w:rsidR="00DA1B3C" w:rsidRPr="00217C01">
        <w:rPr>
          <w:rFonts w:ascii="Arial" w:hAnsi="Arial" w:cs="Arial"/>
          <w:bCs/>
        </w:rPr>
        <w:t xml:space="preserve">meetings. </w:t>
      </w:r>
    </w:p>
    <w:p w14:paraId="7657C022" w14:textId="5BD5354B" w:rsidR="003F66F9" w:rsidRDefault="00FC6B7F" w:rsidP="00C47317">
      <w:pPr>
        <w:rPr>
          <w:rFonts w:ascii="Arial" w:hAnsi="Arial" w:cs="Arial"/>
          <w:bCs/>
        </w:rPr>
      </w:pPr>
      <w:r w:rsidRPr="00217C01">
        <w:rPr>
          <w:rFonts w:ascii="Arial" w:hAnsi="Arial" w:cs="Arial"/>
          <w:bCs/>
        </w:rPr>
        <w:t>Boroughs’ priority improvements on referra</w:t>
      </w:r>
      <w:r w:rsidR="002470EF">
        <w:rPr>
          <w:rFonts w:ascii="Arial" w:hAnsi="Arial" w:cs="Arial"/>
          <w:bCs/>
        </w:rPr>
        <w:t>ls focused on improving the current referral system so that it works better for candidates, employers, and providers. Boroughs stated that a</w:t>
      </w:r>
      <w:r w:rsidR="003F590B">
        <w:rPr>
          <w:rFonts w:ascii="Arial" w:hAnsi="Arial" w:cs="Arial"/>
          <w:bCs/>
        </w:rPr>
        <w:t>n</w:t>
      </w:r>
      <w:r w:rsidR="002470EF">
        <w:rPr>
          <w:rFonts w:ascii="Arial" w:hAnsi="Arial" w:cs="Arial"/>
          <w:bCs/>
        </w:rPr>
        <w:t xml:space="preserve"> </w:t>
      </w:r>
      <w:r w:rsidR="003F590B">
        <w:rPr>
          <w:rFonts w:ascii="Arial" w:hAnsi="Arial" w:cs="Arial"/>
          <w:bCs/>
        </w:rPr>
        <w:t xml:space="preserve">agreement with DWP to a </w:t>
      </w:r>
      <w:r w:rsidR="002470EF">
        <w:rPr>
          <w:rFonts w:ascii="Arial" w:hAnsi="Arial" w:cs="Arial"/>
          <w:bCs/>
        </w:rPr>
        <w:t xml:space="preserve">preference for quality </w:t>
      </w:r>
      <w:r w:rsidR="003F590B">
        <w:rPr>
          <w:rFonts w:ascii="Arial" w:hAnsi="Arial" w:cs="Arial"/>
          <w:bCs/>
        </w:rPr>
        <w:t xml:space="preserve">rather than quantity of referrals to programmes, preparing candidates for jobs and programmes they want, would be a priority improvement. Closely linked with this is many boroughs’ desire to secure better engagement with </w:t>
      </w:r>
      <w:r w:rsidR="00262906">
        <w:rPr>
          <w:rFonts w:ascii="Arial" w:hAnsi="Arial" w:cs="Arial"/>
          <w:bCs/>
        </w:rPr>
        <w:t>JCP</w:t>
      </w:r>
      <w:r w:rsidR="003F590B">
        <w:rPr>
          <w:rFonts w:ascii="Arial" w:hAnsi="Arial" w:cs="Arial"/>
          <w:bCs/>
        </w:rPr>
        <w:t xml:space="preserve"> advisors, both earlier and faster. This will avoid situations in which </w:t>
      </w:r>
      <w:r w:rsidR="003D6FE6">
        <w:rPr>
          <w:rFonts w:ascii="Arial" w:hAnsi="Arial" w:cs="Arial"/>
          <w:bCs/>
        </w:rPr>
        <w:t xml:space="preserve">a borough commits to delivering </w:t>
      </w:r>
      <w:r w:rsidR="003F590B">
        <w:rPr>
          <w:rFonts w:ascii="Arial" w:hAnsi="Arial" w:cs="Arial"/>
          <w:bCs/>
        </w:rPr>
        <w:t>sector</w:t>
      </w:r>
      <w:r w:rsidR="000B3194">
        <w:rPr>
          <w:rFonts w:ascii="Arial" w:hAnsi="Arial" w:cs="Arial"/>
          <w:bCs/>
        </w:rPr>
        <w:t>-</w:t>
      </w:r>
      <w:r w:rsidR="003F590B">
        <w:rPr>
          <w:rFonts w:ascii="Arial" w:hAnsi="Arial" w:cs="Arial"/>
          <w:bCs/>
        </w:rPr>
        <w:t xml:space="preserve">specific training </w:t>
      </w:r>
      <w:r w:rsidR="003D6FE6">
        <w:rPr>
          <w:rFonts w:ascii="Arial" w:hAnsi="Arial" w:cs="Arial"/>
          <w:bCs/>
        </w:rPr>
        <w:t>but receives no referrals to it from DWP,</w:t>
      </w:r>
      <w:r w:rsidR="00DE5CD7">
        <w:rPr>
          <w:rFonts w:ascii="Arial" w:hAnsi="Arial" w:cs="Arial"/>
          <w:bCs/>
        </w:rPr>
        <w:t xml:space="preserve"> and provides a more transparent cross-referral process. </w:t>
      </w:r>
    </w:p>
    <w:p w14:paraId="0228D88F" w14:textId="74ED41BB" w:rsidR="000B3194" w:rsidRDefault="00DE5CD7" w:rsidP="00C47317">
      <w:pPr>
        <w:rPr>
          <w:rFonts w:ascii="Arial" w:hAnsi="Arial" w:cs="Arial"/>
          <w:bCs/>
        </w:rPr>
      </w:pPr>
      <w:r>
        <w:rPr>
          <w:rFonts w:ascii="Arial" w:hAnsi="Arial" w:cs="Arial"/>
          <w:bCs/>
        </w:rPr>
        <w:t>More widely</w:t>
      </w:r>
      <w:r w:rsidR="00262906">
        <w:rPr>
          <w:rFonts w:ascii="Arial" w:hAnsi="Arial" w:cs="Arial"/>
          <w:bCs/>
        </w:rPr>
        <w:t xml:space="preserve">, boroughs highlighted better communication with DWP </w:t>
      </w:r>
      <w:r w:rsidR="00B91BF7">
        <w:rPr>
          <w:rFonts w:ascii="Arial" w:hAnsi="Arial" w:cs="Arial"/>
          <w:bCs/>
        </w:rPr>
        <w:t>overall</w:t>
      </w:r>
      <w:r w:rsidR="00262906">
        <w:rPr>
          <w:rFonts w:ascii="Arial" w:hAnsi="Arial" w:cs="Arial"/>
          <w:bCs/>
        </w:rPr>
        <w:t xml:space="preserve"> as key to improving their working relationship. For boroughs, this often looked like more frequent sharing of information operationally and strategically,</w:t>
      </w:r>
      <w:r w:rsidR="000B3194">
        <w:rPr>
          <w:rFonts w:ascii="Arial" w:hAnsi="Arial" w:cs="Arial"/>
          <w:bCs/>
        </w:rPr>
        <w:t xml:space="preserve"> both</w:t>
      </w:r>
      <w:r w:rsidR="00262906">
        <w:rPr>
          <w:rFonts w:ascii="Arial" w:hAnsi="Arial" w:cs="Arial"/>
          <w:bCs/>
        </w:rPr>
        <w:t xml:space="preserve"> so that targets regarding candidate outcomes to do not contradict each other, for example</w:t>
      </w:r>
      <w:r w:rsidR="000B3194">
        <w:rPr>
          <w:rFonts w:ascii="Arial" w:hAnsi="Arial" w:cs="Arial"/>
          <w:bCs/>
        </w:rPr>
        <w:t>, or so that there is increased collaboration between borough in-work support and support for the over 50s, and the DWP offer. Boroughs would like to see better join-up of employer engagement activities, potentially foregrounded by increased co-commissioning and joint develop</w:t>
      </w:r>
      <w:r w:rsidR="00D542DB">
        <w:rPr>
          <w:rFonts w:ascii="Arial" w:hAnsi="Arial" w:cs="Arial"/>
          <w:bCs/>
        </w:rPr>
        <w:t>ment</w:t>
      </w:r>
      <w:r w:rsidR="000B3194">
        <w:rPr>
          <w:rFonts w:ascii="Arial" w:hAnsi="Arial" w:cs="Arial"/>
          <w:bCs/>
        </w:rPr>
        <w:t xml:space="preserve"> of programmes or sector-specific training. </w:t>
      </w:r>
    </w:p>
    <w:p w14:paraId="3CFED8BA" w14:textId="59AB5EA2" w:rsidR="000B3194" w:rsidRDefault="00B91BF7" w:rsidP="00C47317">
      <w:pPr>
        <w:rPr>
          <w:rFonts w:ascii="Arial" w:hAnsi="Arial" w:cs="Arial"/>
          <w:bCs/>
        </w:rPr>
      </w:pPr>
      <w:r>
        <w:rPr>
          <w:rFonts w:ascii="Arial" w:hAnsi="Arial" w:cs="Arial"/>
          <w:bCs/>
        </w:rPr>
        <w:t xml:space="preserve">Many boroughs stated that their priority improvement with DWP would be around data sharing between the two parties. For boroughs, </w:t>
      </w:r>
      <w:r w:rsidR="001514F7">
        <w:rPr>
          <w:rFonts w:ascii="Arial" w:hAnsi="Arial" w:cs="Arial"/>
          <w:bCs/>
        </w:rPr>
        <w:t xml:space="preserve">they would like to share access to new employers’ jobs, creating additional opportunities for DWP customers. Elsewhere, boroughs wanted to receive more data on unemployed residents so that more borough support can be put in place for them. Boroughs stressed the importance of being party to information on resident outcomes to be able to track them and provide follow-up support. </w:t>
      </w:r>
    </w:p>
    <w:p w14:paraId="37BC25FF" w14:textId="260DF869" w:rsidR="000B3194" w:rsidRDefault="00C44C96" w:rsidP="00C47317">
      <w:pPr>
        <w:rPr>
          <w:rFonts w:ascii="Arial" w:hAnsi="Arial" w:cs="Arial"/>
          <w:bCs/>
        </w:rPr>
      </w:pPr>
      <w:r>
        <w:rPr>
          <w:rFonts w:ascii="Arial" w:hAnsi="Arial" w:cs="Arial"/>
          <w:bCs/>
        </w:rPr>
        <w:t xml:space="preserve">It is clear to see that boroughs would like more say </w:t>
      </w:r>
      <w:r w:rsidR="00BD57B6">
        <w:rPr>
          <w:rFonts w:ascii="Arial" w:hAnsi="Arial" w:cs="Arial"/>
          <w:bCs/>
        </w:rPr>
        <w:t>o</w:t>
      </w:r>
      <w:r>
        <w:rPr>
          <w:rFonts w:ascii="Arial" w:hAnsi="Arial" w:cs="Arial"/>
          <w:bCs/>
        </w:rPr>
        <w:t>n the DWP activity in their area, and their final priority for improvement of the working relationship reflected this. Boroughs want to have more detailed and focused discussions about project development opportunities</w:t>
      </w:r>
      <w:r w:rsidR="008C6788">
        <w:rPr>
          <w:rFonts w:ascii="Arial" w:hAnsi="Arial" w:cs="Arial"/>
          <w:bCs/>
        </w:rPr>
        <w:t xml:space="preserve"> at an earlier stage</w:t>
      </w:r>
      <w:r w:rsidR="007B22B3">
        <w:rPr>
          <w:rFonts w:ascii="Arial" w:hAnsi="Arial" w:cs="Arial"/>
          <w:bCs/>
        </w:rPr>
        <w:t xml:space="preserve">. </w:t>
      </w:r>
      <w:r w:rsidR="0086587A">
        <w:rPr>
          <w:rFonts w:ascii="Arial" w:hAnsi="Arial" w:cs="Arial"/>
          <w:bCs/>
        </w:rPr>
        <w:t>G</w:t>
      </w:r>
      <w:r w:rsidR="007B22B3">
        <w:rPr>
          <w:rFonts w:ascii="Arial" w:hAnsi="Arial" w:cs="Arial"/>
          <w:bCs/>
        </w:rPr>
        <w:t xml:space="preserve">reater access to strategic DWP representation and decision-makers when at skills and employment boards, and more regular updates from the senior level, rather than solely from the local relationship manager, would be a priority improvement. </w:t>
      </w:r>
    </w:p>
    <w:p w14:paraId="07381031" w14:textId="77777777" w:rsidR="000B3194" w:rsidRDefault="000B3194" w:rsidP="00C47317">
      <w:pPr>
        <w:rPr>
          <w:rFonts w:ascii="Arial" w:hAnsi="Arial" w:cs="Arial"/>
          <w:bCs/>
        </w:rPr>
      </w:pPr>
    </w:p>
    <w:p w14:paraId="5845C69D" w14:textId="74088DE2" w:rsidR="00C47317" w:rsidRPr="00153BAC" w:rsidRDefault="00C47317" w:rsidP="00C47317">
      <w:pPr>
        <w:rPr>
          <w:rFonts w:ascii="Arial" w:hAnsi="Arial" w:cs="Arial"/>
          <w:b/>
          <w:sz w:val="24"/>
        </w:rPr>
      </w:pPr>
      <w:r w:rsidRPr="00153BAC">
        <w:rPr>
          <w:rFonts w:ascii="Arial" w:hAnsi="Arial" w:cs="Arial"/>
          <w:b/>
          <w:sz w:val="24"/>
        </w:rPr>
        <w:t xml:space="preserve">Discussion </w:t>
      </w:r>
    </w:p>
    <w:p w14:paraId="07E14836" w14:textId="66E53DDA" w:rsidR="00C47317" w:rsidRPr="00EE4A67" w:rsidRDefault="00C47317" w:rsidP="00C47317">
      <w:pPr>
        <w:rPr>
          <w:rFonts w:ascii="Arial" w:hAnsi="Arial" w:cs="Arial"/>
        </w:rPr>
      </w:pPr>
      <w:r w:rsidRPr="003E7E88">
        <w:rPr>
          <w:rFonts w:ascii="Arial" w:hAnsi="Arial" w:cs="Arial"/>
        </w:rPr>
        <w:t xml:space="preserve">This survey </w:t>
      </w:r>
      <w:r w:rsidRPr="00EE4A67">
        <w:rPr>
          <w:rFonts w:ascii="Arial" w:hAnsi="Arial" w:cs="Arial"/>
        </w:rPr>
        <w:t xml:space="preserve">shows that </w:t>
      </w:r>
      <w:r w:rsidR="00160D0A" w:rsidRPr="00EE4A67">
        <w:rPr>
          <w:rFonts w:ascii="Arial" w:hAnsi="Arial" w:cs="Arial"/>
        </w:rPr>
        <w:t>most</w:t>
      </w:r>
      <w:r w:rsidRPr="00EE4A67">
        <w:rPr>
          <w:rFonts w:ascii="Arial" w:hAnsi="Arial" w:cs="Arial"/>
        </w:rPr>
        <w:t xml:space="preserve"> London boroughs </w:t>
      </w:r>
      <w:r w:rsidR="00EE4A67">
        <w:rPr>
          <w:rFonts w:ascii="Arial" w:hAnsi="Arial" w:cs="Arial"/>
        </w:rPr>
        <w:t xml:space="preserve">continue to </w:t>
      </w:r>
      <w:r w:rsidR="001841BE">
        <w:rPr>
          <w:rFonts w:ascii="Arial" w:hAnsi="Arial" w:cs="Arial"/>
        </w:rPr>
        <w:t>offer</w:t>
      </w:r>
      <w:r w:rsidRPr="00EE4A67">
        <w:rPr>
          <w:rFonts w:ascii="Arial" w:hAnsi="Arial" w:cs="Arial"/>
        </w:rPr>
        <w:t xml:space="preserve"> an employment support service</w:t>
      </w:r>
      <w:r w:rsidR="00EE4A67">
        <w:rPr>
          <w:rFonts w:ascii="Arial" w:hAnsi="Arial" w:cs="Arial"/>
        </w:rPr>
        <w:t xml:space="preserve"> in 202</w:t>
      </w:r>
      <w:r w:rsidR="002066EF">
        <w:rPr>
          <w:rFonts w:ascii="Arial" w:hAnsi="Arial" w:cs="Arial"/>
        </w:rPr>
        <w:t>2/23</w:t>
      </w:r>
      <w:r w:rsidR="00B016CE">
        <w:rPr>
          <w:rFonts w:ascii="Arial" w:hAnsi="Arial" w:cs="Arial"/>
        </w:rPr>
        <w:t>, despite it being a very challenging year for boroughs</w:t>
      </w:r>
      <w:r w:rsidR="001E7688">
        <w:rPr>
          <w:rFonts w:ascii="Arial" w:hAnsi="Arial" w:cs="Arial"/>
        </w:rPr>
        <w:t>’</w:t>
      </w:r>
      <w:r w:rsidR="00B016CE">
        <w:rPr>
          <w:rFonts w:ascii="Arial" w:hAnsi="Arial" w:cs="Arial"/>
        </w:rPr>
        <w:t xml:space="preserve"> finances</w:t>
      </w:r>
      <w:r w:rsidR="001841BE">
        <w:rPr>
          <w:rFonts w:ascii="Arial" w:hAnsi="Arial" w:cs="Arial"/>
        </w:rPr>
        <w:t xml:space="preserve"> and having no statutory duty to provide this service</w:t>
      </w:r>
      <w:r w:rsidR="007D133C">
        <w:rPr>
          <w:rFonts w:ascii="Arial" w:hAnsi="Arial" w:cs="Arial"/>
        </w:rPr>
        <w:t>.</w:t>
      </w:r>
      <w:r w:rsidRPr="00EE4A67">
        <w:rPr>
          <w:rFonts w:ascii="Arial" w:hAnsi="Arial" w:cs="Arial"/>
        </w:rPr>
        <w:t xml:space="preserve"> </w:t>
      </w:r>
    </w:p>
    <w:p w14:paraId="6110C056" w14:textId="1F6D894D" w:rsidR="004B7FB7" w:rsidRDefault="00C47317" w:rsidP="00C47317">
      <w:pPr>
        <w:rPr>
          <w:rFonts w:ascii="Arial" w:hAnsi="Arial" w:cs="Arial"/>
        </w:rPr>
      </w:pPr>
      <w:r w:rsidRPr="00EE4A67">
        <w:rPr>
          <w:rFonts w:ascii="Arial" w:hAnsi="Arial" w:cs="Arial"/>
        </w:rPr>
        <w:t>This a positive finding, given the extent of reductions to local government budgets since 2010</w:t>
      </w:r>
      <w:r w:rsidR="002066EF">
        <w:rPr>
          <w:rFonts w:ascii="Arial" w:hAnsi="Arial" w:cs="Arial"/>
        </w:rPr>
        <w:t xml:space="preserve">, </w:t>
      </w:r>
      <w:r w:rsidR="00673FF8">
        <w:rPr>
          <w:rFonts w:ascii="Arial" w:hAnsi="Arial" w:cs="Arial"/>
        </w:rPr>
        <w:t xml:space="preserve">the additional financial challenges boroughs have been facing since the outbreak of the </w:t>
      </w:r>
      <w:r w:rsidR="002066EF">
        <w:rPr>
          <w:rFonts w:ascii="Arial" w:hAnsi="Arial" w:cs="Arial"/>
        </w:rPr>
        <w:t xml:space="preserve">pandemic </w:t>
      </w:r>
      <w:r w:rsidR="00673FF8">
        <w:rPr>
          <w:rFonts w:ascii="Arial" w:hAnsi="Arial" w:cs="Arial"/>
        </w:rPr>
        <w:t>in early 2020</w:t>
      </w:r>
      <w:r w:rsidR="002066EF">
        <w:rPr>
          <w:rFonts w:ascii="Arial" w:hAnsi="Arial" w:cs="Arial"/>
        </w:rPr>
        <w:t xml:space="preserve">, and rising inflation that has hit council budgets in 2022. </w:t>
      </w:r>
      <w:r w:rsidRPr="00EE4A67">
        <w:rPr>
          <w:rFonts w:ascii="Arial" w:hAnsi="Arial" w:cs="Arial"/>
        </w:rPr>
        <w:t xml:space="preserve"> Boroughs have no statutory obligation to provide such a service. Yet </w:t>
      </w:r>
      <w:r w:rsidR="002F13C7">
        <w:rPr>
          <w:rFonts w:ascii="Arial" w:hAnsi="Arial" w:cs="Arial"/>
        </w:rPr>
        <w:t xml:space="preserve">boroughs remain </w:t>
      </w:r>
      <w:r w:rsidR="002F13C7">
        <w:rPr>
          <w:rFonts w:ascii="Arial" w:hAnsi="Arial" w:cs="Arial"/>
        </w:rPr>
        <w:lastRenderedPageBreak/>
        <w:t xml:space="preserve">committed in providing employment and skills support to their residents, specifically those most affected </w:t>
      </w:r>
      <w:r w:rsidR="00696D7C">
        <w:rPr>
          <w:rFonts w:ascii="Arial" w:hAnsi="Arial" w:cs="Arial"/>
        </w:rPr>
        <w:t>by the</w:t>
      </w:r>
      <w:r w:rsidR="002F13C7">
        <w:rPr>
          <w:rFonts w:ascii="Arial" w:hAnsi="Arial" w:cs="Arial"/>
        </w:rPr>
        <w:t xml:space="preserve"> </w:t>
      </w:r>
      <w:r w:rsidR="002066EF">
        <w:rPr>
          <w:rFonts w:ascii="Arial" w:hAnsi="Arial" w:cs="Arial"/>
        </w:rPr>
        <w:t>pandemic and the cost of living crisis</w:t>
      </w:r>
      <w:r w:rsidR="007C7555">
        <w:rPr>
          <w:rFonts w:ascii="Arial" w:hAnsi="Arial" w:cs="Arial"/>
        </w:rPr>
        <w:t>, and this is evident as increased investment in borough employment services to deal with the impact of COVID-19 in the 2021/22 survey has generally been maintained on a pan-London level by London boroughs this year.</w:t>
      </w:r>
    </w:p>
    <w:p w14:paraId="7796188B" w14:textId="3B9A09DF" w:rsidR="00F01625" w:rsidRDefault="006F2A1B" w:rsidP="00C47317">
      <w:pPr>
        <w:rPr>
          <w:rFonts w:ascii="Arial" w:hAnsi="Arial" w:cs="Arial"/>
        </w:rPr>
      </w:pPr>
      <w:r>
        <w:rPr>
          <w:rFonts w:ascii="Arial" w:hAnsi="Arial" w:cs="Arial"/>
        </w:rPr>
        <w:t xml:space="preserve">Boroughs continue to </w:t>
      </w:r>
      <w:r w:rsidR="00301F31">
        <w:rPr>
          <w:rFonts w:ascii="Arial" w:hAnsi="Arial" w:cs="Arial"/>
        </w:rPr>
        <w:t>provide a wide range of services</w:t>
      </w:r>
      <w:r>
        <w:rPr>
          <w:rFonts w:ascii="Arial" w:hAnsi="Arial" w:cs="Arial"/>
        </w:rPr>
        <w:t xml:space="preserve"> to residents, with the majority of the borough </w:t>
      </w:r>
      <w:r w:rsidR="00622403">
        <w:rPr>
          <w:rFonts w:ascii="Arial" w:hAnsi="Arial" w:cs="Arial"/>
        </w:rPr>
        <w:t>respondents</w:t>
      </w:r>
      <w:r>
        <w:rPr>
          <w:rFonts w:ascii="Arial" w:hAnsi="Arial" w:cs="Arial"/>
        </w:rPr>
        <w:t xml:space="preserve"> offering most of the services listed in the survey, suggesting that they offer a flexible approach for people with different needs.</w:t>
      </w:r>
      <w:r w:rsidR="002066EF">
        <w:rPr>
          <w:rFonts w:ascii="Arial" w:hAnsi="Arial" w:cs="Arial"/>
        </w:rPr>
        <w:t xml:space="preserve"> </w:t>
      </w:r>
      <w:r w:rsidR="00512690">
        <w:rPr>
          <w:rFonts w:ascii="Arial" w:hAnsi="Arial" w:cs="Arial"/>
        </w:rPr>
        <w:t xml:space="preserve">However, a lot of this provision is funded by </w:t>
      </w:r>
      <w:r w:rsidR="002066EF">
        <w:rPr>
          <w:rFonts w:ascii="Arial" w:hAnsi="Arial" w:cs="Arial"/>
        </w:rPr>
        <w:t>Section 106</w:t>
      </w:r>
      <w:r w:rsidR="00512690">
        <w:rPr>
          <w:rFonts w:ascii="Arial" w:hAnsi="Arial" w:cs="Arial"/>
        </w:rPr>
        <w:t>, which may be transformed in future, and ESF funding, which is</w:t>
      </w:r>
      <w:r w:rsidR="002066EF">
        <w:rPr>
          <w:rFonts w:ascii="Arial" w:hAnsi="Arial" w:cs="Arial"/>
        </w:rPr>
        <w:t xml:space="preserve"> </w:t>
      </w:r>
      <w:r w:rsidR="00512690">
        <w:rPr>
          <w:rFonts w:ascii="Arial" w:hAnsi="Arial" w:cs="Arial"/>
        </w:rPr>
        <w:t>winding down</w:t>
      </w:r>
      <w:r w:rsidR="002066EF">
        <w:rPr>
          <w:rFonts w:ascii="Arial" w:hAnsi="Arial" w:cs="Arial"/>
        </w:rPr>
        <w:t xml:space="preserve"> this year</w:t>
      </w:r>
      <w:r w:rsidR="00316C0D">
        <w:rPr>
          <w:rFonts w:ascii="Arial" w:hAnsi="Arial" w:cs="Arial"/>
        </w:rPr>
        <w:t>.</w:t>
      </w:r>
      <w:r w:rsidR="00512690">
        <w:rPr>
          <w:rFonts w:ascii="Arial" w:hAnsi="Arial" w:cs="Arial"/>
        </w:rPr>
        <w:t xml:space="preserve"> </w:t>
      </w:r>
      <w:r w:rsidR="00316C0D">
        <w:rPr>
          <w:rFonts w:ascii="Arial" w:hAnsi="Arial" w:cs="Arial"/>
        </w:rPr>
        <w:t>This raises</w:t>
      </w:r>
      <w:r w:rsidR="00512690">
        <w:rPr>
          <w:rFonts w:ascii="Arial" w:hAnsi="Arial" w:cs="Arial"/>
        </w:rPr>
        <w:t xml:space="preserve"> </w:t>
      </w:r>
      <w:r w:rsidR="002066EF">
        <w:rPr>
          <w:rFonts w:ascii="Arial" w:hAnsi="Arial" w:cs="Arial"/>
        </w:rPr>
        <w:t xml:space="preserve">serious </w:t>
      </w:r>
      <w:r w:rsidR="00512690">
        <w:rPr>
          <w:rFonts w:ascii="Arial" w:hAnsi="Arial" w:cs="Arial"/>
        </w:rPr>
        <w:t xml:space="preserve">concerns about the </w:t>
      </w:r>
      <w:r w:rsidR="00520E04">
        <w:rPr>
          <w:rFonts w:ascii="Arial" w:hAnsi="Arial" w:cs="Arial"/>
        </w:rPr>
        <w:t xml:space="preserve">ability of boroughs to maintain the current level of provision </w:t>
      </w:r>
      <w:r w:rsidR="00316C0D">
        <w:rPr>
          <w:rFonts w:ascii="Arial" w:hAnsi="Arial" w:cs="Arial"/>
        </w:rPr>
        <w:t>that</w:t>
      </w:r>
      <w:r w:rsidR="002066EF">
        <w:rPr>
          <w:rFonts w:ascii="Arial" w:hAnsi="Arial" w:cs="Arial"/>
        </w:rPr>
        <w:t xml:space="preserve"> is proving</w:t>
      </w:r>
      <w:r w:rsidR="00520E04">
        <w:rPr>
          <w:rFonts w:ascii="Arial" w:hAnsi="Arial" w:cs="Arial"/>
        </w:rPr>
        <w:t xml:space="preserve"> essential in helping many Londoners back into good work as the capital</w:t>
      </w:r>
      <w:r w:rsidR="007951B1">
        <w:rPr>
          <w:rFonts w:ascii="Arial" w:hAnsi="Arial" w:cs="Arial"/>
        </w:rPr>
        <w:t xml:space="preserve"> slowly</w:t>
      </w:r>
      <w:r w:rsidR="00520E04">
        <w:rPr>
          <w:rFonts w:ascii="Arial" w:hAnsi="Arial" w:cs="Arial"/>
        </w:rPr>
        <w:t xml:space="preserve"> recovers from the pandemic.</w:t>
      </w:r>
      <w:r w:rsidR="00512690">
        <w:rPr>
          <w:rFonts w:ascii="Arial" w:hAnsi="Arial" w:cs="Arial"/>
        </w:rPr>
        <w:t xml:space="preserve"> </w:t>
      </w:r>
    </w:p>
    <w:p w14:paraId="49E55350" w14:textId="77777777" w:rsidR="000046E0" w:rsidRDefault="000046E0" w:rsidP="00C47317">
      <w:pPr>
        <w:rPr>
          <w:rFonts w:ascii="Arial" w:hAnsi="Arial" w:cs="Arial"/>
        </w:rPr>
      </w:pPr>
    </w:p>
    <w:p w14:paraId="422CC1BD" w14:textId="7C197F0C" w:rsidR="00C47317" w:rsidRPr="004B2FE4" w:rsidRDefault="00B76145" w:rsidP="00C47317">
      <w:pPr>
        <w:rPr>
          <w:rFonts w:ascii="Arial" w:hAnsi="Arial" w:cs="Arial"/>
          <w:b/>
          <w:i/>
        </w:rPr>
      </w:pPr>
      <w:r>
        <w:rPr>
          <w:rFonts w:ascii="Arial" w:hAnsi="Arial" w:cs="Arial"/>
          <w:b/>
          <w:i/>
        </w:rPr>
        <w:t xml:space="preserve">Local skills shortages and the Plan for </w:t>
      </w:r>
      <w:r w:rsidR="001A11B3">
        <w:rPr>
          <w:rFonts w:ascii="Arial" w:hAnsi="Arial" w:cs="Arial"/>
          <w:b/>
          <w:i/>
        </w:rPr>
        <w:t>Jobs</w:t>
      </w:r>
    </w:p>
    <w:p w14:paraId="1961A64C" w14:textId="0EBC0329" w:rsidR="0095226F" w:rsidRPr="0095226F" w:rsidRDefault="00446F88" w:rsidP="0095226F">
      <w:pPr>
        <w:rPr>
          <w:rFonts w:ascii="Arial" w:hAnsi="Arial" w:cs="Arial"/>
        </w:rPr>
      </w:pPr>
      <w:r>
        <w:rPr>
          <w:rFonts w:ascii="Arial" w:hAnsi="Arial" w:cs="Arial"/>
        </w:rPr>
        <w:t xml:space="preserve">The coronavirus crisis drastically transformed London’s labour market in the last </w:t>
      </w:r>
      <w:r w:rsidR="002066EF">
        <w:rPr>
          <w:rFonts w:ascii="Arial" w:hAnsi="Arial" w:cs="Arial"/>
        </w:rPr>
        <w:t>three</w:t>
      </w:r>
      <w:r>
        <w:rPr>
          <w:rFonts w:ascii="Arial" w:hAnsi="Arial" w:cs="Arial"/>
        </w:rPr>
        <w:t xml:space="preserve"> years. </w:t>
      </w:r>
      <w:r w:rsidR="00F37B3F">
        <w:rPr>
          <w:rFonts w:ascii="Arial" w:hAnsi="Arial" w:cs="Arial"/>
        </w:rPr>
        <w:t xml:space="preserve">While the capital is not experiencing the mass unemployment </w:t>
      </w:r>
      <w:r w:rsidR="00BE0E3D">
        <w:rPr>
          <w:rFonts w:ascii="Arial" w:hAnsi="Arial" w:cs="Arial"/>
        </w:rPr>
        <w:t xml:space="preserve">crisis that </w:t>
      </w:r>
      <w:r w:rsidR="007827BC">
        <w:rPr>
          <w:rFonts w:ascii="Arial" w:hAnsi="Arial" w:cs="Arial"/>
        </w:rPr>
        <w:t xml:space="preserve">various organisations were predicting </w:t>
      </w:r>
      <w:r w:rsidR="00402598">
        <w:rPr>
          <w:rFonts w:ascii="Arial" w:hAnsi="Arial" w:cs="Arial"/>
        </w:rPr>
        <w:t>in early 2021</w:t>
      </w:r>
      <w:r w:rsidR="00B16AD3">
        <w:rPr>
          <w:rFonts w:ascii="Arial" w:hAnsi="Arial" w:cs="Arial"/>
        </w:rPr>
        <w:t xml:space="preserve">, </w:t>
      </w:r>
      <w:r w:rsidR="00C75E18">
        <w:rPr>
          <w:rFonts w:ascii="Arial" w:hAnsi="Arial" w:cs="Arial"/>
        </w:rPr>
        <w:t>employment ha</w:t>
      </w:r>
      <w:r w:rsidR="0014113F">
        <w:rPr>
          <w:rFonts w:ascii="Arial" w:hAnsi="Arial" w:cs="Arial"/>
        </w:rPr>
        <w:t>sn</w:t>
      </w:r>
      <w:r w:rsidR="00C75E18">
        <w:rPr>
          <w:rFonts w:ascii="Arial" w:hAnsi="Arial" w:cs="Arial"/>
        </w:rPr>
        <w:t>’t yet recovered to pre-pandemic levels</w:t>
      </w:r>
      <w:r w:rsidR="0028329E">
        <w:rPr>
          <w:rFonts w:ascii="Arial" w:hAnsi="Arial" w:cs="Arial"/>
        </w:rPr>
        <w:t xml:space="preserve">, </w:t>
      </w:r>
      <w:r w:rsidR="008756DA">
        <w:rPr>
          <w:rFonts w:ascii="Arial" w:hAnsi="Arial" w:cs="Arial"/>
        </w:rPr>
        <w:t xml:space="preserve">economic activity is on the rise, </w:t>
      </w:r>
      <w:r w:rsidR="003A5C23">
        <w:rPr>
          <w:rFonts w:ascii="Arial" w:hAnsi="Arial" w:cs="Arial"/>
        </w:rPr>
        <w:t>and many sectors are experiencing</w:t>
      </w:r>
      <w:r w:rsidR="0028329E">
        <w:rPr>
          <w:rFonts w:ascii="Arial" w:hAnsi="Arial" w:cs="Arial"/>
        </w:rPr>
        <w:t xml:space="preserve"> </w:t>
      </w:r>
      <w:r w:rsidR="00692E14">
        <w:rPr>
          <w:rFonts w:ascii="Arial" w:hAnsi="Arial" w:cs="Arial"/>
        </w:rPr>
        <w:t>skills and labour</w:t>
      </w:r>
      <w:r w:rsidR="0028329E">
        <w:rPr>
          <w:rFonts w:ascii="Arial" w:hAnsi="Arial" w:cs="Arial"/>
        </w:rPr>
        <w:t xml:space="preserve"> shortages.</w:t>
      </w:r>
      <w:r w:rsidR="008756DA">
        <w:rPr>
          <w:rFonts w:ascii="Arial" w:hAnsi="Arial" w:cs="Arial"/>
        </w:rPr>
        <w:t xml:space="preserve"> Boroughs are responding to these shortages by continuing to </w:t>
      </w:r>
      <w:r w:rsidR="0095226F" w:rsidRPr="0095226F">
        <w:rPr>
          <w:rFonts w:ascii="Arial" w:hAnsi="Arial" w:cs="Arial"/>
        </w:rPr>
        <w:t xml:space="preserve">build </w:t>
      </w:r>
      <w:r w:rsidR="008756DA">
        <w:rPr>
          <w:rFonts w:ascii="Arial" w:hAnsi="Arial" w:cs="Arial"/>
        </w:rPr>
        <w:t>wider</w:t>
      </w:r>
      <w:r w:rsidR="0095226F" w:rsidRPr="0095226F">
        <w:rPr>
          <w:rFonts w:ascii="Arial" w:hAnsi="Arial" w:cs="Arial"/>
        </w:rPr>
        <w:t xml:space="preserve"> partnerships </w:t>
      </w:r>
      <w:r w:rsidR="00130D06">
        <w:rPr>
          <w:rFonts w:ascii="Arial" w:hAnsi="Arial" w:cs="Arial"/>
        </w:rPr>
        <w:t>with key stakeholders</w:t>
      </w:r>
      <w:r w:rsidR="0095226F" w:rsidRPr="0095226F">
        <w:rPr>
          <w:rFonts w:ascii="Arial" w:hAnsi="Arial" w:cs="Arial"/>
        </w:rPr>
        <w:t xml:space="preserve">, </w:t>
      </w:r>
      <w:r w:rsidR="008756DA">
        <w:rPr>
          <w:rFonts w:ascii="Arial" w:hAnsi="Arial" w:cs="Arial"/>
        </w:rPr>
        <w:t>working with employers to fill vacancies in growing sectors, and by adjusting their careers advice and guidance accordingly</w:t>
      </w:r>
      <w:r w:rsidR="0095226F" w:rsidRPr="0095226F">
        <w:rPr>
          <w:rFonts w:ascii="Arial" w:hAnsi="Arial" w:cs="Arial"/>
        </w:rPr>
        <w:t>.</w:t>
      </w:r>
    </w:p>
    <w:p w14:paraId="405DA1F4" w14:textId="7B030B16" w:rsidR="00E27FBA" w:rsidRDefault="0095226F" w:rsidP="00C47317">
      <w:pPr>
        <w:rPr>
          <w:rFonts w:ascii="Arial" w:hAnsi="Arial" w:cs="Arial"/>
        </w:rPr>
      </w:pPr>
      <w:r w:rsidRPr="0095226F">
        <w:rPr>
          <w:rFonts w:ascii="Arial" w:hAnsi="Arial" w:cs="Arial"/>
        </w:rPr>
        <w:t>Boroughs also continue to strongly engage with the government's Plan for Jobs</w:t>
      </w:r>
      <w:r w:rsidR="00B25E98">
        <w:rPr>
          <w:rFonts w:ascii="Arial" w:hAnsi="Arial" w:cs="Arial"/>
        </w:rPr>
        <w:t>,</w:t>
      </w:r>
      <w:r w:rsidRPr="0095226F">
        <w:rPr>
          <w:rFonts w:ascii="Arial" w:hAnsi="Arial" w:cs="Arial"/>
        </w:rPr>
        <w:t xml:space="preserve"> which was introduced during the pandemic to support UK's economic recovery post-Covid-19</w:t>
      </w:r>
      <w:r w:rsidR="00B25E98">
        <w:rPr>
          <w:rFonts w:ascii="Arial" w:hAnsi="Arial" w:cs="Arial"/>
        </w:rPr>
        <w:t>,</w:t>
      </w:r>
      <w:r w:rsidR="00746787">
        <w:rPr>
          <w:rFonts w:ascii="Arial" w:hAnsi="Arial" w:cs="Arial"/>
        </w:rPr>
        <w:t xml:space="preserve"> and other mainstream government programmes</w:t>
      </w:r>
      <w:r w:rsidRPr="0095226F">
        <w:rPr>
          <w:rFonts w:ascii="Arial" w:hAnsi="Arial" w:cs="Arial"/>
        </w:rPr>
        <w:t xml:space="preserve">. </w:t>
      </w:r>
      <w:r w:rsidR="00B25E98">
        <w:rPr>
          <w:rFonts w:ascii="Arial" w:hAnsi="Arial" w:cs="Arial"/>
        </w:rPr>
        <w:t>They</w:t>
      </w:r>
      <w:r w:rsidR="000B0F1D">
        <w:rPr>
          <w:rFonts w:ascii="Arial" w:hAnsi="Arial" w:cs="Arial"/>
        </w:rPr>
        <w:t xml:space="preserve"> are </w:t>
      </w:r>
      <w:r w:rsidR="00B44FCE">
        <w:rPr>
          <w:rFonts w:ascii="Arial" w:hAnsi="Arial" w:cs="Arial"/>
        </w:rPr>
        <w:t xml:space="preserve">continuing </w:t>
      </w:r>
      <w:r w:rsidR="000B0F1D">
        <w:rPr>
          <w:rFonts w:ascii="Arial" w:hAnsi="Arial" w:cs="Arial"/>
        </w:rPr>
        <w:t>to ensure these mainly national schemes are embedded and work well in their local communities</w:t>
      </w:r>
      <w:r w:rsidR="00B25E98">
        <w:rPr>
          <w:rFonts w:ascii="Arial" w:hAnsi="Arial" w:cs="Arial"/>
        </w:rPr>
        <w:t xml:space="preserve">, responding to </w:t>
      </w:r>
      <w:r w:rsidR="00B44FCE">
        <w:rPr>
          <w:rFonts w:ascii="Arial" w:hAnsi="Arial" w:cs="Arial"/>
        </w:rPr>
        <w:t>increasing economic inactivity and local skills shortages.</w:t>
      </w:r>
    </w:p>
    <w:p w14:paraId="12B28B43" w14:textId="45A5A518" w:rsidR="00BB712E" w:rsidRDefault="008756DA" w:rsidP="00C47317">
      <w:pPr>
        <w:rPr>
          <w:rFonts w:ascii="Arial" w:hAnsi="Arial" w:cs="Arial"/>
        </w:rPr>
      </w:pPr>
      <w:r>
        <w:rPr>
          <w:rFonts w:ascii="Arial" w:hAnsi="Arial" w:cs="Arial"/>
        </w:rPr>
        <w:t>With Kickstart ended,</w:t>
      </w:r>
      <w:r w:rsidR="00F079E9">
        <w:rPr>
          <w:rFonts w:ascii="Arial" w:hAnsi="Arial" w:cs="Arial"/>
        </w:rPr>
        <w:t xml:space="preserve"> </w:t>
      </w:r>
      <w:r w:rsidR="0081424A">
        <w:rPr>
          <w:rFonts w:ascii="Arial" w:hAnsi="Arial" w:cs="Arial"/>
        </w:rPr>
        <w:t xml:space="preserve">future research should aim to identify </w:t>
      </w:r>
      <w:r w:rsidR="007A6141">
        <w:rPr>
          <w:rFonts w:ascii="Arial" w:hAnsi="Arial" w:cs="Arial"/>
        </w:rPr>
        <w:t xml:space="preserve">the gaps in </w:t>
      </w:r>
      <w:r w:rsidR="00F079E9">
        <w:rPr>
          <w:rFonts w:ascii="Arial" w:hAnsi="Arial" w:cs="Arial"/>
        </w:rPr>
        <w:t xml:space="preserve">youth </w:t>
      </w:r>
      <w:r w:rsidR="007A6141">
        <w:rPr>
          <w:rFonts w:ascii="Arial" w:hAnsi="Arial" w:cs="Arial"/>
        </w:rPr>
        <w:t>support and how these can be addressed</w:t>
      </w:r>
      <w:r w:rsidR="00F079E9">
        <w:rPr>
          <w:rFonts w:ascii="Arial" w:hAnsi="Arial" w:cs="Arial"/>
        </w:rPr>
        <w:t>; whether Youth Hubs suffice and are performing as they should be, for example. The new Restart scheme may have captured some of the gap in youth provision, but as youth unemployment continues to rise it seems as though it is not making up for Kickstart fully. R</w:t>
      </w:r>
      <w:r w:rsidR="00FE50C9">
        <w:rPr>
          <w:rFonts w:ascii="Arial" w:hAnsi="Arial" w:cs="Arial"/>
        </w:rPr>
        <w:t xml:space="preserve">esearch should also explore in greater detail the mismatch between </w:t>
      </w:r>
      <w:r w:rsidR="00057A20">
        <w:rPr>
          <w:rFonts w:ascii="Arial" w:hAnsi="Arial" w:cs="Arial"/>
        </w:rPr>
        <w:t xml:space="preserve">current vacancies and available resident skills in order to be able to identify </w:t>
      </w:r>
      <w:r w:rsidR="007064C7">
        <w:rPr>
          <w:rFonts w:ascii="Arial" w:hAnsi="Arial" w:cs="Arial"/>
        </w:rPr>
        <w:t xml:space="preserve">how to </w:t>
      </w:r>
      <w:r w:rsidR="008D5B4A">
        <w:rPr>
          <w:rFonts w:ascii="Arial" w:hAnsi="Arial" w:cs="Arial"/>
        </w:rPr>
        <w:t xml:space="preserve">best </w:t>
      </w:r>
      <w:r w:rsidR="007064C7">
        <w:rPr>
          <w:rFonts w:ascii="Arial" w:hAnsi="Arial" w:cs="Arial"/>
        </w:rPr>
        <w:t>address labour market shortages.</w:t>
      </w:r>
    </w:p>
    <w:p w14:paraId="4804AAE3" w14:textId="57689DEA" w:rsidR="00F85785" w:rsidRPr="004B2FE4" w:rsidRDefault="00F85785" w:rsidP="00C47317">
      <w:pPr>
        <w:rPr>
          <w:rFonts w:ascii="Arial" w:hAnsi="Arial" w:cs="Arial"/>
          <w:b/>
          <w:i/>
        </w:rPr>
      </w:pPr>
      <w:r w:rsidRPr="004B2FE4">
        <w:rPr>
          <w:rFonts w:ascii="Arial" w:hAnsi="Arial" w:cs="Arial"/>
          <w:b/>
          <w:i/>
        </w:rPr>
        <w:t>No Wrong Door</w:t>
      </w:r>
      <w:r w:rsidR="001A11B3">
        <w:rPr>
          <w:rFonts w:ascii="Arial" w:hAnsi="Arial" w:cs="Arial"/>
          <w:b/>
          <w:i/>
        </w:rPr>
        <w:t>, good work</w:t>
      </w:r>
      <w:r w:rsidR="00F079E9">
        <w:rPr>
          <w:rFonts w:ascii="Arial" w:hAnsi="Arial" w:cs="Arial"/>
          <w:b/>
          <w:i/>
        </w:rPr>
        <w:t xml:space="preserve">, </w:t>
      </w:r>
      <w:r w:rsidR="00AF6287" w:rsidRPr="004B2FE4">
        <w:rPr>
          <w:rFonts w:ascii="Arial" w:hAnsi="Arial" w:cs="Arial"/>
          <w:b/>
          <w:i/>
        </w:rPr>
        <w:t>top priority services</w:t>
      </w:r>
      <w:r w:rsidR="00F079E9">
        <w:rPr>
          <w:rFonts w:ascii="Arial" w:hAnsi="Arial" w:cs="Arial"/>
          <w:b/>
          <w:i/>
        </w:rPr>
        <w:t>, and work with DWP</w:t>
      </w:r>
    </w:p>
    <w:p w14:paraId="36E368FB" w14:textId="2D17ED2A" w:rsidR="00153112" w:rsidRDefault="00F30A7E" w:rsidP="00E56A05">
      <w:pPr>
        <w:rPr>
          <w:rFonts w:ascii="Arial" w:hAnsi="Arial" w:cs="Arial"/>
        </w:rPr>
      </w:pPr>
      <w:r>
        <w:rPr>
          <w:rFonts w:ascii="Arial" w:hAnsi="Arial" w:cs="Arial"/>
        </w:rPr>
        <w:t xml:space="preserve">In the last </w:t>
      </w:r>
      <w:r w:rsidR="00F079E9">
        <w:rPr>
          <w:rFonts w:ascii="Arial" w:hAnsi="Arial" w:cs="Arial"/>
        </w:rPr>
        <w:t>three</w:t>
      </w:r>
      <w:r>
        <w:rPr>
          <w:rFonts w:ascii="Arial" w:hAnsi="Arial" w:cs="Arial"/>
        </w:rPr>
        <w:t xml:space="preserve"> years </w:t>
      </w:r>
      <w:r w:rsidR="00D7605C">
        <w:rPr>
          <w:rFonts w:ascii="Arial" w:hAnsi="Arial" w:cs="Arial"/>
        </w:rPr>
        <w:t>all</w:t>
      </w:r>
      <w:r w:rsidR="007C6F3A">
        <w:rPr>
          <w:rFonts w:ascii="Arial" w:hAnsi="Arial" w:cs="Arial"/>
        </w:rPr>
        <w:t xml:space="preserve"> London boroughs have been</w:t>
      </w:r>
      <w:r w:rsidR="00546CF3">
        <w:rPr>
          <w:rFonts w:ascii="Arial" w:hAnsi="Arial" w:cs="Arial"/>
        </w:rPr>
        <w:t xml:space="preserve"> </w:t>
      </w:r>
      <w:r w:rsidR="007C433C">
        <w:rPr>
          <w:rFonts w:ascii="Arial" w:hAnsi="Arial" w:cs="Arial"/>
        </w:rPr>
        <w:t xml:space="preserve">working locally or sub-regionally on </w:t>
      </w:r>
      <w:r w:rsidR="007C6F3A">
        <w:rPr>
          <w:rFonts w:ascii="Arial" w:hAnsi="Arial" w:cs="Arial"/>
        </w:rPr>
        <w:t xml:space="preserve">developing a NWD approach </w:t>
      </w:r>
      <w:r w:rsidR="00C96DE0">
        <w:rPr>
          <w:rFonts w:ascii="Arial" w:hAnsi="Arial" w:cs="Arial"/>
        </w:rPr>
        <w:t>through</w:t>
      </w:r>
      <w:r w:rsidR="0029641D">
        <w:rPr>
          <w:rFonts w:ascii="Arial" w:hAnsi="Arial" w:cs="Arial"/>
        </w:rPr>
        <w:t xml:space="preserve"> </w:t>
      </w:r>
      <w:r w:rsidR="007C433C">
        <w:rPr>
          <w:rFonts w:ascii="Arial" w:hAnsi="Arial" w:cs="Arial"/>
        </w:rPr>
        <w:t xml:space="preserve">closer interactions with different stakeholders, by developing </w:t>
      </w:r>
      <w:r w:rsidR="005068C6">
        <w:rPr>
          <w:rFonts w:ascii="Arial" w:hAnsi="Arial" w:cs="Arial"/>
        </w:rPr>
        <w:t>employment and skills hubs, as well as digital platform</w:t>
      </w:r>
      <w:r w:rsidR="001A0D28">
        <w:rPr>
          <w:rFonts w:ascii="Arial" w:hAnsi="Arial" w:cs="Arial"/>
        </w:rPr>
        <w:t>s for</w:t>
      </w:r>
      <w:r w:rsidR="005068C6">
        <w:rPr>
          <w:rFonts w:ascii="Arial" w:hAnsi="Arial" w:cs="Arial"/>
        </w:rPr>
        <w:t xml:space="preserve"> directing</w:t>
      </w:r>
      <w:r w:rsidR="00BA6786">
        <w:rPr>
          <w:rFonts w:ascii="Arial" w:hAnsi="Arial" w:cs="Arial"/>
        </w:rPr>
        <w:t xml:space="preserve"> residents</w:t>
      </w:r>
      <w:r w:rsidR="005068C6">
        <w:rPr>
          <w:rFonts w:ascii="Arial" w:hAnsi="Arial" w:cs="Arial"/>
        </w:rPr>
        <w:t xml:space="preserve"> to the right services. </w:t>
      </w:r>
    </w:p>
    <w:p w14:paraId="39909C71" w14:textId="768B7AD9" w:rsidR="00153112" w:rsidRDefault="00AD49D1" w:rsidP="00E56A05">
      <w:pPr>
        <w:rPr>
          <w:rFonts w:ascii="Arial" w:hAnsi="Arial" w:cs="Arial"/>
        </w:rPr>
      </w:pPr>
      <w:r>
        <w:rPr>
          <w:rFonts w:ascii="Arial" w:hAnsi="Arial" w:cs="Arial"/>
        </w:rPr>
        <w:t>In 202</w:t>
      </w:r>
      <w:r w:rsidR="00F079E9">
        <w:rPr>
          <w:rFonts w:ascii="Arial" w:hAnsi="Arial" w:cs="Arial"/>
        </w:rPr>
        <w:t>2/23</w:t>
      </w:r>
      <w:r>
        <w:rPr>
          <w:rFonts w:ascii="Arial" w:hAnsi="Arial" w:cs="Arial"/>
        </w:rPr>
        <w:t xml:space="preserve">, many boroughs also </w:t>
      </w:r>
      <w:r w:rsidRPr="00153112">
        <w:rPr>
          <w:rFonts w:ascii="Arial" w:hAnsi="Arial" w:cs="Arial"/>
        </w:rPr>
        <w:t>work</w:t>
      </w:r>
      <w:r w:rsidR="0032094A" w:rsidRPr="00153112">
        <w:rPr>
          <w:rFonts w:ascii="Arial" w:hAnsi="Arial" w:cs="Arial"/>
        </w:rPr>
        <w:t xml:space="preserve">ed to </w:t>
      </w:r>
      <w:r w:rsidR="00F079E9">
        <w:rPr>
          <w:rFonts w:ascii="Arial" w:hAnsi="Arial" w:cs="Arial"/>
        </w:rPr>
        <w:t xml:space="preserve">sustain and promote </w:t>
      </w:r>
      <w:r w:rsidR="00F70D08" w:rsidRPr="00153112">
        <w:rPr>
          <w:rFonts w:ascii="Arial" w:hAnsi="Arial" w:cs="Arial"/>
        </w:rPr>
        <w:t xml:space="preserve">sub-regional Integration Hubs which can help co-ordinate this work. </w:t>
      </w:r>
      <w:r w:rsidR="00BA6786" w:rsidRPr="00153112">
        <w:rPr>
          <w:rFonts w:ascii="Arial" w:hAnsi="Arial" w:cs="Arial"/>
        </w:rPr>
        <w:t xml:space="preserve">Moreover, when asked </w:t>
      </w:r>
      <w:r w:rsidR="003F31B2" w:rsidRPr="00153112">
        <w:rPr>
          <w:rFonts w:ascii="Arial" w:hAnsi="Arial" w:cs="Arial"/>
        </w:rPr>
        <w:t xml:space="preserve">about the top priority activities </w:t>
      </w:r>
      <w:r w:rsidR="007037A0" w:rsidRPr="00153112">
        <w:rPr>
          <w:rFonts w:ascii="Arial" w:hAnsi="Arial" w:cs="Arial"/>
        </w:rPr>
        <w:t>for</w:t>
      </w:r>
      <w:r w:rsidR="003F31B2" w:rsidRPr="00153112">
        <w:rPr>
          <w:rFonts w:ascii="Arial" w:hAnsi="Arial" w:cs="Arial"/>
        </w:rPr>
        <w:t xml:space="preserve"> support</w:t>
      </w:r>
      <w:r w:rsidR="007037A0" w:rsidRPr="00153112">
        <w:rPr>
          <w:rFonts w:ascii="Arial" w:hAnsi="Arial" w:cs="Arial"/>
        </w:rPr>
        <w:t>ing their</w:t>
      </w:r>
      <w:r w:rsidR="003F31B2" w:rsidRPr="00153112">
        <w:rPr>
          <w:rFonts w:ascii="Arial" w:hAnsi="Arial" w:cs="Arial"/>
        </w:rPr>
        <w:t xml:space="preserve"> residents, many boroughs mentioned </w:t>
      </w:r>
      <w:r w:rsidR="00D24C5E" w:rsidRPr="00153112">
        <w:rPr>
          <w:rFonts w:ascii="Arial" w:hAnsi="Arial" w:cs="Arial"/>
        </w:rPr>
        <w:t xml:space="preserve">aspects of </w:t>
      </w:r>
      <w:r w:rsidR="00F079E9">
        <w:rPr>
          <w:rFonts w:ascii="Arial" w:hAnsi="Arial" w:cs="Arial"/>
        </w:rPr>
        <w:t xml:space="preserve">a </w:t>
      </w:r>
      <w:r w:rsidR="00D24C5E" w:rsidRPr="00153112">
        <w:rPr>
          <w:rFonts w:ascii="Arial" w:hAnsi="Arial" w:cs="Arial"/>
        </w:rPr>
        <w:t xml:space="preserve">NWD approach such as </w:t>
      </w:r>
      <w:r w:rsidR="005A39F7" w:rsidRPr="00153112">
        <w:rPr>
          <w:rFonts w:ascii="Arial" w:hAnsi="Arial" w:cs="Arial"/>
        </w:rPr>
        <w:t>building great</w:t>
      </w:r>
      <w:r w:rsidR="00E832F2" w:rsidRPr="00153112">
        <w:rPr>
          <w:rFonts w:ascii="Arial" w:hAnsi="Arial" w:cs="Arial"/>
        </w:rPr>
        <w:t>er</w:t>
      </w:r>
      <w:r w:rsidR="005A39F7" w:rsidRPr="00153112">
        <w:rPr>
          <w:rFonts w:ascii="Arial" w:hAnsi="Arial" w:cs="Arial"/>
        </w:rPr>
        <w:t xml:space="preserve"> co-operation between training providers, </w:t>
      </w:r>
      <w:r w:rsidR="00295B5E" w:rsidRPr="00153112">
        <w:rPr>
          <w:rFonts w:ascii="Arial" w:hAnsi="Arial" w:cs="Arial"/>
        </w:rPr>
        <w:t>employers,</w:t>
      </w:r>
      <w:r w:rsidR="005A39F7" w:rsidRPr="00153112">
        <w:rPr>
          <w:rFonts w:ascii="Arial" w:hAnsi="Arial" w:cs="Arial"/>
        </w:rPr>
        <w:t xml:space="preserve"> and </w:t>
      </w:r>
      <w:r w:rsidR="0078289A" w:rsidRPr="00153112">
        <w:rPr>
          <w:rFonts w:ascii="Arial" w:hAnsi="Arial" w:cs="Arial"/>
        </w:rPr>
        <w:t xml:space="preserve">employment providers, as well as </w:t>
      </w:r>
      <w:r w:rsidR="00A956FC" w:rsidRPr="00153112">
        <w:rPr>
          <w:rFonts w:ascii="Arial" w:hAnsi="Arial" w:cs="Arial"/>
        </w:rPr>
        <w:t xml:space="preserve">greater co-location with other borough services such as welfare and housing. </w:t>
      </w:r>
    </w:p>
    <w:p w14:paraId="1C23FD2E" w14:textId="7973D9E1" w:rsidR="00A956FC" w:rsidRDefault="00A61E38" w:rsidP="00E56A05">
      <w:pPr>
        <w:rPr>
          <w:rFonts w:ascii="Arial" w:hAnsi="Arial" w:cs="Arial"/>
        </w:rPr>
      </w:pPr>
      <w:r w:rsidRPr="00153112">
        <w:rPr>
          <w:rFonts w:ascii="Arial" w:hAnsi="Arial" w:cs="Arial"/>
        </w:rPr>
        <w:lastRenderedPageBreak/>
        <w:t xml:space="preserve">Supporting good quality working practices was another priority for London boroughs with </w:t>
      </w:r>
      <w:r w:rsidR="00F01463" w:rsidRPr="00153112">
        <w:rPr>
          <w:rFonts w:ascii="Arial" w:hAnsi="Arial" w:cs="Arial"/>
        </w:rPr>
        <w:t>most of them using their employment support services as a key channel for promoting the good work agenda. This is a positive finding showing that while boroughs</w:t>
      </w:r>
      <w:r w:rsidR="00704C77" w:rsidRPr="00153112">
        <w:rPr>
          <w:rFonts w:ascii="Arial" w:hAnsi="Arial" w:cs="Arial"/>
        </w:rPr>
        <w:t xml:space="preserve"> are still recovering from the pandemi</w:t>
      </w:r>
      <w:r w:rsidR="00F079E9">
        <w:rPr>
          <w:rFonts w:ascii="Arial" w:hAnsi="Arial" w:cs="Arial"/>
        </w:rPr>
        <w:t>c and grappling with the cost of living crisis</w:t>
      </w:r>
      <w:r w:rsidR="00704C77" w:rsidRPr="00153112">
        <w:rPr>
          <w:rFonts w:ascii="Arial" w:hAnsi="Arial" w:cs="Arial"/>
        </w:rPr>
        <w:t xml:space="preserve">, they have the capacity to go beyond crisis-management activities and focus on economic development and supporting residents into good work, rather than </w:t>
      </w:r>
      <w:r w:rsidR="00953F50" w:rsidRPr="00153112">
        <w:rPr>
          <w:rFonts w:ascii="Arial" w:hAnsi="Arial" w:cs="Arial"/>
        </w:rPr>
        <w:t>low-paid employment.</w:t>
      </w:r>
      <w:r w:rsidR="00704C77" w:rsidRPr="00153112">
        <w:rPr>
          <w:rFonts w:ascii="Arial" w:hAnsi="Arial" w:cs="Arial"/>
        </w:rPr>
        <w:t xml:space="preserve"> </w:t>
      </w:r>
      <w:r w:rsidR="00F7064B">
        <w:rPr>
          <w:rFonts w:ascii="Arial" w:hAnsi="Arial" w:cs="Arial"/>
        </w:rPr>
        <w:t xml:space="preserve">Alongside a greater focus on in-work progression out of low pay, boroughs have identified their next steps in prioritising working more closely with employers in key sectors to address key jobs and skills shortages. </w:t>
      </w:r>
    </w:p>
    <w:p w14:paraId="1CBBCB33" w14:textId="0CB567FA" w:rsidR="00F079E9" w:rsidRDefault="00F079E9" w:rsidP="00E56A05">
      <w:pPr>
        <w:rPr>
          <w:rFonts w:ascii="Arial" w:hAnsi="Arial" w:cs="Arial"/>
        </w:rPr>
      </w:pPr>
      <w:r>
        <w:rPr>
          <w:rFonts w:ascii="Arial" w:hAnsi="Arial" w:cs="Arial"/>
        </w:rPr>
        <w:t xml:space="preserve">On working with DWP, boroughs reported good working relationships with room for improvement. Priorities included </w:t>
      </w:r>
      <w:r w:rsidR="00DC65DB">
        <w:rPr>
          <w:rFonts w:ascii="Arial" w:hAnsi="Arial" w:cs="Arial"/>
        </w:rPr>
        <w:t xml:space="preserve">increasing transparency and communication around referrals in JCP, more opportunities for co-design and co-commissioning of programmes and more data sharing between parties. Boroughs would like to see themselves as strategic partners with DWP, suggesting that a deepening of the working relationship should be pursued, rather than viewing these two important services as separate to one another. </w:t>
      </w:r>
    </w:p>
    <w:p w14:paraId="20FA65B7" w14:textId="77777777" w:rsidR="00F079E9" w:rsidRPr="00153112" w:rsidRDefault="00F079E9" w:rsidP="00E56A05"/>
    <w:sectPr w:rsidR="00F079E9" w:rsidRPr="00153112" w:rsidSect="00F033DC">
      <w:headerReference w:type="default" r:id="rId19"/>
      <w:footerReference w:type="default" r:id="rId20"/>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681583" w14:textId="77777777" w:rsidR="00FF5528" w:rsidRDefault="00FF5528" w:rsidP="00746F89">
      <w:pPr>
        <w:spacing w:after="0" w:line="240" w:lineRule="auto"/>
      </w:pPr>
      <w:r>
        <w:separator/>
      </w:r>
    </w:p>
  </w:endnote>
  <w:endnote w:type="continuationSeparator" w:id="0">
    <w:p w14:paraId="23409DD9" w14:textId="77777777" w:rsidR="00FF5528" w:rsidRDefault="00FF5528" w:rsidP="00746F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73011791"/>
      <w:docPartObj>
        <w:docPartGallery w:val="Page Numbers (Bottom of Page)"/>
        <w:docPartUnique/>
      </w:docPartObj>
    </w:sdtPr>
    <w:sdtEndPr>
      <w:rPr>
        <w:color w:val="7F7F7F" w:themeColor="background1" w:themeShade="7F"/>
        <w:spacing w:val="60"/>
      </w:rPr>
    </w:sdtEndPr>
    <w:sdtContent>
      <w:p w14:paraId="2CE18001" w14:textId="10A3D2E2" w:rsidR="000B3D7D" w:rsidRDefault="000B3D7D">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040C011B" w14:textId="77777777" w:rsidR="000B3D7D" w:rsidRDefault="000B3D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70C040" w14:textId="77777777" w:rsidR="00FF5528" w:rsidRDefault="00FF5528" w:rsidP="00746F89">
      <w:pPr>
        <w:spacing w:after="0" w:line="240" w:lineRule="auto"/>
      </w:pPr>
      <w:r>
        <w:separator/>
      </w:r>
    </w:p>
  </w:footnote>
  <w:footnote w:type="continuationSeparator" w:id="0">
    <w:p w14:paraId="38A3C64F" w14:textId="77777777" w:rsidR="00FF5528" w:rsidRDefault="00FF5528" w:rsidP="00746F89">
      <w:pPr>
        <w:spacing w:after="0" w:line="240" w:lineRule="auto"/>
      </w:pPr>
      <w:r>
        <w:continuationSeparator/>
      </w:r>
    </w:p>
  </w:footnote>
  <w:footnote w:id="1">
    <w:p w14:paraId="44795022" w14:textId="28F1A4FE" w:rsidR="00202E8C" w:rsidRDefault="00202E8C">
      <w:pPr>
        <w:pStyle w:val="FootnoteText"/>
      </w:pPr>
      <w:r>
        <w:rPr>
          <w:rStyle w:val="FootnoteReference"/>
        </w:rPr>
        <w:footnoteRef/>
      </w:r>
      <w:r>
        <w:t xml:space="preserve"> There is a slight discrepancy between the lower average borough spend and higher total spend by boroughs between this year and last. This can be explained by the number of boroughs responding to the question this year, which is 5 higher than those that responded last year, leading to a lower average but higher total spend. </w:t>
      </w:r>
    </w:p>
  </w:footnote>
  <w:footnote w:id="2">
    <w:p w14:paraId="607A6D6D" w14:textId="30D8DEE9" w:rsidR="005453A9" w:rsidRDefault="005453A9">
      <w:pPr>
        <w:pStyle w:val="FootnoteText"/>
      </w:pPr>
      <w:r>
        <w:rPr>
          <w:rStyle w:val="FootnoteReference"/>
        </w:rPr>
        <w:footnoteRef/>
      </w:r>
      <w:r>
        <w:t xml:space="preserve"> Whilst these boroughs do not have their own employment service, they may have capacity for one-off activity and support interventions, and as such may have responded to other questions in the survey where they can.</w:t>
      </w:r>
    </w:p>
  </w:footnote>
  <w:footnote w:id="3">
    <w:p w14:paraId="265C41BD" w14:textId="475C092D" w:rsidR="00BD57B6" w:rsidRDefault="00BD57B6">
      <w:pPr>
        <w:pStyle w:val="FootnoteText"/>
      </w:pPr>
      <w:r>
        <w:rPr>
          <w:rStyle w:val="FootnoteReference"/>
        </w:rPr>
        <w:footnoteRef/>
      </w:r>
      <w:r>
        <w:t xml:space="preserve"> There is a slight discrepancy between the lower average borough spend and higher total spend by boroughs between this year and last. This can be explained by the number of boroughs responding to the question this year, which is 5 higher than those that responded last year, leading to a lower average but higher total spend.</w:t>
      </w:r>
    </w:p>
  </w:footnote>
  <w:footnote w:id="4">
    <w:p w14:paraId="02384AB2" w14:textId="7BAA3875" w:rsidR="00BA153C" w:rsidRDefault="00BA153C">
      <w:pPr>
        <w:pStyle w:val="FootnoteText"/>
      </w:pPr>
      <w:r>
        <w:rPr>
          <w:rStyle w:val="FootnoteReference"/>
        </w:rPr>
        <w:footnoteRef/>
      </w:r>
      <w:r>
        <w:t xml:space="preserve"> </w:t>
      </w:r>
      <w:r w:rsidR="00034872">
        <w:t>Boroughs may have included officers who work in employment and skills policy in this count.</w:t>
      </w:r>
    </w:p>
  </w:footnote>
  <w:footnote w:id="5">
    <w:p w14:paraId="773753F8" w14:textId="611C4E22" w:rsidR="001B08E6" w:rsidRDefault="001B08E6">
      <w:pPr>
        <w:pStyle w:val="FootnoteText"/>
      </w:pPr>
      <w:r>
        <w:rPr>
          <w:rStyle w:val="FootnoteReference"/>
        </w:rPr>
        <w:footnoteRef/>
      </w:r>
      <w:r>
        <w:t xml:space="preserve"> The government is no longer providing traineeships nationally. In devolved areas like London it will be up to the GLA to decide if traineeships will continue. </w:t>
      </w:r>
    </w:p>
  </w:footnote>
  <w:footnote w:id="6">
    <w:p w14:paraId="55812C43" w14:textId="39C6CBF9" w:rsidR="005209DB" w:rsidRDefault="005209DB">
      <w:pPr>
        <w:pStyle w:val="FootnoteText"/>
      </w:pPr>
      <w:r>
        <w:rPr>
          <w:rStyle w:val="FootnoteReference"/>
        </w:rPr>
        <w:footnoteRef/>
      </w:r>
      <w:r>
        <w:t xml:space="preserve"> Some boroughs specified that they were not directly delivering these elements, but would often refer to them.</w:t>
      </w:r>
    </w:p>
  </w:footnote>
  <w:footnote w:id="7">
    <w:p w14:paraId="3AB02A4B" w14:textId="7E269C77" w:rsidR="00DA2046" w:rsidRDefault="00DA2046">
      <w:pPr>
        <w:pStyle w:val="FootnoteText"/>
      </w:pPr>
      <w:r>
        <w:rPr>
          <w:rStyle w:val="FootnoteReference"/>
        </w:rPr>
        <w:footnoteRef/>
      </w:r>
      <w:r>
        <w:t xml:space="preserve"> i.e. Base: 29 responses. The four boroughs who have stated that they do have an employment service were unable to answer this question.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79113C" w14:textId="377514FE" w:rsidR="000B3D7D" w:rsidRDefault="000B3D7D">
    <w:pPr>
      <w:pStyle w:val="Header"/>
    </w:pPr>
    <w:r>
      <w:rPr>
        <w:noProof/>
      </w:rPr>
      <w:drawing>
        <wp:anchor distT="0" distB="0" distL="114300" distR="114300" simplePos="0" relativeHeight="251658240" behindDoc="1" locked="0" layoutInCell="1" allowOverlap="1" wp14:anchorId="467DF211" wp14:editId="56458FF3">
          <wp:simplePos x="0" y="0"/>
          <wp:positionH relativeFrom="column">
            <wp:posOffset>5153025</wp:posOffset>
          </wp:positionH>
          <wp:positionV relativeFrom="paragraph">
            <wp:posOffset>-268605</wp:posOffset>
          </wp:positionV>
          <wp:extent cx="1248410" cy="596900"/>
          <wp:effectExtent l="0" t="0" r="8890" b="0"/>
          <wp:wrapTight wrapText="bothSides">
            <wp:wrapPolygon edited="0">
              <wp:start x="0" y="0"/>
              <wp:lineTo x="0" y="20681"/>
              <wp:lineTo x="21424" y="20681"/>
              <wp:lineTo x="21424" y="0"/>
              <wp:lineTo x="0" y="0"/>
            </wp:wrapPolygon>
          </wp:wrapTight>
          <wp:docPr id="5" name="Picture 5" descr="smaller_London Councils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er_London Councils_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8410" cy="596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531EA7"/>
    <w:multiLevelType w:val="hybridMultilevel"/>
    <w:tmpl w:val="525ADE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F736A74"/>
    <w:multiLevelType w:val="hybridMultilevel"/>
    <w:tmpl w:val="6CBE2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1A2C95"/>
    <w:multiLevelType w:val="hybridMultilevel"/>
    <w:tmpl w:val="09F08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5F174F"/>
    <w:multiLevelType w:val="hybridMultilevel"/>
    <w:tmpl w:val="F3802496"/>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4" w15:restartNumberingAfterBreak="0">
    <w:nsid w:val="2B231CE5"/>
    <w:multiLevelType w:val="hybridMultilevel"/>
    <w:tmpl w:val="623E4F26"/>
    <w:lvl w:ilvl="0" w:tplc="B4C2FC56">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191B8A"/>
    <w:multiLevelType w:val="hybridMultilevel"/>
    <w:tmpl w:val="41104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BA13CD"/>
    <w:multiLevelType w:val="hybridMultilevel"/>
    <w:tmpl w:val="97D09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82652A9"/>
    <w:multiLevelType w:val="hybridMultilevel"/>
    <w:tmpl w:val="E6D2C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2A9030C"/>
    <w:multiLevelType w:val="hybridMultilevel"/>
    <w:tmpl w:val="6120811E"/>
    <w:lvl w:ilvl="0" w:tplc="1CA8C4F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BC510A9"/>
    <w:multiLevelType w:val="hybridMultilevel"/>
    <w:tmpl w:val="88801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9"/>
  </w:num>
  <w:num w:numId="5">
    <w:abstractNumId w:val="8"/>
  </w:num>
  <w:num w:numId="6">
    <w:abstractNumId w:val="6"/>
  </w:num>
  <w:num w:numId="7">
    <w:abstractNumId w:val="4"/>
  </w:num>
  <w:num w:numId="8">
    <w:abstractNumId w:val="1"/>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054"/>
    <w:rsid w:val="000003FD"/>
    <w:rsid w:val="00002374"/>
    <w:rsid w:val="00003609"/>
    <w:rsid w:val="000046E0"/>
    <w:rsid w:val="00006E4C"/>
    <w:rsid w:val="0001065D"/>
    <w:rsid w:val="00012578"/>
    <w:rsid w:val="00012FC5"/>
    <w:rsid w:val="000145CB"/>
    <w:rsid w:val="00014908"/>
    <w:rsid w:val="00016478"/>
    <w:rsid w:val="00016793"/>
    <w:rsid w:val="00021749"/>
    <w:rsid w:val="00027899"/>
    <w:rsid w:val="00030591"/>
    <w:rsid w:val="00030669"/>
    <w:rsid w:val="00032C9A"/>
    <w:rsid w:val="00032CA9"/>
    <w:rsid w:val="00034872"/>
    <w:rsid w:val="00037C93"/>
    <w:rsid w:val="00037D03"/>
    <w:rsid w:val="00042CF0"/>
    <w:rsid w:val="00043033"/>
    <w:rsid w:val="000439BE"/>
    <w:rsid w:val="0004502C"/>
    <w:rsid w:val="00047119"/>
    <w:rsid w:val="000555A6"/>
    <w:rsid w:val="00056A1A"/>
    <w:rsid w:val="00057A20"/>
    <w:rsid w:val="000604EF"/>
    <w:rsid w:val="00063C7F"/>
    <w:rsid w:val="000658D8"/>
    <w:rsid w:val="00066326"/>
    <w:rsid w:val="00070468"/>
    <w:rsid w:val="00070479"/>
    <w:rsid w:val="000706B3"/>
    <w:rsid w:val="000745E7"/>
    <w:rsid w:val="00074BBA"/>
    <w:rsid w:val="00075A11"/>
    <w:rsid w:val="0008128C"/>
    <w:rsid w:val="00082A88"/>
    <w:rsid w:val="000830AA"/>
    <w:rsid w:val="00085D31"/>
    <w:rsid w:val="00085FC8"/>
    <w:rsid w:val="00086DFD"/>
    <w:rsid w:val="000900C6"/>
    <w:rsid w:val="00091CEA"/>
    <w:rsid w:val="00094C03"/>
    <w:rsid w:val="000A078B"/>
    <w:rsid w:val="000A1103"/>
    <w:rsid w:val="000A1A89"/>
    <w:rsid w:val="000A2150"/>
    <w:rsid w:val="000A230B"/>
    <w:rsid w:val="000A47F5"/>
    <w:rsid w:val="000A54E7"/>
    <w:rsid w:val="000B067F"/>
    <w:rsid w:val="000B0F1D"/>
    <w:rsid w:val="000B3194"/>
    <w:rsid w:val="000B3D7D"/>
    <w:rsid w:val="000B5701"/>
    <w:rsid w:val="000B5FEF"/>
    <w:rsid w:val="000C0C08"/>
    <w:rsid w:val="000C3A0D"/>
    <w:rsid w:val="000C57BB"/>
    <w:rsid w:val="000C5C08"/>
    <w:rsid w:val="000D17AD"/>
    <w:rsid w:val="000D1D4E"/>
    <w:rsid w:val="000D4BEB"/>
    <w:rsid w:val="000D4D97"/>
    <w:rsid w:val="000D6BAC"/>
    <w:rsid w:val="000D7E2C"/>
    <w:rsid w:val="000E0311"/>
    <w:rsid w:val="000E3FCF"/>
    <w:rsid w:val="000E7AE0"/>
    <w:rsid w:val="000F5EEA"/>
    <w:rsid w:val="000F638F"/>
    <w:rsid w:val="00100503"/>
    <w:rsid w:val="00101359"/>
    <w:rsid w:val="0010317B"/>
    <w:rsid w:val="00103C98"/>
    <w:rsid w:val="00104B1A"/>
    <w:rsid w:val="00105358"/>
    <w:rsid w:val="00120736"/>
    <w:rsid w:val="001217A7"/>
    <w:rsid w:val="00121B03"/>
    <w:rsid w:val="0012317C"/>
    <w:rsid w:val="0012482E"/>
    <w:rsid w:val="00125EB0"/>
    <w:rsid w:val="001269B1"/>
    <w:rsid w:val="00130D06"/>
    <w:rsid w:val="00130E5E"/>
    <w:rsid w:val="00133EB5"/>
    <w:rsid w:val="00136C88"/>
    <w:rsid w:val="0014113F"/>
    <w:rsid w:val="00142A9B"/>
    <w:rsid w:val="001445B4"/>
    <w:rsid w:val="001468E5"/>
    <w:rsid w:val="001514F7"/>
    <w:rsid w:val="00152C8A"/>
    <w:rsid w:val="00153112"/>
    <w:rsid w:val="00153378"/>
    <w:rsid w:val="00153BAC"/>
    <w:rsid w:val="00157354"/>
    <w:rsid w:val="00157CB0"/>
    <w:rsid w:val="00160D0A"/>
    <w:rsid w:val="00161B66"/>
    <w:rsid w:val="001622CA"/>
    <w:rsid w:val="001634A6"/>
    <w:rsid w:val="001660C0"/>
    <w:rsid w:val="001661C5"/>
    <w:rsid w:val="0016745F"/>
    <w:rsid w:val="001767DF"/>
    <w:rsid w:val="001771EA"/>
    <w:rsid w:val="0018017A"/>
    <w:rsid w:val="001805A7"/>
    <w:rsid w:val="00181196"/>
    <w:rsid w:val="00182AE7"/>
    <w:rsid w:val="00183004"/>
    <w:rsid w:val="00183C50"/>
    <w:rsid w:val="001841BE"/>
    <w:rsid w:val="00187D66"/>
    <w:rsid w:val="00193124"/>
    <w:rsid w:val="001973E5"/>
    <w:rsid w:val="001A0D28"/>
    <w:rsid w:val="001A0D29"/>
    <w:rsid w:val="001A11B3"/>
    <w:rsid w:val="001A15AB"/>
    <w:rsid w:val="001A4210"/>
    <w:rsid w:val="001B08E6"/>
    <w:rsid w:val="001B1F58"/>
    <w:rsid w:val="001B5238"/>
    <w:rsid w:val="001C05DC"/>
    <w:rsid w:val="001C10C2"/>
    <w:rsid w:val="001C46F5"/>
    <w:rsid w:val="001C50DB"/>
    <w:rsid w:val="001C5607"/>
    <w:rsid w:val="001C6278"/>
    <w:rsid w:val="001C641A"/>
    <w:rsid w:val="001C7C6E"/>
    <w:rsid w:val="001D3881"/>
    <w:rsid w:val="001E16D3"/>
    <w:rsid w:val="001E1A37"/>
    <w:rsid w:val="001E39AF"/>
    <w:rsid w:val="001E7688"/>
    <w:rsid w:val="001F025B"/>
    <w:rsid w:val="001F0FED"/>
    <w:rsid w:val="001F4C4A"/>
    <w:rsid w:val="001F653F"/>
    <w:rsid w:val="00202E8C"/>
    <w:rsid w:val="002058BC"/>
    <w:rsid w:val="00205BA4"/>
    <w:rsid w:val="00205FBF"/>
    <w:rsid w:val="002066EF"/>
    <w:rsid w:val="00207653"/>
    <w:rsid w:val="00207FA8"/>
    <w:rsid w:val="00211561"/>
    <w:rsid w:val="002121D9"/>
    <w:rsid w:val="00212479"/>
    <w:rsid w:val="00213BF3"/>
    <w:rsid w:val="002152F9"/>
    <w:rsid w:val="00216470"/>
    <w:rsid w:val="00217B88"/>
    <w:rsid w:val="00217C01"/>
    <w:rsid w:val="00220E53"/>
    <w:rsid w:val="00222B23"/>
    <w:rsid w:val="00224982"/>
    <w:rsid w:val="00233F55"/>
    <w:rsid w:val="00234BD2"/>
    <w:rsid w:val="002354A0"/>
    <w:rsid w:val="00240F72"/>
    <w:rsid w:val="00242CC8"/>
    <w:rsid w:val="00243822"/>
    <w:rsid w:val="0024400D"/>
    <w:rsid w:val="002470EF"/>
    <w:rsid w:val="002505DD"/>
    <w:rsid w:val="00251BD0"/>
    <w:rsid w:val="002550D0"/>
    <w:rsid w:val="0025545C"/>
    <w:rsid w:val="002559C1"/>
    <w:rsid w:val="00255D86"/>
    <w:rsid w:val="00262906"/>
    <w:rsid w:val="00267F6B"/>
    <w:rsid w:val="00272590"/>
    <w:rsid w:val="00273B80"/>
    <w:rsid w:val="002746CE"/>
    <w:rsid w:val="002761E2"/>
    <w:rsid w:val="00281E26"/>
    <w:rsid w:val="00281EEC"/>
    <w:rsid w:val="0028329E"/>
    <w:rsid w:val="0028385B"/>
    <w:rsid w:val="002863D3"/>
    <w:rsid w:val="00294201"/>
    <w:rsid w:val="002943BC"/>
    <w:rsid w:val="00294C0E"/>
    <w:rsid w:val="00294D2E"/>
    <w:rsid w:val="00295B5E"/>
    <w:rsid w:val="0029641D"/>
    <w:rsid w:val="00297BBE"/>
    <w:rsid w:val="002A28A0"/>
    <w:rsid w:val="002A306D"/>
    <w:rsid w:val="002A51CF"/>
    <w:rsid w:val="002A6C94"/>
    <w:rsid w:val="002A6DFC"/>
    <w:rsid w:val="002B0535"/>
    <w:rsid w:val="002B0885"/>
    <w:rsid w:val="002B1C71"/>
    <w:rsid w:val="002B2644"/>
    <w:rsid w:val="002B29D7"/>
    <w:rsid w:val="002B39E4"/>
    <w:rsid w:val="002B4038"/>
    <w:rsid w:val="002B422C"/>
    <w:rsid w:val="002B5003"/>
    <w:rsid w:val="002B67FD"/>
    <w:rsid w:val="002B723B"/>
    <w:rsid w:val="002B7BEA"/>
    <w:rsid w:val="002C291F"/>
    <w:rsid w:val="002C3401"/>
    <w:rsid w:val="002C55E9"/>
    <w:rsid w:val="002C76DB"/>
    <w:rsid w:val="002D13B2"/>
    <w:rsid w:val="002D1FA3"/>
    <w:rsid w:val="002D3202"/>
    <w:rsid w:val="002D3C1A"/>
    <w:rsid w:val="002D7101"/>
    <w:rsid w:val="002E1D14"/>
    <w:rsid w:val="002E2E10"/>
    <w:rsid w:val="002E3B9E"/>
    <w:rsid w:val="002E4CCD"/>
    <w:rsid w:val="002E537B"/>
    <w:rsid w:val="002E70E7"/>
    <w:rsid w:val="002F13C7"/>
    <w:rsid w:val="002F1C82"/>
    <w:rsid w:val="002F5D46"/>
    <w:rsid w:val="002F61B0"/>
    <w:rsid w:val="002F79C0"/>
    <w:rsid w:val="00300271"/>
    <w:rsid w:val="00301475"/>
    <w:rsid w:val="00301F31"/>
    <w:rsid w:val="00303722"/>
    <w:rsid w:val="003046C8"/>
    <w:rsid w:val="003077A4"/>
    <w:rsid w:val="003117CA"/>
    <w:rsid w:val="00311FFE"/>
    <w:rsid w:val="00312275"/>
    <w:rsid w:val="003130FF"/>
    <w:rsid w:val="00315454"/>
    <w:rsid w:val="00316C0D"/>
    <w:rsid w:val="0032094A"/>
    <w:rsid w:val="00320B60"/>
    <w:rsid w:val="00326545"/>
    <w:rsid w:val="00333C42"/>
    <w:rsid w:val="00335011"/>
    <w:rsid w:val="0033707C"/>
    <w:rsid w:val="00340E5F"/>
    <w:rsid w:val="0034172D"/>
    <w:rsid w:val="0034217E"/>
    <w:rsid w:val="00342BF6"/>
    <w:rsid w:val="00342C9F"/>
    <w:rsid w:val="00343BFB"/>
    <w:rsid w:val="00344691"/>
    <w:rsid w:val="00347CC4"/>
    <w:rsid w:val="00350E27"/>
    <w:rsid w:val="00352978"/>
    <w:rsid w:val="00353054"/>
    <w:rsid w:val="003574AF"/>
    <w:rsid w:val="003611C2"/>
    <w:rsid w:val="0036422A"/>
    <w:rsid w:val="00366300"/>
    <w:rsid w:val="003671D2"/>
    <w:rsid w:val="00372C6A"/>
    <w:rsid w:val="00374D67"/>
    <w:rsid w:val="00381759"/>
    <w:rsid w:val="003839BE"/>
    <w:rsid w:val="00385952"/>
    <w:rsid w:val="00387578"/>
    <w:rsid w:val="00391335"/>
    <w:rsid w:val="00391CDA"/>
    <w:rsid w:val="00393531"/>
    <w:rsid w:val="00394264"/>
    <w:rsid w:val="00394900"/>
    <w:rsid w:val="003953F0"/>
    <w:rsid w:val="003A1F49"/>
    <w:rsid w:val="003A470C"/>
    <w:rsid w:val="003A4E5E"/>
    <w:rsid w:val="003A5C23"/>
    <w:rsid w:val="003A7EA7"/>
    <w:rsid w:val="003B030F"/>
    <w:rsid w:val="003B13AF"/>
    <w:rsid w:val="003B1771"/>
    <w:rsid w:val="003B1C46"/>
    <w:rsid w:val="003B3322"/>
    <w:rsid w:val="003B40D3"/>
    <w:rsid w:val="003B584C"/>
    <w:rsid w:val="003B75B4"/>
    <w:rsid w:val="003C0594"/>
    <w:rsid w:val="003C13C5"/>
    <w:rsid w:val="003C524E"/>
    <w:rsid w:val="003C686A"/>
    <w:rsid w:val="003C7282"/>
    <w:rsid w:val="003D13B1"/>
    <w:rsid w:val="003D2FA0"/>
    <w:rsid w:val="003D5E33"/>
    <w:rsid w:val="003D6FE6"/>
    <w:rsid w:val="003D7AD8"/>
    <w:rsid w:val="003E0D83"/>
    <w:rsid w:val="003E1A60"/>
    <w:rsid w:val="003E30F8"/>
    <w:rsid w:val="003E3D43"/>
    <w:rsid w:val="003E61C8"/>
    <w:rsid w:val="003F0496"/>
    <w:rsid w:val="003F0E54"/>
    <w:rsid w:val="003F2A86"/>
    <w:rsid w:val="003F2E95"/>
    <w:rsid w:val="003F31B2"/>
    <w:rsid w:val="003F590B"/>
    <w:rsid w:val="003F66F9"/>
    <w:rsid w:val="00401D14"/>
    <w:rsid w:val="00402598"/>
    <w:rsid w:val="0040486C"/>
    <w:rsid w:val="0040716E"/>
    <w:rsid w:val="00410E22"/>
    <w:rsid w:val="004110E9"/>
    <w:rsid w:val="004114CF"/>
    <w:rsid w:val="00412898"/>
    <w:rsid w:val="00414F14"/>
    <w:rsid w:val="004161EE"/>
    <w:rsid w:val="0041684A"/>
    <w:rsid w:val="00416DD7"/>
    <w:rsid w:val="0042100A"/>
    <w:rsid w:val="0042193A"/>
    <w:rsid w:val="0042427C"/>
    <w:rsid w:val="00425B1B"/>
    <w:rsid w:val="004264A3"/>
    <w:rsid w:val="0043240E"/>
    <w:rsid w:val="00436595"/>
    <w:rsid w:val="00436EB0"/>
    <w:rsid w:val="004408E0"/>
    <w:rsid w:val="00440CF0"/>
    <w:rsid w:val="00441DE2"/>
    <w:rsid w:val="004442F2"/>
    <w:rsid w:val="00445235"/>
    <w:rsid w:val="00445DA8"/>
    <w:rsid w:val="00446F88"/>
    <w:rsid w:val="00447FB4"/>
    <w:rsid w:val="00452651"/>
    <w:rsid w:val="00452E5F"/>
    <w:rsid w:val="0045324A"/>
    <w:rsid w:val="00453DF5"/>
    <w:rsid w:val="004545AE"/>
    <w:rsid w:val="0045690E"/>
    <w:rsid w:val="00457156"/>
    <w:rsid w:val="004574C9"/>
    <w:rsid w:val="0046286E"/>
    <w:rsid w:val="004666ED"/>
    <w:rsid w:val="0047178C"/>
    <w:rsid w:val="00472ACE"/>
    <w:rsid w:val="00477A5C"/>
    <w:rsid w:val="00481AFD"/>
    <w:rsid w:val="004823F6"/>
    <w:rsid w:val="0048398D"/>
    <w:rsid w:val="00484D6A"/>
    <w:rsid w:val="00484D79"/>
    <w:rsid w:val="00484F9D"/>
    <w:rsid w:val="0049051B"/>
    <w:rsid w:val="00493EA4"/>
    <w:rsid w:val="00497A88"/>
    <w:rsid w:val="004A13E0"/>
    <w:rsid w:val="004A63BB"/>
    <w:rsid w:val="004B2FE4"/>
    <w:rsid w:val="004B3E43"/>
    <w:rsid w:val="004B49A4"/>
    <w:rsid w:val="004B7FB7"/>
    <w:rsid w:val="004C1726"/>
    <w:rsid w:val="004C1740"/>
    <w:rsid w:val="004C17CF"/>
    <w:rsid w:val="004C666C"/>
    <w:rsid w:val="004D1F24"/>
    <w:rsid w:val="004E03E4"/>
    <w:rsid w:val="004E1DCE"/>
    <w:rsid w:val="004E3444"/>
    <w:rsid w:val="004E4CE9"/>
    <w:rsid w:val="004E52CB"/>
    <w:rsid w:val="004E56C1"/>
    <w:rsid w:val="004E5FED"/>
    <w:rsid w:val="004E764A"/>
    <w:rsid w:val="004E7A15"/>
    <w:rsid w:val="004F284D"/>
    <w:rsid w:val="004F2951"/>
    <w:rsid w:val="004F33F8"/>
    <w:rsid w:val="004F47E1"/>
    <w:rsid w:val="004F4DA6"/>
    <w:rsid w:val="004F57A6"/>
    <w:rsid w:val="004F5F74"/>
    <w:rsid w:val="004F62A4"/>
    <w:rsid w:val="004F63EE"/>
    <w:rsid w:val="004F7078"/>
    <w:rsid w:val="004F7659"/>
    <w:rsid w:val="00500F31"/>
    <w:rsid w:val="00503C1A"/>
    <w:rsid w:val="00504503"/>
    <w:rsid w:val="005068C6"/>
    <w:rsid w:val="005069C5"/>
    <w:rsid w:val="00507D23"/>
    <w:rsid w:val="0051004C"/>
    <w:rsid w:val="00511160"/>
    <w:rsid w:val="00512690"/>
    <w:rsid w:val="0051327E"/>
    <w:rsid w:val="005140BA"/>
    <w:rsid w:val="005141E0"/>
    <w:rsid w:val="00514B13"/>
    <w:rsid w:val="00514F27"/>
    <w:rsid w:val="005154CC"/>
    <w:rsid w:val="005167C5"/>
    <w:rsid w:val="005209DB"/>
    <w:rsid w:val="00520E04"/>
    <w:rsid w:val="00532252"/>
    <w:rsid w:val="00532A95"/>
    <w:rsid w:val="00537C5C"/>
    <w:rsid w:val="00537E27"/>
    <w:rsid w:val="00540B93"/>
    <w:rsid w:val="005429AA"/>
    <w:rsid w:val="00543BE9"/>
    <w:rsid w:val="00545058"/>
    <w:rsid w:val="005453A9"/>
    <w:rsid w:val="00546CF3"/>
    <w:rsid w:val="0055141E"/>
    <w:rsid w:val="00552AE8"/>
    <w:rsid w:val="00554332"/>
    <w:rsid w:val="005558C0"/>
    <w:rsid w:val="005566CD"/>
    <w:rsid w:val="00557B4B"/>
    <w:rsid w:val="00566B7F"/>
    <w:rsid w:val="00574731"/>
    <w:rsid w:val="005769D4"/>
    <w:rsid w:val="00585F75"/>
    <w:rsid w:val="00593BAD"/>
    <w:rsid w:val="0059521A"/>
    <w:rsid w:val="005965A5"/>
    <w:rsid w:val="00597D4A"/>
    <w:rsid w:val="005A2055"/>
    <w:rsid w:val="005A39F7"/>
    <w:rsid w:val="005A5FB3"/>
    <w:rsid w:val="005A63C3"/>
    <w:rsid w:val="005B104F"/>
    <w:rsid w:val="005B30A8"/>
    <w:rsid w:val="005B5DDF"/>
    <w:rsid w:val="005C4BCB"/>
    <w:rsid w:val="005C58FE"/>
    <w:rsid w:val="005C67FA"/>
    <w:rsid w:val="005D0C78"/>
    <w:rsid w:val="005D3324"/>
    <w:rsid w:val="005D4FFA"/>
    <w:rsid w:val="005D50D7"/>
    <w:rsid w:val="005E1472"/>
    <w:rsid w:val="005E184C"/>
    <w:rsid w:val="005E4FAC"/>
    <w:rsid w:val="005E74B7"/>
    <w:rsid w:val="005E7687"/>
    <w:rsid w:val="005F33E2"/>
    <w:rsid w:val="005F6406"/>
    <w:rsid w:val="005F7797"/>
    <w:rsid w:val="005F7F4D"/>
    <w:rsid w:val="00601525"/>
    <w:rsid w:val="0060304B"/>
    <w:rsid w:val="006038BB"/>
    <w:rsid w:val="00603982"/>
    <w:rsid w:val="00605EAD"/>
    <w:rsid w:val="006061C0"/>
    <w:rsid w:val="00612438"/>
    <w:rsid w:val="006131CF"/>
    <w:rsid w:val="006173DB"/>
    <w:rsid w:val="006205E9"/>
    <w:rsid w:val="00622403"/>
    <w:rsid w:val="00625042"/>
    <w:rsid w:val="006260C2"/>
    <w:rsid w:val="006264BA"/>
    <w:rsid w:val="00626B55"/>
    <w:rsid w:val="00627A6C"/>
    <w:rsid w:val="0063237D"/>
    <w:rsid w:val="00633417"/>
    <w:rsid w:val="00634AC1"/>
    <w:rsid w:val="0063509F"/>
    <w:rsid w:val="00637575"/>
    <w:rsid w:val="00641D4C"/>
    <w:rsid w:val="00643A33"/>
    <w:rsid w:val="0064445C"/>
    <w:rsid w:val="00645691"/>
    <w:rsid w:val="006458B3"/>
    <w:rsid w:val="0064624A"/>
    <w:rsid w:val="00647CB6"/>
    <w:rsid w:val="00650493"/>
    <w:rsid w:val="00650D8F"/>
    <w:rsid w:val="006535AD"/>
    <w:rsid w:val="006561EA"/>
    <w:rsid w:val="006562E7"/>
    <w:rsid w:val="0065784C"/>
    <w:rsid w:val="00664AB4"/>
    <w:rsid w:val="006650DB"/>
    <w:rsid w:val="00665A85"/>
    <w:rsid w:val="0066734A"/>
    <w:rsid w:val="0066794D"/>
    <w:rsid w:val="00671DD8"/>
    <w:rsid w:val="00673FF8"/>
    <w:rsid w:val="0067464E"/>
    <w:rsid w:val="006749E5"/>
    <w:rsid w:val="0068151F"/>
    <w:rsid w:val="006829E8"/>
    <w:rsid w:val="006837B9"/>
    <w:rsid w:val="006853C3"/>
    <w:rsid w:val="006866DB"/>
    <w:rsid w:val="006871EA"/>
    <w:rsid w:val="00692E14"/>
    <w:rsid w:val="00693608"/>
    <w:rsid w:val="00693DEB"/>
    <w:rsid w:val="00696D7C"/>
    <w:rsid w:val="00697B5E"/>
    <w:rsid w:val="006A3246"/>
    <w:rsid w:val="006A7AE9"/>
    <w:rsid w:val="006B0F59"/>
    <w:rsid w:val="006B143E"/>
    <w:rsid w:val="006B302E"/>
    <w:rsid w:val="006B3923"/>
    <w:rsid w:val="006B402C"/>
    <w:rsid w:val="006B56B5"/>
    <w:rsid w:val="006B5B45"/>
    <w:rsid w:val="006C0A88"/>
    <w:rsid w:val="006C44CA"/>
    <w:rsid w:val="006C5A27"/>
    <w:rsid w:val="006C7C57"/>
    <w:rsid w:val="006C7C93"/>
    <w:rsid w:val="006C7CB5"/>
    <w:rsid w:val="006D11C1"/>
    <w:rsid w:val="006D124C"/>
    <w:rsid w:val="006D141C"/>
    <w:rsid w:val="006D3A4E"/>
    <w:rsid w:val="006E07D9"/>
    <w:rsid w:val="006E6381"/>
    <w:rsid w:val="006E6F93"/>
    <w:rsid w:val="006E7075"/>
    <w:rsid w:val="006F0E6D"/>
    <w:rsid w:val="006F2A1B"/>
    <w:rsid w:val="006F2D66"/>
    <w:rsid w:val="006F33B8"/>
    <w:rsid w:val="0070030E"/>
    <w:rsid w:val="007031EC"/>
    <w:rsid w:val="007037A0"/>
    <w:rsid w:val="00704C77"/>
    <w:rsid w:val="007064C7"/>
    <w:rsid w:val="00706B87"/>
    <w:rsid w:val="0070728A"/>
    <w:rsid w:val="00714E16"/>
    <w:rsid w:val="0071646B"/>
    <w:rsid w:val="00720A13"/>
    <w:rsid w:val="00723E40"/>
    <w:rsid w:val="00725E6B"/>
    <w:rsid w:val="00725F5F"/>
    <w:rsid w:val="007262B5"/>
    <w:rsid w:val="00727A9C"/>
    <w:rsid w:val="00727AF6"/>
    <w:rsid w:val="00727DBF"/>
    <w:rsid w:val="007306CD"/>
    <w:rsid w:val="0073195B"/>
    <w:rsid w:val="007327B6"/>
    <w:rsid w:val="00734E5B"/>
    <w:rsid w:val="00736C02"/>
    <w:rsid w:val="00737555"/>
    <w:rsid w:val="0074067B"/>
    <w:rsid w:val="007408EC"/>
    <w:rsid w:val="00740E77"/>
    <w:rsid w:val="00741BCE"/>
    <w:rsid w:val="007438EC"/>
    <w:rsid w:val="00746787"/>
    <w:rsid w:val="00746F89"/>
    <w:rsid w:val="0075173C"/>
    <w:rsid w:val="00753315"/>
    <w:rsid w:val="007533B8"/>
    <w:rsid w:val="00757112"/>
    <w:rsid w:val="00760E07"/>
    <w:rsid w:val="007625DD"/>
    <w:rsid w:val="00762BD0"/>
    <w:rsid w:val="00763707"/>
    <w:rsid w:val="007648F5"/>
    <w:rsid w:val="00767808"/>
    <w:rsid w:val="007679D6"/>
    <w:rsid w:val="0077046B"/>
    <w:rsid w:val="00773419"/>
    <w:rsid w:val="00776C82"/>
    <w:rsid w:val="00780D74"/>
    <w:rsid w:val="0078265A"/>
    <w:rsid w:val="007827BC"/>
    <w:rsid w:val="0078289A"/>
    <w:rsid w:val="007832E5"/>
    <w:rsid w:val="00785CDD"/>
    <w:rsid w:val="00785DE0"/>
    <w:rsid w:val="00790B81"/>
    <w:rsid w:val="00792A64"/>
    <w:rsid w:val="00793226"/>
    <w:rsid w:val="007951B1"/>
    <w:rsid w:val="007A6141"/>
    <w:rsid w:val="007B03E9"/>
    <w:rsid w:val="007B0E79"/>
    <w:rsid w:val="007B22B3"/>
    <w:rsid w:val="007B4BE6"/>
    <w:rsid w:val="007B6B96"/>
    <w:rsid w:val="007C0A9E"/>
    <w:rsid w:val="007C433C"/>
    <w:rsid w:val="007C6F3A"/>
    <w:rsid w:val="007C7555"/>
    <w:rsid w:val="007D0668"/>
    <w:rsid w:val="007D133C"/>
    <w:rsid w:val="007D4F4D"/>
    <w:rsid w:val="007D65F2"/>
    <w:rsid w:val="007D6797"/>
    <w:rsid w:val="007D7648"/>
    <w:rsid w:val="007E0924"/>
    <w:rsid w:val="007E14C2"/>
    <w:rsid w:val="007E19E6"/>
    <w:rsid w:val="007E2D82"/>
    <w:rsid w:val="007E3DA3"/>
    <w:rsid w:val="007E5AFF"/>
    <w:rsid w:val="007E60C6"/>
    <w:rsid w:val="007F2398"/>
    <w:rsid w:val="007F2658"/>
    <w:rsid w:val="007F3997"/>
    <w:rsid w:val="007F417C"/>
    <w:rsid w:val="007F4A0F"/>
    <w:rsid w:val="007F6213"/>
    <w:rsid w:val="007F6A71"/>
    <w:rsid w:val="008031FA"/>
    <w:rsid w:val="00803671"/>
    <w:rsid w:val="00807EC4"/>
    <w:rsid w:val="00813FFF"/>
    <w:rsid w:val="0081424A"/>
    <w:rsid w:val="008147B0"/>
    <w:rsid w:val="00814E07"/>
    <w:rsid w:val="008178AC"/>
    <w:rsid w:val="008212FE"/>
    <w:rsid w:val="00821C60"/>
    <w:rsid w:val="00822414"/>
    <w:rsid w:val="00823B35"/>
    <w:rsid w:val="008243B0"/>
    <w:rsid w:val="00824620"/>
    <w:rsid w:val="00826208"/>
    <w:rsid w:val="008370BC"/>
    <w:rsid w:val="00840872"/>
    <w:rsid w:val="008456AE"/>
    <w:rsid w:val="00845934"/>
    <w:rsid w:val="00845FF0"/>
    <w:rsid w:val="008508FA"/>
    <w:rsid w:val="00850913"/>
    <w:rsid w:val="008523F1"/>
    <w:rsid w:val="0085265B"/>
    <w:rsid w:val="00853DFC"/>
    <w:rsid w:val="00854E72"/>
    <w:rsid w:val="00855B66"/>
    <w:rsid w:val="00857F42"/>
    <w:rsid w:val="00860ADC"/>
    <w:rsid w:val="0086587A"/>
    <w:rsid w:val="00865CE9"/>
    <w:rsid w:val="0087017E"/>
    <w:rsid w:val="008702E4"/>
    <w:rsid w:val="008729DD"/>
    <w:rsid w:val="0087389F"/>
    <w:rsid w:val="008756DA"/>
    <w:rsid w:val="00876EEC"/>
    <w:rsid w:val="00877478"/>
    <w:rsid w:val="008813FB"/>
    <w:rsid w:val="0088161E"/>
    <w:rsid w:val="00882D1B"/>
    <w:rsid w:val="008831D1"/>
    <w:rsid w:val="0088446A"/>
    <w:rsid w:val="008845F8"/>
    <w:rsid w:val="00884A38"/>
    <w:rsid w:val="0088517F"/>
    <w:rsid w:val="00885908"/>
    <w:rsid w:val="00887342"/>
    <w:rsid w:val="00892F5F"/>
    <w:rsid w:val="0089409A"/>
    <w:rsid w:val="0089447A"/>
    <w:rsid w:val="008A2BF4"/>
    <w:rsid w:val="008A48EC"/>
    <w:rsid w:val="008A535A"/>
    <w:rsid w:val="008B1BE1"/>
    <w:rsid w:val="008B1E96"/>
    <w:rsid w:val="008B4704"/>
    <w:rsid w:val="008B4D3A"/>
    <w:rsid w:val="008B77D7"/>
    <w:rsid w:val="008C167E"/>
    <w:rsid w:val="008C1C0E"/>
    <w:rsid w:val="008C3E4B"/>
    <w:rsid w:val="008C612D"/>
    <w:rsid w:val="008C6788"/>
    <w:rsid w:val="008C730F"/>
    <w:rsid w:val="008D1168"/>
    <w:rsid w:val="008D173F"/>
    <w:rsid w:val="008D2780"/>
    <w:rsid w:val="008D417C"/>
    <w:rsid w:val="008D4EF4"/>
    <w:rsid w:val="008D5B4A"/>
    <w:rsid w:val="008D63DD"/>
    <w:rsid w:val="008D7DA1"/>
    <w:rsid w:val="008E65B4"/>
    <w:rsid w:val="008F0360"/>
    <w:rsid w:val="008F2A94"/>
    <w:rsid w:val="008F3170"/>
    <w:rsid w:val="008F66F9"/>
    <w:rsid w:val="008F7D05"/>
    <w:rsid w:val="00900204"/>
    <w:rsid w:val="00903010"/>
    <w:rsid w:val="0090356E"/>
    <w:rsid w:val="009039EE"/>
    <w:rsid w:val="00905592"/>
    <w:rsid w:val="00905930"/>
    <w:rsid w:val="00907EDF"/>
    <w:rsid w:val="00913891"/>
    <w:rsid w:val="009158D4"/>
    <w:rsid w:val="00915A27"/>
    <w:rsid w:val="00921B7F"/>
    <w:rsid w:val="009231CA"/>
    <w:rsid w:val="009252C4"/>
    <w:rsid w:val="0092545A"/>
    <w:rsid w:val="00926C3B"/>
    <w:rsid w:val="0093023A"/>
    <w:rsid w:val="00932174"/>
    <w:rsid w:val="00934489"/>
    <w:rsid w:val="0093567A"/>
    <w:rsid w:val="00935804"/>
    <w:rsid w:val="009358B5"/>
    <w:rsid w:val="009359EF"/>
    <w:rsid w:val="00937F0B"/>
    <w:rsid w:val="00940989"/>
    <w:rsid w:val="00942416"/>
    <w:rsid w:val="009440E8"/>
    <w:rsid w:val="00947653"/>
    <w:rsid w:val="00950FED"/>
    <w:rsid w:val="0095226F"/>
    <w:rsid w:val="00953F50"/>
    <w:rsid w:val="0095444F"/>
    <w:rsid w:val="00954A47"/>
    <w:rsid w:val="00954B21"/>
    <w:rsid w:val="00954D47"/>
    <w:rsid w:val="00954F23"/>
    <w:rsid w:val="00966A76"/>
    <w:rsid w:val="00970937"/>
    <w:rsid w:val="00972737"/>
    <w:rsid w:val="009728C3"/>
    <w:rsid w:val="009732C0"/>
    <w:rsid w:val="00981188"/>
    <w:rsid w:val="00981D52"/>
    <w:rsid w:val="0098350F"/>
    <w:rsid w:val="0098401D"/>
    <w:rsid w:val="00986CD0"/>
    <w:rsid w:val="009872FB"/>
    <w:rsid w:val="0098799F"/>
    <w:rsid w:val="009915BC"/>
    <w:rsid w:val="009923EB"/>
    <w:rsid w:val="00994E97"/>
    <w:rsid w:val="00996A05"/>
    <w:rsid w:val="009A205A"/>
    <w:rsid w:val="009A3050"/>
    <w:rsid w:val="009A34D9"/>
    <w:rsid w:val="009A3D2F"/>
    <w:rsid w:val="009A463B"/>
    <w:rsid w:val="009A4B3D"/>
    <w:rsid w:val="009A68E2"/>
    <w:rsid w:val="009C02F2"/>
    <w:rsid w:val="009C64F7"/>
    <w:rsid w:val="009C7055"/>
    <w:rsid w:val="009D1593"/>
    <w:rsid w:val="009D3496"/>
    <w:rsid w:val="009D3619"/>
    <w:rsid w:val="009D7940"/>
    <w:rsid w:val="009E2D8B"/>
    <w:rsid w:val="009E3F96"/>
    <w:rsid w:val="009E49CC"/>
    <w:rsid w:val="009E5987"/>
    <w:rsid w:val="009E7289"/>
    <w:rsid w:val="009F02BA"/>
    <w:rsid w:val="009F4DA1"/>
    <w:rsid w:val="009F4E83"/>
    <w:rsid w:val="009F5C12"/>
    <w:rsid w:val="009F6095"/>
    <w:rsid w:val="009F6FD7"/>
    <w:rsid w:val="00A000F5"/>
    <w:rsid w:val="00A01564"/>
    <w:rsid w:val="00A038CF"/>
    <w:rsid w:val="00A04561"/>
    <w:rsid w:val="00A06D1E"/>
    <w:rsid w:val="00A06EFB"/>
    <w:rsid w:val="00A10253"/>
    <w:rsid w:val="00A10925"/>
    <w:rsid w:val="00A123EA"/>
    <w:rsid w:val="00A13137"/>
    <w:rsid w:val="00A1315C"/>
    <w:rsid w:val="00A14907"/>
    <w:rsid w:val="00A14E4F"/>
    <w:rsid w:val="00A1540F"/>
    <w:rsid w:val="00A17DAD"/>
    <w:rsid w:val="00A20E75"/>
    <w:rsid w:val="00A30852"/>
    <w:rsid w:val="00A30D2B"/>
    <w:rsid w:val="00A32F4E"/>
    <w:rsid w:val="00A34AB1"/>
    <w:rsid w:val="00A36303"/>
    <w:rsid w:val="00A36CC0"/>
    <w:rsid w:val="00A37950"/>
    <w:rsid w:val="00A4089E"/>
    <w:rsid w:val="00A4242C"/>
    <w:rsid w:val="00A42A80"/>
    <w:rsid w:val="00A42E23"/>
    <w:rsid w:val="00A44C29"/>
    <w:rsid w:val="00A472B9"/>
    <w:rsid w:val="00A56CE8"/>
    <w:rsid w:val="00A61E38"/>
    <w:rsid w:val="00A624B1"/>
    <w:rsid w:val="00A6429D"/>
    <w:rsid w:val="00A652FE"/>
    <w:rsid w:val="00A65680"/>
    <w:rsid w:val="00A6594F"/>
    <w:rsid w:val="00A71398"/>
    <w:rsid w:val="00A734D4"/>
    <w:rsid w:val="00A75244"/>
    <w:rsid w:val="00A75DA2"/>
    <w:rsid w:val="00A77CF6"/>
    <w:rsid w:val="00A8072D"/>
    <w:rsid w:val="00A83796"/>
    <w:rsid w:val="00A84322"/>
    <w:rsid w:val="00A86F15"/>
    <w:rsid w:val="00A91EE4"/>
    <w:rsid w:val="00A92BDB"/>
    <w:rsid w:val="00A93A5D"/>
    <w:rsid w:val="00A941F7"/>
    <w:rsid w:val="00A948F7"/>
    <w:rsid w:val="00A956FC"/>
    <w:rsid w:val="00A95A15"/>
    <w:rsid w:val="00A96368"/>
    <w:rsid w:val="00A96987"/>
    <w:rsid w:val="00A96D72"/>
    <w:rsid w:val="00AA017C"/>
    <w:rsid w:val="00AA2DD6"/>
    <w:rsid w:val="00AA388F"/>
    <w:rsid w:val="00AA3F9B"/>
    <w:rsid w:val="00AA6C90"/>
    <w:rsid w:val="00AB5C7B"/>
    <w:rsid w:val="00AB62D4"/>
    <w:rsid w:val="00AB75D0"/>
    <w:rsid w:val="00AC4B6B"/>
    <w:rsid w:val="00AC5903"/>
    <w:rsid w:val="00AD0D37"/>
    <w:rsid w:val="00AD49D1"/>
    <w:rsid w:val="00AD5AB5"/>
    <w:rsid w:val="00AE0EF9"/>
    <w:rsid w:val="00AE16F4"/>
    <w:rsid w:val="00AE7804"/>
    <w:rsid w:val="00AE7DCA"/>
    <w:rsid w:val="00AF1AAC"/>
    <w:rsid w:val="00AF1F9B"/>
    <w:rsid w:val="00AF2D23"/>
    <w:rsid w:val="00AF3588"/>
    <w:rsid w:val="00AF380A"/>
    <w:rsid w:val="00AF3E21"/>
    <w:rsid w:val="00AF6287"/>
    <w:rsid w:val="00AF62DB"/>
    <w:rsid w:val="00AF73E5"/>
    <w:rsid w:val="00B01137"/>
    <w:rsid w:val="00B016CE"/>
    <w:rsid w:val="00B017EC"/>
    <w:rsid w:val="00B0415D"/>
    <w:rsid w:val="00B05147"/>
    <w:rsid w:val="00B0684F"/>
    <w:rsid w:val="00B1280D"/>
    <w:rsid w:val="00B140EB"/>
    <w:rsid w:val="00B15FF8"/>
    <w:rsid w:val="00B16AD3"/>
    <w:rsid w:val="00B17137"/>
    <w:rsid w:val="00B204A8"/>
    <w:rsid w:val="00B215D0"/>
    <w:rsid w:val="00B25E98"/>
    <w:rsid w:val="00B27880"/>
    <w:rsid w:val="00B3115B"/>
    <w:rsid w:val="00B31B3F"/>
    <w:rsid w:val="00B3287E"/>
    <w:rsid w:val="00B336F8"/>
    <w:rsid w:val="00B337FD"/>
    <w:rsid w:val="00B355D4"/>
    <w:rsid w:val="00B35B78"/>
    <w:rsid w:val="00B36DDD"/>
    <w:rsid w:val="00B37E5F"/>
    <w:rsid w:val="00B37FE0"/>
    <w:rsid w:val="00B42868"/>
    <w:rsid w:val="00B435E6"/>
    <w:rsid w:val="00B441AD"/>
    <w:rsid w:val="00B44FCE"/>
    <w:rsid w:val="00B45D42"/>
    <w:rsid w:val="00B4637C"/>
    <w:rsid w:val="00B504C7"/>
    <w:rsid w:val="00B517A2"/>
    <w:rsid w:val="00B52426"/>
    <w:rsid w:val="00B5373E"/>
    <w:rsid w:val="00B5379B"/>
    <w:rsid w:val="00B549CB"/>
    <w:rsid w:val="00B55997"/>
    <w:rsid w:val="00B65094"/>
    <w:rsid w:val="00B657DB"/>
    <w:rsid w:val="00B71C46"/>
    <w:rsid w:val="00B73E15"/>
    <w:rsid w:val="00B74A59"/>
    <w:rsid w:val="00B76145"/>
    <w:rsid w:val="00B7670D"/>
    <w:rsid w:val="00B803AD"/>
    <w:rsid w:val="00B81F49"/>
    <w:rsid w:val="00B820F4"/>
    <w:rsid w:val="00B852BF"/>
    <w:rsid w:val="00B85474"/>
    <w:rsid w:val="00B860AB"/>
    <w:rsid w:val="00B86E6D"/>
    <w:rsid w:val="00B876C9"/>
    <w:rsid w:val="00B9147E"/>
    <w:rsid w:val="00B91BF7"/>
    <w:rsid w:val="00B91DF9"/>
    <w:rsid w:val="00B945C4"/>
    <w:rsid w:val="00B96168"/>
    <w:rsid w:val="00B97076"/>
    <w:rsid w:val="00B97852"/>
    <w:rsid w:val="00BA153C"/>
    <w:rsid w:val="00BA6786"/>
    <w:rsid w:val="00BB0154"/>
    <w:rsid w:val="00BB0CB8"/>
    <w:rsid w:val="00BB14E5"/>
    <w:rsid w:val="00BB1AF9"/>
    <w:rsid w:val="00BB1F51"/>
    <w:rsid w:val="00BB3631"/>
    <w:rsid w:val="00BB3CB0"/>
    <w:rsid w:val="00BB4539"/>
    <w:rsid w:val="00BB6367"/>
    <w:rsid w:val="00BB712E"/>
    <w:rsid w:val="00BC11D8"/>
    <w:rsid w:val="00BC46DF"/>
    <w:rsid w:val="00BC47C4"/>
    <w:rsid w:val="00BC68DB"/>
    <w:rsid w:val="00BC6E6B"/>
    <w:rsid w:val="00BD005E"/>
    <w:rsid w:val="00BD1D69"/>
    <w:rsid w:val="00BD2780"/>
    <w:rsid w:val="00BD5432"/>
    <w:rsid w:val="00BD57B6"/>
    <w:rsid w:val="00BD694C"/>
    <w:rsid w:val="00BD7AB1"/>
    <w:rsid w:val="00BE0A16"/>
    <w:rsid w:val="00BE0E3D"/>
    <w:rsid w:val="00BE1B6E"/>
    <w:rsid w:val="00BE5C4A"/>
    <w:rsid w:val="00BF3A68"/>
    <w:rsid w:val="00BF40BC"/>
    <w:rsid w:val="00BF4D20"/>
    <w:rsid w:val="00BF62B0"/>
    <w:rsid w:val="00BF68E0"/>
    <w:rsid w:val="00C057E8"/>
    <w:rsid w:val="00C069FF"/>
    <w:rsid w:val="00C13C4B"/>
    <w:rsid w:val="00C14845"/>
    <w:rsid w:val="00C14924"/>
    <w:rsid w:val="00C15B20"/>
    <w:rsid w:val="00C21333"/>
    <w:rsid w:val="00C259A3"/>
    <w:rsid w:val="00C31E6A"/>
    <w:rsid w:val="00C3220B"/>
    <w:rsid w:val="00C34471"/>
    <w:rsid w:val="00C3466C"/>
    <w:rsid w:val="00C3676D"/>
    <w:rsid w:val="00C41465"/>
    <w:rsid w:val="00C44C96"/>
    <w:rsid w:val="00C44CC5"/>
    <w:rsid w:val="00C468DD"/>
    <w:rsid w:val="00C46E9C"/>
    <w:rsid w:val="00C47317"/>
    <w:rsid w:val="00C475C7"/>
    <w:rsid w:val="00C52780"/>
    <w:rsid w:val="00C5314E"/>
    <w:rsid w:val="00C53763"/>
    <w:rsid w:val="00C55A62"/>
    <w:rsid w:val="00C60FEB"/>
    <w:rsid w:val="00C6173B"/>
    <w:rsid w:val="00C63C00"/>
    <w:rsid w:val="00C6581D"/>
    <w:rsid w:val="00C6707F"/>
    <w:rsid w:val="00C704F3"/>
    <w:rsid w:val="00C73082"/>
    <w:rsid w:val="00C749F1"/>
    <w:rsid w:val="00C75E18"/>
    <w:rsid w:val="00C77C2B"/>
    <w:rsid w:val="00C80446"/>
    <w:rsid w:val="00C8161B"/>
    <w:rsid w:val="00C84226"/>
    <w:rsid w:val="00C85AE9"/>
    <w:rsid w:val="00C92733"/>
    <w:rsid w:val="00C92FB0"/>
    <w:rsid w:val="00C93463"/>
    <w:rsid w:val="00C9556A"/>
    <w:rsid w:val="00C95FC3"/>
    <w:rsid w:val="00C96DE0"/>
    <w:rsid w:val="00CA4200"/>
    <w:rsid w:val="00CA5944"/>
    <w:rsid w:val="00CA7DAE"/>
    <w:rsid w:val="00CB36BB"/>
    <w:rsid w:val="00CB4828"/>
    <w:rsid w:val="00CC420A"/>
    <w:rsid w:val="00CC6566"/>
    <w:rsid w:val="00CC7592"/>
    <w:rsid w:val="00CD0789"/>
    <w:rsid w:val="00CD401D"/>
    <w:rsid w:val="00CD60CB"/>
    <w:rsid w:val="00CD6168"/>
    <w:rsid w:val="00CD6CDD"/>
    <w:rsid w:val="00CD7179"/>
    <w:rsid w:val="00CE62DF"/>
    <w:rsid w:val="00CE661F"/>
    <w:rsid w:val="00CF1FBF"/>
    <w:rsid w:val="00CF2C92"/>
    <w:rsid w:val="00CF3D61"/>
    <w:rsid w:val="00CF7965"/>
    <w:rsid w:val="00D01852"/>
    <w:rsid w:val="00D023DB"/>
    <w:rsid w:val="00D03B12"/>
    <w:rsid w:val="00D04C8B"/>
    <w:rsid w:val="00D0706E"/>
    <w:rsid w:val="00D07BD6"/>
    <w:rsid w:val="00D1005C"/>
    <w:rsid w:val="00D119A1"/>
    <w:rsid w:val="00D11C9D"/>
    <w:rsid w:val="00D13F46"/>
    <w:rsid w:val="00D15CEF"/>
    <w:rsid w:val="00D24C5E"/>
    <w:rsid w:val="00D24EA5"/>
    <w:rsid w:val="00D255D4"/>
    <w:rsid w:val="00D3482E"/>
    <w:rsid w:val="00D378A1"/>
    <w:rsid w:val="00D4115B"/>
    <w:rsid w:val="00D51B5B"/>
    <w:rsid w:val="00D53B49"/>
    <w:rsid w:val="00D542DB"/>
    <w:rsid w:val="00D56546"/>
    <w:rsid w:val="00D56DF8"/>
    <w:rsid w:val="00D5792D"/>
    <w:rsid w:val="00D57BFB"/>
    <w:rsid w:val="00D67249"/>
    <w:rsid w:val="00D67AC9"/>
    <w:rsid w:val="00D70085"/>
    <w:rsid w:val="00D7605C"/>
    <w:rsid w:val="00D76A84"/>
    <w:rsid w:val="00D7788B"/>
    <w:rsid w:val="00D77F55"/>
    <w:rsid w:val="00D81B5C"/>
    <w:rsid w:val="00D836EE"/>
    <w:rsid w:val="00D84688"/>
    <w:rsid w:val="00D85DE2"/>
    <w:rsid w:val="00D8762B"/>
    <w:rsid w:val="00DA1546"/>
    <w:rsid w:val="00DA1B3C"/>
    <w:rsid w:val="00DA2046"/>
    <w:rsid w:val="00DA5243"/>
    <w:rsid w:val="00DA6AAA"/>
    <w:rsid w:val="00DB11CA"/>
    <w:rsid w:val="00DB1CA8"/>
    <w:rsid w:val="00DB4426"/>
    <w:rsid w:val="00DB70BF"/>
    <w:rsid w:val="00DC06C0"/>
    <w:rsid w:val="00DC206B"/>
    <w:rsid w:val="00DC3518"/>
    <w:rsid w:val="00DC60B4"/>
    <w:rsid w:val="00DC6280"/>
    <w:rsid w:val="00DC65DB"/>
    <w:rsid w:val="00DD2D03"/>
    <w:rsid w:val="00DD3AE1"/>
    <w:rsid w:val="00DE3EFF"/>
    <w:rsid w:val="00DE5CD7"/>
    <w:rsid w:val="00DE6634"/>
    <w:rsid w:val="00DE7315"/>
    <w:rsid w:val="00DF0563"/>
    <w:rsid w:val="00DF434D"/>
    <w:rsid w:val="00E0335F"/>
    <w:rsid w:val="00E04142"/>
    <w:rsid w:val="00E05858"/>
    <w:rsid w:val="00E06B91"/>
    <w:rsid w:val="00E10320"/>
    <w:rsid w:val="00E10F23"/>
    <w:rsid w:val="00E116A0"/>
    <w:rsid w:val="00E11C8E"/>
    <w:rsid w:val="00E16F3C"/>
    <w:rsid w:val="00E23514"/>
    <w:rsid w:val="00E235C7"/>
    <w:rsid w:val="00E25804"/>
    <w:rsid w:val="00E25E3B"/>
    <w:rsid w:val="00E25E89"/>
    <w:rsid w:val="00E275E9"/>
    <w:rsid w:val="00E27FBA"/>
    <w:rsid w:val="00E325FC"/>
    <w:rsid w:val="00E32D97"/>
    <w:rsid w:val="00E34DED"/>
    <w:rsid w:val="00E34F61"/>
    <w:rsid w:val="00E370B1"/>
    <w:rsid w:val="00E37843"/>
    <w:rsid w:val="00E3793F"/>
    <w:rsid w:val="00E44313"/>
    <w:rsid w:val="00E45364"/>
    <w:rsid w:val="00E45F7D"/>
    <w:rsid w:val="00E5101F"/>
    <w:rsid w:val="00E51E69"/>
    <w:rsid w:val="00E53CF9"/>
    <w:rsid w:val="00E56A05"/>
    <w:rsid w:val="00E6308A"/>
    <w:rsid w:val="00E642BE"/>
    <w:rsid w:val="00E64E4C"/>
    <w:rsid w:val="00E666FC"/>
    <w:rsid w:val="00E71AE5"/>
    <w:rsid w:val="00E71F3B"/>
    <w:rsid w:val="00E724FC"/>
    <w:rsid w:val="00E736AB"/>
    <w:rsid w:val="00E73FFC"/>
    <w:rsid w:val="00E749AA"/>
    <w:rsid w:val="00E75814"/>
    <w:rsid w:val="00E80C84"/>
    <w:rsid w:val="00E832F2"/>
    <w:rsid w:val="00E862C8"/>
    <w:rsid w:val="00E86667"/>
    <w:rsid w:val="00E86797"/>
    <w:rsid w:val="00E87C72"/>
    <w:rsid w:val="00E91E4D"/>
    <w:rsid w:val="00E9238F"/>
    <w:rsid w:val="00E95FB1"/>
    <w:rsid w:val="00E961EE"/>
    <w:rsid w:val="00E966F8"/>
    <w:rsid w:val="00E96820"/>
    <w:rsid w:val="00E96A2F"/>
    <w:rsid w:val="00E97114"/>
    <w:rsid w:val="00E974C0"/>
    <w:rsid w:val="00EA0F26"/>
    <w:rsid w:val="00EA107D"/>
    <w:rsid w:val="00EA278A"/>
    <w:rsid w:val="00EA29E0"/>
    <w:rsid w:val="00EA39E2"/>
    <w:rsid w:val="00EA3DB5"/>
    <w:rsid w:val="00EA4737"/>
    <w:rsid w:val="00EA4995"/>
    <w:rsid w:val="00EA5108"/>
    <w:rsid w:val="00EA5582"/>
    <w:rsid w:val="00EA5913"/>
    <w:rsid w:val="00EA5BF1"/>
    <w:rsid w:val="00EA70B8"/>
    <w:rsid w:val="00EB07A2"/>
    <w:rsid w:val="00EB29AE"/>
    <w:rsid w:val="00EB3208"/>
    <w:rsid w:val="00EB714B"/>
    <w:rsid w:val="00EC7347"/>
    <w:rsid w:val="00ED0A16"/>
    <w:rsid w:val="00ED3639"/>
    <w:rsid w:val="00ED47D1"/>
    <w:rsid w:val="00ED59DF"/>
    <w:rsid w:val="00ED71C3"/>
    <w:rsid w:val="00ED749A"/>
    <w:rsid w:val="00EE05AA"/>
    <w:rsid w:val="00EE0810"/>
    <w:rsid w:val="00EE0F0A"/>
    <w:rsid w:val="00EE13FF"/>
    <w:rsid w:val="00EE3B9D"/>
    <w:rsid w:val="00EE3F63"/>
    <w:rsid w:val="00EE4A62"/>
    <w:rsid w:val="00EE4A67"/>
    <w:rsid w:val="00EE4C73"/>
    <w:rsid w:val="00EF01A3"/>
    <w:rsid w:val="00EF4A83"/>
    <w:rsid w:val="00EF654F"/>
    <w:rsid w:val="00F01463"/>
    <w:rsid w:val="00F01625"/>
    <w:rsid w:val="00F033DC"/>
    <w:rsid w:val="00F03F3F"/>
    <w:rsid w:val="00F05CE2"/>
    <w:rsid w:val="00F079E9"/>
    <w:rsid w:val="00F106C9"/>
    <w:rsid w:val="00F11BF4"/>
    <w:rsid w:val="00F1330A"/>
    <w:rsid w:val="00F15885"/>
    <w:rsid w:val="00F2583D"/>
    <w:rsid w:val="00F268A7"/>
    <w:rsid w:val="00F30A7E"/>
    <w:rsid w:val="00F321A9"/>
    <w:rsid w:val="00F32416"/>
    <w:rsid w:val="00F344C3"/>
    <w:rsid w:val="00F36B62"/>
    <w:rsid w:val="00F36E44"/>
    <w:rsid w:val="00F37B3F"/>
    <w:rsid w:val="00F4070E"/>
    <w:rsid w:val="00F41EF0"/>
    <w:rsid w:val="00F4269F"/>
    <w:rsid w:val="00F4543D"/>
    <w:rsid w:val="00F461BA"/>
    <w:rsid w:val="00F46722"/>
    <w:rsid w:val="00F50C7C"/>
    <w:rsid w:val="00F50F1D"/>
    <w:rsid w:val="00F53014"/>
    <w:rsid w:val="00F5428A"/>
    <w:rsid w:val="00F54C75"/>
    <w:rsid w:val="00F56C06"/>
    <w:rsid w:val="00F5701B"/>
    <w:rsid w:val="00F57CBA"/>
    <w:rsid w:val="00F6212D"/>
    <w:rsid w:val="00F64FF2"/>
    <w:rsid w:val="00F66C75"/>
    <w:rsid w:val="00F66ED8"/>
    <w:rsid w:val="00F679B5"/>
    <w:rsid w:val="00F7064B"/>
    <w:rsid w:val="00F70967"/>
    <w:rsid w:val="00F70D08"/>
    <w:rsid w:val="00F73031"/>
    <w:rsid w:val="00F74368"/>
    <w:rsid w:val="00F757FC"/>
    <w:rsid w:val="00F75F7B"/>
    <w:rsid w:val="00F778CA"/>
    <w:rsid w:val="00F827D9"/>
    <w:rsid w:val="00F839BD"/>
    <w:rsid w:val="00F853E5"/>
    <w:rsid w:val="00F854A0"/>
    <w:rsid w:val="00F85785"/>
    <w:rsid w:val="00F86619"/>
    <w:rsid w:val="00F9163F"/>
    <w:rsid w:val="00F931C3"/>
    <w:rsid w:val="00F956E0"/>
    <w:rsid w:val="00FA23C8"/>
    <w:rsid w:val="00FA2CE7"/>
    <w:rsid w:val="00FA5915"/>
    <w:rsid w:val="00FA5EBA"/>
    <w:rsid w:val="00FA6272"/>
    <w:rsid w:val="00FB0F0A"/>
    <w:rsid w:val="00FB1838"/>
    <w:rsid w:val="00FB1BE1"/>
    <w:rsid w:val="00FB686A"/>
    <w:rsid w:val="00FC2185"/>
    <w:rsid w:val="00FC2AB7"/>
    <w:rsid w:val="00FC6B7F"/>
    <w:rsid w:val="00FC7AD9"/>
    <w:rsid w:val="00FC7FF0"/>
    <w:rsid w:val="00FD0FD9"/>
    <w:rsid w:val="00FD1331"/>
    <w:rsid w:val="00FD1BBB"/>
    <w:rsid w:val="00FD2200"/>
    <w:rsid w:val="00FD324F"/>
    <w:rsid w:val="00FD3CDF"/>
    <w:rsid w:val="00FD4853"/>
    <w:rsid w:val="00FD48A4"/>
    <w:rsid w:val="00FD4AAD"/>
    <w:rsid w:val="00FE1A87"/>
    <w:rsid w:val="00FE2236"/>
    <w:rsid w:val="00FE4C17"/>
    <w:rsid w:val="00FE50C9"/>
    <w:rsid w:val="00FE6EC2"/>
    <w:rsid w:val="00FF13AE"/>
    <w:rsid w:val="00FF1E12"/>
    <w:rsid w:val="00FF2343"/>
    <w:rsid w:val="00FF28CB"/>
    <w:rsid w:val="00FF371D"/>
    <w:rsid w:val="00FF55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1CE5A5"/>
  <w15:chartTrackingRefBased/>
  <w15:docId w15:val="{984E55A5-9CE7-4D59-B750-CC6CD67DC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0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746F89"/>
    <w:pPr>
      <w:spacing w:after="0" w:line="240" w:lineRule="auto"/>
    </w:pPr>
    <w:rPr>
      <w:sz w:val="20"/>
      <w:szCs w:val="20"/>
    </w:rPr>
  </w:style>
  <w:style w:type="character" w:customStyle="1" w:styleId="FootnoteTextChar">
    <w:name w:val="Footnote Text Char"/>
    <w:basedOn w:val="DefaultParagraphFont"/>
    <w:link w:val="FootnoteText"/>
    <w:uiPriority w:val="99"/>
    <w:rsid w:val="00746F89"/>
    <w:rPr>
      <w:sz w:val="20"/>
      <w:szCs w:val="20"/>
    </w:rPr>
  </w:style>
  <w:style w:type="character" w:styleId="FootnoteReference">
    <w:name w:val="footnote reference"/>
    <w:basedOn w:val="DefaultParagraphFont"/>
    <w:uiPriority w:val="99"/>
    <w:semiHidden/>
    <w:unhideWhenUsed/>
    <w:rsid w:val="00746F89"/>
    <w:rPr>
      <w:vertAlign w:val="superscript"/>
    </w:rPr>
  </w:style>
  <w:style w:type="paragraph" w:styleId="Header">
    <w:name w:val="header"/>
    <w:basedOn w:val="Normal"/>
    <w:link w:val="HeaderChar"/>
    <w:uiPriority w:val="99"/>
    <w:unhideWhenUsed/>
    <w:rsid w:val="00B36D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6DDD"/>
  </w:style>
  <w:style w:type="paragraph" w:styleId="Footer">
    <w:name w:val="footer"/>
    <w:basedOn w:val="Normal"/>
    <w:link w:val="FooterChar"/>
    <w:uiPriority w:val="99"/>
    <w:unhideWhenUsed/>
    <w:rsid w:val="00B36D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6DDD"/>
  </w:style>
  <w:style w:type="character" w:styleId="Hyperlink">
    <w:name w:val="Hyperlink"/>
    <w:basedOn w:val="DefaultParagraphFont"/>
    <w:uiPriority w:val="99"/>
    <w:unhideWhenUsed/>
    <w:rsid w:val="002A306D"/>
    <w:rPr>
      <w:color w:val="0563C1" w:themeColor="hyperlink"/>
      <w:u w:val="single"/>
    </w:rPr>
  </w:style>
  <w:style w:type="character" w:styleId="UnresolvedMention">
    <w:name w:val="Unresolved Mention"/>
    <w:basedOn w:val="DefaultParagraphFont"/>
    <w:uiPriority w:val="99"/>
    <w:semiHidden/>
    <w:unhideWhenUsed/>
    <w:rsid w:val="002A306D"/>
    <w:rPr>
      <w:color w:val="605E5C"/>
      <w:shd w:val="clear" w:color="auto" w:fill="E1DFDD"/>
    </w:rPr>
  </w:style>
  <w:style w:type="character" w:styleId="FollowedHyperlink">
    <w:name w:val="FollowedHyperlink"/>
    <w:basedOn w:val="DefaultParagraphFont"/>
    <w:uiPriority w:val="99"/>
    <w:semiHidden/>
    <w:unhideWhenUsed/>
    <w:rsid w:val="000658D8"/>
    <w:rPr>
      <w:color w:val="954F72" w:themeColor="followedHyperlink"/>
      <w:u w:val="single"/>
    </w:rPr>
  </w:style>
  <w:style w:type="paragraph" w:styleId="ListParagraph">
    <w:name w:val="List Paragraph"/>
    <w:basedOn w:val="Normal"/>
    <w:uiPriority w:val="34"/>
    <w:qFormat/>
    <w:rsid w:val="0087017E"/>
    <w:pPr>
      <w:ind w:left="720"/>
      <w:contextualSpacing/>
    </w:pPr>
  </w:style>
  <w:style w:type="character" w:styleId="CommentReference">
    <w:name w:val="annotation reference"/>
    <w:basedOn w:val="DefaultParagraphFont"/>
    <w:uiPriority w:val="99"/>
    <w:semiHidden/>
    <w:unhideWhenUsed/>
    <w:rsid w:val="00220E53"/>
    <w:rPr>
      <w:sz w:val="16"/>
      <w:szCs w:val="16"/>
    </w:rPr>
  </w:style>
  <w:style w:type="paragraph" w:styleId="CommentText">
    <w:name w:val="annotation text"/>
    <w:basedOn w:val="Normal"/>
    <w:link w:val="CommentTextChar"/>
    <w:uiPriority w:val="99"/>
    <w:unhideWhenUsed/>
    <w:rsid w:val="00220E53"/>
    <w:pPr>
      <w:spacing w:line="240" w:lineRule="auto"/>
    </w:pPr>
    <w:rPr>
      <w:sz w:val="20"/>
      <w:szCs w:val="20"/>
    </w:rPr>
  </w:style>
  <w:style w:type="character" w:customStyle="1" w:styleId="CommentTextChar">
    <w:name w:val="Comment Text Char"/>
    <w:basedOn w:val="DefaultParagraphFont"/>
    <w:link w:val="CommentText"/>
    <w:uiPriority w:val="99"/>
    <w:rsid w:val="00220E53"/>
    <w:rPr>
      <w:sz w:val="20"/>
      <w:szCs w:val="20"/>
    </w:rPr>
  </w:style>
  <w:style w:type="paragraph" w:styleId="CommentSubject">
    <w:name w:val="annotation subject"/>
    <w:basedOn w:val="CommentText"/>
    <w:next w:val="CommentText"/>
    <w:link w:val="CommentSubjectChar"/>
    <w:uiPriority w:val="99"/>
    <w:semiHidden/>
    <w:unhideWhenUsed/>
    <w:rsid w:val="00220E53"/>
    <w:rPr>
      <w:b/>
      <w:bCs/>
    </w:rPr>
  </w:style>
  <w:style w:type="character" w:customStyle="1" w:styleId="CommentSubjectChar">
    <w:name w:val="Comment Subject Char"/>
    <w:basedOn w:val="CommentTextChar"/>
    <w:link w:val="CommentSubject"/>
    <w:uiPriority w:val="99"/>
    <w:semiHidden/>
    <w:rsid w:val="00220E53"/>
    <w:rPr>
      <w:b/>
      <w:bCs/>
      <w:sz w:val="20"/>
      <w:szCs w:val="20"/>
    </w:rPr>
  </w:style>
  <w:style w:type="paragraph" w:styleId="BalloonText">
    <w:name w:val="Balloon Text"/>
    <w:basedOn w:val="Normal"/>
    <w:link w:val="BalloonTextChar"/>
    <w:uiPriority w:val="99"/>
    <w:semiHidden/>
    <w:unhideWhenUsed/>
    <w:rsid w:val="00220E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0E53"/>
    <w:rPr>
      <w:rFonts w:ascii="Segoe UI" w:hAnsi="Segoe UI" w:cs="Segoe UI"/>
      <w:sz w:val="18"/>
      <w:szCs w:val="18"/>
    </w:rPr>
  </w:style>
  <w:style w:type="paragraph" w:styleId="NormalWeb">
    <w:name w:val="Normal (Web)"/>
    <w:basedOn w:val="Normal"/>
    <w:uiPriority w:val="99"/>
    <w:unhideWhenUsed/>
    <w:rsid w:val="006131C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153112"/>
    <w:rPr>
      <w:i/>
      <w:iCs/>
    </w:rPr>
  </w:style>
  <w:style w:type="table" w:styleId="TableGrid">
    <w:name w:val="Table Grid"/>
    <w:basedOn w:val="TableNormal"/>
    <w:uiPriority w:val="39"/>
    <w:rsid w:val="00605E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B392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348513">
      <w:bodyDiv w:val="1"/>
      <w:marLeft w:val="0"/>
      <w:marRight w:val="0"/>
      <w:marTop w:val="0"/>
      <w:marBottom w:val="0"/>
      <w:divBdr>
        <w:top w:val="none" w:sz="0" w:space="0" w:color="auto"/>
        <w:left w:val="none" w:sz="0" w:space="0" w:color="auto"/>
        <w:bottom w:val="none" w:sz="0" w:space="0" w:color="auto"/>
        <w:right w:val="none" w:sz="0" w:space="0" w:color="auto"/>
      </w:divBdr>
    </w:div>
    <w:div w:id="177307183">
      <w:bodyDiv w:val="1"/>
      <w:marLeft w:val="0"/>
      <w:marRight w:val="0"/>
      <w:marTop w:val="0"/>
      <w:marBottom w:val="0"/>
      <w:divBdr>
        <w:top w:val="none" w:sz="0" w:space="0" w:color="auto"/>
        <w:left w:val="none" w:sz="0" w:space="0" w:color="auto"/>
        <w:bottom w:val="none" w:sz="0" w:space="0" w:color="auto"/>
        <w:right w:val="none" w:sz="0" w:space="0" w:color="auto"/>
      </w:divBdr>
    </w:div>
    <w:div w:id="432021624">
      <w:bodyDiv w:val="1"/>
      <w:marLeft w:val="0"/>
      <w:marRight w:val="0"/>
      <w:marTop w:val="0"/>
      <w:marBottom w:val="0"/>
      <w:divBdr>
        <w:top w:val="none" w:sz="0" w:space="0" w:color="auto"/>
        <w:left w:val="none" w:sz="0" w:space="0" w:color="auto"/>
        <w:bottom w:val="none" w:sz="0" w:space="0" w:color="auto"/>
        <w:right w:val="none" w:sz="0" w:space="0" w:color="auto"/>
      </w:divBdr>
    </w:div>
    <w:div w:id="455953266">
      <w:bodyDiv w:val="1"/>
      <w:marLeft w:val="0"/>
      <w:marRight w:val="0"/>
      <w:marTop w:val="0"/>
      <w:marBottom w:val="0"/>
      <w:divBdr>
        <w:top w:val="none" w:sz="0" w:space="0" w:color="auto"/>
        <w:left w:val="none" w:sz="0" w:space="0" w:color="auto"/>
        <w:bottom w:val="none" w:sz="0" w:space="0" w:color="auto"/>
        <w:right w:val="none" w:sz="0" w:space="0" w:color="auto"/>
      </w:divBdr>
    </w:div>
    <w:div w:id="490878251">
      <w:bodyDiv w:val="1"/>
      <w:marLeft w:val="0"/>
      <w:marRight w:val="0"/>
      <w:marTop w:val="0"/>
      <w:marBottom w:val="0"/>
      <w:divBdr>
        <w:top w:val="none" w:sz="0" w:space="0" w:color="auto"/>
        <w:left w:val="none" w:sz="0" w:space="0" w:color="auto"/>
        <w:bottom w:val="none" w:sz="0" w:space="0" w:color="auto"/>
        <w:right w:val="none" w:sz="0" w:space="0" w:color="auto"/>
      </w:divBdr>
    </w:div>
    <w:div w:id="572131404">
      <w:bodyDiv w:val="1"/>
      <w:marLeft w:val="0"/>
      <w:marRight w:val="0"/>
      <w:marTop w:val="0"/>
      <w:marBottom w:val="0"/>
      <w:divBdr>
        <w:top w:val="none" w:sz="0" w:space="0" w:color="auto"/>
        <w:left w:val="none" w:sz="0" w:space="0" w:color="auto"/>
        <w:bottom w:val="none" w:sz="0" w:space="0" w:color="auto"/>
        <w:right w:val="none" w:sz="0" w:space="0" w:color="auto"/>
      </w:divBdr>
    </w:div>
    <w:div w:id="868295162">
      <w:bodyDiv w:val="1"/>
      <w:marLeft w:val="0"/>
      <w:marRight w:val="0"/>
      <w:marTop w:val="0"/>
      <w:marBottom w:val="0"/>
      <w:divBdr>
        <w:top w:val="none" w:sz="0" w:space="0" w:color="auto"/>
        <w:left w:val="none" w:sz="0" w:space="0" w:color="auto"/>
        <w:bottom w:val="none" w:sz="0" w:space="0" w:color="auto"/>
        <w:right w:val="none" w:sz="0" w:space="0" w:color="auto"/>
      </w:divBdr>
    </w:div>
    <w:div w:id="893394118">
      <w:bodyDiv w:val="1"/>
      <w:marLeft w:val="0"/>
      <w:marRight w:val="0"/>
      <w:marTop w:val="0"/>
      <w:marBottom w:val="0"/>
      <w:divBdr>
        <w:top w:val="none" w:sz="0" w:space="0" w:color="auto"/>
        <w:left w:val="none" w:sz="0" w:space="0" w:color="auto"/>
        <w:bottom w:val="none" w:sz="0" w:space="0" w:color="auto"/>
        <w:right w:val="none" w:sz="0" w:space="0" w:color="auto"/>
      </w:divBdr>
    </w:div>
    <w:div w:id="1028026345">
      <w:bodyDiv w:val="1"/>
      <w:marLeft w:val="0"/>
      <w:marRight w:val="0"/>
      <w:marTop w:val="0"/>
      <w:marBottom w:val="0"/>
      <w:divBdr>
        <w:top w:val="none" w:sz="0" w:space="0" w:color="auto"/>
        <w:left w:val="none" w:sz="0" w:space="0" w:color="auto"/>
        <w:bottom w:val="none" w:sz="0" w:space="0" w:color="auto"/>
        <w:right w:val="none" w:sz="0" w:space="0" w:color="auto"/>
      </w:divBdr>
    </w:div>
    <w:div w:id="1232427134">
      <w:bodyDiv w:val="1"/>
      <w:marLeft w:val="0"/>
      <w:marRight w:val="0"/>
      <w:marTop w:val="0"/>
      <w:marBottom w:val="0"/>
      <w:divBdr>
        <w:top w:val="none" w:sz="0" w:space="0" w:color="auto"/>
        <w:left w:val="none" w:sz="0" w:space="0" w:color="auto"/>
        <w:bottom w:val="none" w:sz="0" w:space="0" w:color="auto"/>
        <w:right w:val="none" w:sz="0" w:space="0" w:color="auto"/>
      </w:divBdr>
    </w:div>
    <w:div w:id="1234656730">
      <w:bodyDiv w:val="1"/>
      <w:marLeft w:val="0"/>
      <w:marRight w:val="0"/>
      <w:marTop w:val="0"/>
      <w:marBottom w:val="0"/>
      <w:divBdr>
        <w:top w:val="none" w:sz="0" w:space="0" w:color="auto"/>
        <w:left w:val="none" w:sz="0" w:space="0" w:color="auto"/>
        <w:bottom w:val="none" w:sz="0" w:space="0" w:color="auto"/>
        <w:right w:val="none" w:sz="0" w:space="0" w:color="auto"/>
      </w:divBdr>
    </w:div>
    <w:div w:id="1439106361">
      <w:bodyDiv w:val="1"/>
      <w:marLeft w:val="0"/>
      <w:marRight w:val="0"/>
      <w:marTop w:val="0"/>
      <w:marBottom w:val="0"/>
      <w:divBdr>
        <w:top w:val="none" w:sz="0" w:space="0" w:color="auto"/>
        <w:left w:val="none" w:sz="0" w:space="0" w:color="auto"/>
        <w:bottom w:val="none" w:sz="0" w:space="0" w:color="auto"/>
        <w:right w:val="none" w:sz="0" w:space="0" w:color="auto"/>
      </w:divBdr>
    </w:div>
    <w:div w:id="1453937698">
      <w:bodyDiv w:val="1"/>
      <w:marLeft w:val="0"/>
      <w:marRight w:val="0"/>
      <w:marTop w:val="0"/>
      <w:marBottom w:val="0"/>
      <w:divBdr>
        <w:top w:val="none" w:sz="0" w:space="0" w:color="auto"/>
        <w:left w:val="none" w:sz="0" w:space="0" w:color="auto"/>
        <w:bottom w:val="none" w:sz="0" w:space="0" w:color="auto"/>
        <w:right w:val="none" w:sz="0" w:space="0" w:color="auto"/>
      </w:divBdr>
    </w:div>
    <w:div w:id="1544637660">
      <w:bodyDiv w:val="1"/>
      <w:marLeft w:val="0"/>
      <w:marRight w:val="0"/>
      <w:marTop w:val="0"/>
      <w:marBottom w:val="0"/>
      <w:divBdr>
        <w:top w:val="none" w:sz="0" w:space="0" w:color="auto"/>
        <w:left w:val="none" w:sz="0" w:space="0" w:color="auto"/>
        <w:bottom w:val="none" w:sz="0" w:space="0" w:color="auto"/>
        <w:right w:val="none" w:sz="0" w:space="0" w:color="auto"/>
      </w:divBdr>
    </w:div>
    <w:div w:id="1622225240">
      <w:bodyDiv w:val="1"/>
      <w:marLeft w:val="0"/>
      <w:marRight w:val="0"/>
      <w:marTop w:val="0"/>
      <w:marBottom w:val="0"/>
      <w:divBdr>
        <w:top w:val="none" w:sz="0" w:space="0" w:color="auto"/>
        <w:left w:val="none" w:sz="0" w:space="0" w:color="auto"/>
        <w:bottom w:val="none" w:sz="0" w:space="0" w:color="auto"/>
        <w:right w:val="none" w:sz="0" w:space="0" w:color="auto"/>
      </w:divBdr>
    </w:div>
    <w:div w:id="1753429476">
      <w:bodyDiv w:val="1"/>
      <w:marLeft w:val="0"/>
      <w:marRight w:val="0"/>
      <w:marTop w:val="0"/>
      <w:marBottom w:val="0"/>
      <w:divBdr>
        <w:top w:val="none" w:sz="0" w:space="0" w:color="auto"/>
        <w:left w:val="none" w:sz="0" w:space="0" w:color="auto"/>
        <w:bottom w:val="none" w:sz="0" w:space="0" w:color="auto"/>
        <w:right w:val="none" w:sz="0" w:space="0" w:color="auto"/>
      </w:divBdr>
    </w:div>
    <w:div w:id="1866408035">
      <w:bodyDiv w:val="1"/>
      <w:marLeft w:val="0"/>
      <w:marRight w:val="0"/>
      <w:marTop w:val="0"/>
      <w:marBottom w:val="0"/>
      <w:divBdr>
        <w:top w:val="none" w:sz="0" w:space="0" w:color="auto"/>
        <w:left w:val="none" w:sz="0" w:space="0" w:color="auto"/>
        <w:bottom w:val="none" w:sz="0" w:space="0" w:color="auto"/>
        <w:right w:val="none" w:sz="0" w:space="0" w:color="auto"/>
      </w:divBdr>
    </w:div>
    <w:div w:id="1902255231">
      <w:bodyDiv w:val="1"/>
      <w:marLeft w:val="0"/>
      <w:marRight w:val="0"/>
      <w:marTop w:val="0"/>
      <w:marBottom w:val="0"/>
      <w:divBdr>
        <w:top w:val="none" w:sz="0" w:space="0" w:color="auto"/>
        <w:left w:val="none" w:sz="0" w:space="0" w:color="auto"/>
        <w:bottom w:val="none" w:sz="0" w:space="0" w:color="auto"/>
        <w:right w:val="none" w:sz="0" w:space="0" w:color="auto"/>
      </w:divBdr>
    </w:div>
    <w:div w:id="2057463601">
      <w:bodyDiv w:val="1"/>
      <w:marLeft w:val="0"/>
      <w:marRight w:val="0"/>
      <w:marTop w:val="0"/>
      <w:marBottom w:val="0"/>
      <w:divBdr>
        <w:top w:val="none" w:sz="0" w:space="0" w:color="auto"/>
        <w:left w:val="none" w:sz="0" w:space="0" w:color="auto"/>
        <w:bottom w:val="none" w:sz="0" w:space="0" w:color="auto"/>
        <w:right w:val="none" w:sz="0" w:space="0" w:color="auto"/>
      </w:divBdr>
    </w:div>
    <w:div w:id="2061972858">
      <w:bodyDiv w:val="1"/>
      <w:marLeft w:val="0"/>
      <w:marRight w:val="0"/>
      <w:marTop w:val="0"/>
      <w:marBottom w:val="0"/>
      <w:divBdr>
        <w:top w:val="none" w:sz="0" w:space="0" w:color="auto"/>
        <w:left w:val="none" w:sz="0" w:space="0" w:color="auto"/>
        <w:bottom w:val="none" w:sz="0" w:space="0" w:color="auto"/>
        <w:right w:val="none" w:sz="0" w:space="0" w:color="auto"/>
      </w:divBdr>
    </w:div>
    <w:div w:id="2081829031">
      <w:bodyDiv w:val="1"/>
      <w:marLeft w:val="0"/>
      <w:marRight w:val="0"/>
      <w:marTop w:val="0"/>
      <w:marBottom w:val="0"/>
      <w:divBdr>
        <w:top w:val="none" w:sz="0" w:space="0" w:color="auto"/>
        <w:left w:val="none" w:sz="0" w:space="0" w:color="auto"/>
        <w:bottom w:val="none" w:sz="0" w:space="0" w:color="auto"/>
        <w:right w:val="none" w:sz="0" w:space="0" w:color="auto"/>
      </w:divBdr>
    </w:div>
    <w:div w:id="2090075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3.xml"/><Relationship Id="rId18" Type="http://schemas.openxmlformats.org/officeDocument/2006/relationships/chart" Target="charts/chart8.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chart" Target="charts/chart2.xml"/><Relationship Id="rId17" Type="http://schemas.openxmlformats.org/officeDocument/2006/relationships/chart" Target="charts/chart7.xml"/><Relationship Id="rId2" Type="http://schemas.openxmlformats.org/officeDocument/2006/relationships/customXml" Target="../customXml/item2.xml"/><Relationship Id="rId16" Type="http://schemas.openxmlformats.org/officeDocument/2006/relationships/chart" Target="charts/chart6.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hart" Target="charts/chart1.xml"/><Relationship Id="rId5" Type="http://schemas.openxmlformats.org/officeDocument/2006/relationships/numbering" Target="numbering.xml"/><Relationship Id="rId15" Type="http://schemas.openxmlformats.org/officeDocument/2006/relationships/chart" Target="charts/chart5.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4.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3" Type="http://schemas.openxmlformats.org/officeDocument/2006/relationships/oleObject" Target="https://londoncouncil-my.sharepoint.com/personal/rohan_gupta_londoncouncils_gov_uk/Documents/Desktop/London%20Councils%20Borough%20Employment%20Support%20Services%20Survey%202023(1-34)%20Data.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https://londoncouncil-my.sharepoint.com/personal/rohan_gupta_londoncouncils_gov_uk/Documents/Desktop/London%20Councils%20Borough%20Employment%20Support%20Services%20Survey%202023(1-34)%20Data.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https://londoncouncil-my.sharepoint.com/personal/rohan_gupta_londoncouncils_gov_uk/Documents/Desktop/London%20Councils%20Borough%20Employment%20Support%20Services%20Survey%202023(1-34)%20Data.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https://londoncouncil-my.sharepoint.com/personal/rohan_gupta_londoncouncils_gov_uk/Documents/Desktop/London%20Councils%20Borough%20Employment%20Support%20Services%20Survey%202023(1-34)%20Data.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https://londoncouncil-my.sharepoint.com/personal/rohan_gupta_londoncouncils_gov_uk/Documents/Desktop/London%20Councils%20Borough%20Employment%20Support%20Services%20Survey%202023(1-34)%20Data.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https://londoncouncil-my.sharepoint.com/personal/rohan_gupta_londoncouncils_gov_uk/Documents/Desktop/London%20Councils%20Borough%20Employment%20Support%20Services%20Survey%202023(1-34)%20Data.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https://londoncouncil-my.sharepoint.com/personal/rohan_gupta_londoncouncils_gov_uk/Documents/Desktop/London%20Councils%20Borough%20Employment%20Support%20Services%20Survey%202023(1-34)%20Data.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https://londoncouncil-my.sharepoint.com/personal/rohan_gupta_londoncouncils_gov_uk/Documents/Desktop/London%20Councils%20Borough%20Employment%20Support%20Services%20Survey%202023(1-34)%20Data.xlsx" TargetMode="External"/><Relationship Id="rId2" Type="http://schemas.microsoft.com/office/2011/relationships/chartColorStyle" Target="colors8.xml"/><Relationship Id="rId1" Type="http://schemas.microsoft.com/office/2011/relationships/chartStyle" Target="style8.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rgbClr val="CF0072"/>
              </a:solidFill>
              <a:ln w="19050">
                <a:solidFill>
                  <a:schemeClr val="lt1"/>
                </a:solidFill>
              </a:ln>
              <a:effectLst/>
            </c:spPr>
            <c:extLst>
              <c:ext xmlns:c16="http://schemas.microsoft.com/office/drawing/2014/chart" uri="{C3380CC4-5D6E-409C-BE32-E72D297353CC}">
                <c16:uniqueId val="{00000001-05CA-48E9-9174-910E96F90D5A}"/>
              </c:ext>
            </c:extLst>
          </c:dPt>
          <c:dPt>
            <c:idx val="1"/>
            <c:bubble3D val="0"/>
            <c:spPr>
              <a:solidFill>
                <a:schemeClr val="bg1">
                  <a:lumMod val="50000"/>
                </a:schemeClr>
              </a:solidFill>
              <a:ln w="19050">
                <a:solidFill>
                  <a:schemeClr val="lt1"/>
                </a:solidFill>
              </a:ln>
              <a:effectLst/>
            </c:spPr>
            <c:extLst>
              <c:ext xmlns:c16="http://schemas.microsoft.com/office/drawing/2014/chart" uri="{C3380CC4-5D6E-409C-BE32-E72D297353CC}">
                <c16:uniqueId val="{00000003-05CA-48E9-9174-910E96F90D5A}"/>
              </c:ext>
            </c:extLst>
          </c:dPt>
          <c:dPt>
            <c:idx val="2"/>
            <c:bubble3D val="0"/>
            <c:spPr>
              <a:solidFill>
                <a:srgbClr val="490E6F"/>
              </a:solidFill>
              <a:ln w="19050">
                <a:solidFill>
                  <a:schemeClr val="lt1"/>
                </a:solidFill>
              </a:ln>
              <a:effectLst/>
            </c:spPr>
            <c:extLst>
              <c:ext xmlns:c16="http://schemas.microsoft.com/office/drawing/2014/chart" uri="{C3380CC4-5D6E-409C-BE32-E72D297353CC}">
                <c16:uniqueId val="{00000005-05CA-48E9-9174-910E96F90D5A}"/>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'Q1-3'!$M$2:$M$4</c:f>
              <c:strCache>
                <c:ptCount val="3"/>
                <c:pt idx="0">
                  <c:v>In-house service</c:v>
                </c:pt>
                <c:pt idx="1">
                  <c:v>A commissioned service</c:v>
                </c:pt>
                <c:pt idx="2">
                  <c:v>Both</c:v>
                </c:pt>
              </c:strCache>
            </c:strRef>
          </c:cat>
          <c:val>
            <c:numRef>
              <c:f>'Q1-3'!$O$2:$O$4</c:f>
              <c:numCache>
                <c:formatCode>0%</c:formatCode>
                <c:ptCount val="3"/>
                <c:pt idx="0">
                  <c:v>0.7931034482758621</c:v>
                </c:pt>
                <c:pt idx="1">
                  <c:v>6.8965517241379309E-2</c:v>
                </c:pt>
                <c:pt idx="2">
                  <c:v>0.13793103448275862</c:v>
                </c:pt>
              </c:numCache>
            </c:numRef>
          </c:val>
          <c:extLst>
            <c:ext xmlns:c16="http://schemas.microsoft.com/office/drawing/2014/chart" uri="{C3380CC4-5D6E-409C-BE32-E72D297353CC}">
              <c16:uniqueId val="{00000006-05CA-48E9-9174-910E96F90D5A}"/>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'Q4 funding'!$E$8</c:f>
              <c:strCache>
                <c:ptCount val="1"/>
                <c:pt idx="0">
                  <c:v>2022/23</c:v>
                </c:pt>
              </c:strCache>
            </c:strRef>
          </c:tx>
          <c:spPr>
            <a:solidFill>
              <a:srgbClr val="490E6F"/>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'Q4 funding'!$D$9:$D$11</c:f>
              <c:strCache>
                <c:ptCount val="3"/>
                <c:pt idx="0">
                  <c:v>&lt;500k</c:v>
                </c:pt>
                <c:pt idx="1">
                  <c:v>500k-1m</c:v>
                </c:pt>
                <c:pt idx="2">
                  <c:v>&gt;1m</c:v>
                </c:pt>
              </c:strCache>
            </c:strRef>
          </c:cat>
          <c:val>
            <c:numRef>
              <c:f>'Q4 funding'!$E$9:$E$11</c:f>
              <c:numCache>
                <c:formatCode>0%</c:formatCode>
                <c:ptCount val="3"/>
                <c:pt idx="0">
                  <c:v>0.25</c:v>
                </c:pt>
                <c:pt idx="1">
                  <c:v>0.17857142857142858</c:v>
                </c:pt>
                <c:pt idx="2">
                  <c:v>0.5714285714285714</c:v>
                </c:pt>
              </c:numCache>
            </c:numRef>
          </c:val>
          <c:extLst>
            <c:ext xmlns:c16="http://schemas.microsoft.com/office/drawing/2014/chart" uri="{C3380CC4-5D6E-409C-BE32-E72D297353CC}">
              <c16:uniqueId val="{00000000-E749-4196-B987-2292EF065918}"/>
            </c:ext>
          </c:extLst>
        </c:ser>
        <c:ser>
          <c:idx val="1"/>
          <c:order val="1"/>
          <c:tx>
            <c:strRef>
              <c:f>'Q4 funding'!$F$8</c:f>
              <c:strCache>
                <c:ptCount val="1"/>
                <c:pt idx="0">
                  <c:v>2021/22</c:v>
                </c:pt>
              </c:strCache>
            </c:strRef>
          </c:tx>
          <c:spPr>
            <a:solidFill>
              <a:srgbClr val="CF007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'Q4 funding'!$D$9:$D$11</c:f>
              <c:strCache>
                <c:ptCount val="3"/>
                <c:pt idx="0">
                  <c:v>&lt;500k</c:v>
                </c:pt>
                <c:pt idx="1">
                  <c:v>500k-1m</c:v>
                </c:pt>
                <c:pt idx="2">
                  <c:v>&gt;1m</c:v>
                </c:pt>
              </c:strCache>
            </c:strRef>
          </c:cat>
          <c:val>
            <c:numRef>
              <c:f>'Q4 funding'!$F$9:$F$11</c:f>
              <c:numCache>
                <c:formatCode>0%</c:formatCode>
                <c:ptCount val="3"/>
                <c:pt idx="0">
                  <c:v>0.2608695652173913</c:v>
                </c:pt>
                <c:pt idx="1">
                  <c:v>0.17391304347826086</c:v>
                </c:pt>
                <c:pt idx="2">
                  <c:v>0.56521739130434778</c:v>
                </c:pt>
              </c:numCache>
            </c:numRef>
          </c:val>
          <c:extLst>
            <c:ext xmlns:c16="http://schemas.microsoft.com/office/drawing/2014/chart" uri="{C3380CC4-5D6E-409C-BE32-E72D297353CC}">
              <c16:uniqueId val="{00000001-E749-4196-B987-2292EF065918}"/>
            </c:ext>
          </c:extLst>
        </c:ser>
        <c:ser>
          <c:idx val="2"/>
          <c:order val="2"/>
          <c:tx>
            <c:strRef>
              <c:f>'Q4 funding'!$G$8</c:f>
              <c:strCache>
                <c:ptCount val="1"/>
                <c:pt idx="0">
                  <c:v>2020/21</c:v>
                </c:pt>
              </c:strCache>
            </c:strRef>
          </c:tx>
          <c:spPr>
            <a:solidFill>
              <a:schemeClr val="bg1">
                <a:lumMod val="5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'Q4 funding'!$D$9:$D$11</c:f>
              <c:strCache>
                <c:ptCount val="3"/>
                <c:pt idx="0">
                  <c:v>&lt;500k</c:v>
                </c:pt>
                <c:pt idx="1">
                  <c:v>500k-1m</c:v>
                </c:pt>
                <c:pt idx="2">
                  <c:v>&gt;1m</c:v>
                </c:pt>
              </c:strCache>
            </c:strRef>
          </c:cat>
          <c:val>
            <c:numRef>
              <c:f>'Q4 funding'!$G$9:$G$11</c:f>
              <c:numCache>
                <c:formatCode>0%</c:formatCode>
                <c:ptCount val="3"/>
                <c:pt idx="0">
                  <c:v>0.36</c:v>
                </c:pt>
                <c:pt idx="1">
                  <c:v>0.28000000000000003</c:v>
                </c:pt>
                <c:pt idx="2">
                  <c:v>0.36</c:v>
                </c:pt>
              </c:numCache>
            </c:numRef>
          </c:val>
          <c:extLst>
            <c:ext xmlns:c16="http://schemas.microsoft.com/office/drawing/2014/chart" uri="{C3380CC4-5D6E-409C-BE32-E72D297353CC}">
              <c16:uniqueId val="{00000002-E749-4196-B987-2292EF065918}"/>
            </c:ext>
          </c:extLst>
        </c:ser>
        <c:dLbls>
          <c:dLblPos val="outEnd"/>
          <c:showLegendKey val="0"/>
          <c:showVal val="1"/>
          <c:showCatName val="0"/>
          <c:showSerName val="0"/>
          <c:showPercent val="0"/>
          <c:showBubbleSize val="0"/>
        </c:dLbls>
        <c:gapWidth val="219"/>
        <c:overlap val="-27"/>
        <c:axId val="1957325056"/>
        <c:axId val="1965519600"/>
      </c:barChart>
      <c:catAx>
        <c:axId val="19573250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65519600"/>
        <c:crosses val="autoZero"/>
        <c:auto val="1"/>
        <c:lblAlgn val="ctr"/>
        <c:lblOffset val="100"/>
        <c:noMultiLvlLbl val="0"/>
      </c:catAx>
      <c:valAx>
        <c:axId val="196551960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573250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'Q6 Staff'!$F$10</c:f>
              <c:strCache>
                <c:ptCount val="1"/>
                <c:pt idx="0">
                  <c:v>2022/23</c:v>
                </c:pt>
              </c:strCache>
            </c:strRef>
          </c:tx>
          <c:spPr>
            <a:solidFill>
              <a:srgbClr val="490E6F"/>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'Q6 Staff'!$E$11:$E$13</c:f>
              <c:strCache>
                <c:ptCount val="3"/>
                <c:pt idx="0">
                  <c:v>&lt;10</c:v>
                </c:pt>
                <c:pt idx="1">
                  <c:v>10-20</c:v>
                </c:pt>
                <c:pt idx="2">
                  <c:v>&gt;20</c:v>
                </c:pt>
              </c:strCache>
            </c:strRef>
          </c:cat>
          <c:val>
            <c:numRef>
              <c:f>'Q6 Staff'!$F$11:$F$13</c:f>
              <c:numCache>
                <c:formatCode>0%</c:formatCode>
                <c:ptCount val="3"/>
                <c:pt idx="0">
                  <c:v>0.33333333333333331</c:v>
                </c:pt>
                <c:pt idx="1">
                  <c:v>0.23333333333333334</c:v>
                </c:pt>
                <c:pt idx="2">
                  <c:v>0.43333333333333335</c:v>
                </c:pt>
              </c:numCache>
            </c:numRef>
          </c:val>
          <c:extLst>
            <c:ext xmlns:c16="http://schemas.microsoft.com/office/drawing/2014/chart" uri="{C3380CC4-5D6E-409C-BE32-E72D297353CC}">
              <c16:uniqueId val="{00000000-22BD-4E00-8D4D-1195A4CA8661}"/>
            </c:ext>
          </c:extLst>
        </c:ser>
        <c:ser>
          <c:idx val="1"/>
          <c:order val="1"/>
          <c:tx>
            <c:strRef>
              <c:f>'Q6 Staff'!$G$10</c:f>
              <c:strCache>
                <c:ptCount val="1"/>
                <c:pt idx="0">
                  <c:v>2021/22</c:v>
                </c:pt>
              </c:strCache>
            </c:strRef>
          </c:tx>
          <c:spPr>
            <a:solidFill>
              <a:srgbClr val="CF007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'Q6 Staff'!$E$11:$E$13</c:f>
              <c:strCache>
                <c:ptCount val="3"/>
                <c:pt idx="0">
                  <c:v>&lt;10</c:v>
                </c:pt>
                <c:pt idx="1">
                  <c:v>10-20</c:v>
                </c:pt>
                <c:pt idx="2">
                  <c:v>&gt;20</c:v>
                </c:pt>
              </c:strCache>
            </c:strRef>
          </c:cat>
          <c:val>
            <c:numRef>
              <c:f>'Q6 Staff'!$G$11:$G$13</c:f>
              <c:numCache>
                <c:formatCode>0%</c:formatCode>
                <c:ptCount val="3"/>
                <c:pt idx="0">
                  <c:v>0.33333333333333331</c:v>
                </c:pt>
                <c:pt idx="1">
                  <c:v>0.1111111111111111</c:v>
                </c:pt>
                <c:pt idx="2">
                  <c:v>0.55555555555555558</c:v>
                </c:pt>
              </c:numCache>
            </c:numRef>
          </c:val>
          <c:extLst>
            <c:ext xmlns:c16="http://schemas.microsoft.com/office/drawing/2014/chart" uri="{C3380CC4-5D6E-409C-BE32-E72D297353CC}">
              <c16:uniqueId val="{00000001-22BD-4E00-8D4D-1195A4CA8661}"/>
            </c:ext>
          </c:extLst>
        </c:ser>
        <c:ser>
          <c:idx val="2"/>
          <c:order val="2"/>
          <c:tx>
            <c:strRef>
              <c:f>'Q6 Staff'!$H$10</c:f>
              <c:strCache>
                <c:ptCount val="1"/>
                <c:pt idx="0">
                  <c:v>2020/21</c:v>
                </c:pt>
              </c:strCache>
            </c:strRef>
          </c:tx>
          <c:spPr>
            <a:solidFill>
              <a:schemeClr val="bg1">
                <a:lumMod val="5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'Q6 Staff'!$E$11:$E$13</c:f>
              <c:strCache>
                <c:ptCount val="3"/>
                <c:pt idx="0">
                  <c:v>&lt;10</c:v>
                </c:pt>
                <c:pt idx="1">
                  <c:v>10-20</c:v>
                </c:pt>
                <c:pt idx="2">
                  <c:v>&gt;20</c:v>
                </c:pt>
              </c:strCache>
            </c:strRef>
          </c:cat>
          <c:val>
            <c:numRef>
              <c:f>'Q6 Staff'!$H$11:$H$13</c:f>
              <c:numCache>
                <c:formatCode>0%</c:formatCode>
                <c:ptCount val="3"/>
                <c:pt idx="0">
                  <c:v>0.5</c:v>
                </c:pt>
                <c:pt idx="1">
                  <c:v>0.21</c:v>
                </c:pt>
                <c:pt idx="2">
                  <c:v>0.28999999999999998</c:v>
                </c:pt>
              </c:numCache>
            </c:numRef>
          </c:val>
          <c:extLst>
            <c:ext xmlns:c16="http://schemas.microsoft.com/office/drawing/2014/chart" uri="{C3380CC4-5D6E-409C-BE32-E72D297353CC}">
              <c16:uniqueId val="{00000002-22BD-4E00-8D4D-1195A4CA8661}"/>
            </c:ext>
          </c:extLst>
        </c:ser>
        <c:dLbls>
          <c:dLblPos val="outEnd"/>
          <c:showLegendKey val="0"/>
          <c:showVal val="1"/>
          <c:showCatName val="0"/>
          <c:showSerName val="0"/>
          <c:showPercent val="0"/>
          <c:showBubbleSize val="0"/>
        </c:dLbls>
        <c:gapWidth val="219"/>
        <c:overlap val="-27"/>
        <c:axId val="1960932592"/>
        <c:axId val="1972356080"/>
      </c:barChart>
      <c:catAx>
        <c:axId val="19609325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72356080"/>
        <c:crosses val="autoZero"/>
        <c:auto val="1"/>
        <c:lblAlgn val="ctr"/>
        <c:lblOffset val="100"/>
        <c:noMultiLvlLbl val="0"/>
      </c:catAx>
      <c:valAx>
        <c:axId val="197235608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609325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'Q8 Services offered'!$H$3</c:f>
              <c:strCache>
                <c:ptCount val="1"/>
                <c:pt idx="0">
                  <c:v>Percentage</c:v>
                </c:pt>
              </c:strCache>
            </c:strRef>
          </c:tx>
          <c:spPr>
            <a:solidFill>
              <a:srgbClr val="CF007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'Q8 Services offered'!$F$4:$F$16</c:f>
              <c:strCache>
                <c:ptCount val="13"/>
                <c:pt idx="0">
                  <c:v>Other</c:v>
                </c:pt>
                <c:pt idx="1">
                  <c:v>Self-employment support</c:v>
                </c:pt>
                <c:pt idx="2">
                  <c:v>Support to access funds and benefits e.g. Access to Work</c:v>
                </c:pt>
                <c:pt idx="3">
                  <c:v>In-work support</c:v>
                </c:pt>
                <c:pt idx="4">
                  <c:v>Free / reduced rate training courses</c:v>
                </c:pt>
                <c:pt idx="5">
                  <c:v>Support and advice to employers</c:v>
                </c:pt>
                <c:pt idx="6">
                  <c:v>Support to improve skills</c:v>
                </c:pt>
                <c:pt idx="7">
                  <c:v>Support around apprenticeships</c:v>
                </c:pt>
                <c:pt idx="8">
                  <c:v>Careers advice</c:v>
                </c:pt>
                <c:pt idx="9">
                  <c:v>Employment advisors</c:v>
                </c:pt>
                <c:pt idx="10">
                  <c:v>Local vacancies</c:v>
                </c:pt>
                <c:pt idx="11">
                  <c:v>Help with CVs and job applications</c:v>
                </c:pt>
                <c:pt idx="12">
                  <c:v>Interview preparation / job coaching</c:v>
                </c:pt>
              </c:strCache>
            </c:strRef>
          </c:cat>
          <c:val>
            <c:numRef>
              <c:f>'Q8 Services offered'!$H$4:$H$16</c:f>
              <c:numCache>
                <c:formatCode>0%</c:formatCode>
                <c:ptCount val="13"/>
                <c:pt idx="0">
                  <c:v>0.13793103448275862</c:v>
                </c:pt>
                <c:pt idx="1">
                  <c:v>0.62068965517241381</c:v>
                </c:pt>
                <c:pt idx="2">
                  <c:v>0.62068965517241381</c:v>
                </c:pt>
                <c:pt idx="3">
                  <c:v>0.7931034482758621</c:v>
                </c:pt>
                <c:pt idx="4">
                  <c:v>0.82758620689655171</c:v>
                </c:pt>
                <c:pt idx="5">
                  <c:v>0.93103448275862066</c:v>
                </c:pt>
                <c:pt idx="6">
                  <c:v>0.93103448275862066</c:v>
                </c:pt>
                <c:pt idx="7">
                  <c:v>0.93103448275862066</c:v>
                </c:pt>
                <c:pt idx="8">
                  <c:v>0.93103448275862066</c:v>
                </c:pt>
                <c:pt idx="9">
                  <c:v>0.96551724137931039</c:v>
                </c:pt>
                <c:pt idx="10">
                  <c:v>1</c:v>
                </c:pt>
                <c:pt idx="11">
                  <c:v>1</c:v>
                </c:pt>
                <c:pt idx="12">
                  <c:v>1</c:v>
                </c:pt>
              </c:numCache>
            </c:numRef>
          </c:val>
          <c:extLst>
            <c:ext xmlns:c16="http://schemas.microsoft.com/office/drawing/2014/chart" uri="{C3380CC4-5D6E-409C-BE32-E72D297353CC}">
              <c16:uniqueId val="{00000000-1C5E-4FE0-8F53-3AD15FC20C3C}"/>
            </c:ext>
          </c:extLst>
        </c:ser>
        <c:dLbls>
          <c:dLblPos val="outEnd"/>
          <c:showLegendKey val="0"/>
          <c:showVal val="1"/>
          <c:showCatName val="0"/>
          <c:showSerName val="0"/>
          <c:showPercent val="0"/>
          <c:showBubbleSize val="0"/>
        </c:dLbls>
        <c:gapWidth val="182"/>
        <c:axId val="1968711120"/>
        <c:axId val="1959682560"/>
      </c:barChart>
      <c:catAx>
        <c:axId val="196871112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59682560"/>
        <c:crosses val="autoZero"/>
        <c:auto val="1"/>
        <c:lblAlgn val="ctr"/>
        <c:lblOffset val="100"/>
        <c:noMultiLvlLbl val="0"/>
      </c:catAx>
      <c:valAx>
        <c:axId val="1959682560"/>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6871112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'Q9 Local Skills shortages'!$H$4</c:f>
              <c:strCache>
                <c:ptCount val="1"/>
                <c:pt idx="0">
                  <c:v>Percentage</c:v>
                </c:pt>
              </c:strCache>
            </c:strRef>
          </c:tx>
          <c:spPr>
            <a:solidFill>
              <a:srgbClr val="490E6F"/>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'Q9 Local Skills shortages'!$F$5:$F$10</c:f>
              <c:strCache>
                <c:ptCount val="6"/>
                <c:pt idx="0">
                  <c:v>Other</c:v>
                </c:pt>
                <c:pt idx="1">
                  <c:v>Increased apprenticeships and work placements in in-demand sectors</c:v>
                </c:pt>
                <c:pt idx="2">
                  <c:v>Provided more re-training or upskilling support</c:v>
                </c:pt>
                <c:pt idx="3">
                  <c:v>Adjusted careers advice and guidance to connect people with in-demand jobs</c:v>
                </c:pt>
                <c:pt idx="4">
                  <c:v>Worked with employers to fill vacancies in growing / resilient sectors</c:v>
                </c:pt>
                <c:pt idx="5">
                  <c:v>Built wider partnerships and networks to strengthen links with local employers</c:v>
                </c:pt>
              </c:strCache>
            </c:strRef>
          </c:cat>
          <c:val>
            <c:numRef>
              <c:f>'Q9 Local Skills shortages'!$H$5:$H$10</c:f>
              <c:numCache>
                <c:formatCode>0%</c:formatCode>
                <c:ptCount val="6"/>
                <c:pt idx="0">
                  <c:v>0.14285714285714285</c:v>
                </c:pt>
                <c:pt idx="1">
                  <c:v>0.4642857142857143</c:v>
                </c:pt>
                <c:pt idx="2">
                  <c:v>0.4642857142857143</c:v>
                </c:pt>
                <c:pt idx="3">
                  <c:v>0.7142857142857143</c:v>
                </c:pt>
                <c:pt idx="4">
                  <c:v>0.8214285714285714</c:v>
                </c:pt>
                <c:pt idx="5">
                  <c:v>0.9285714285714286</c:v>
                </c:pt>
              </c:numCache>
            </c:numRef>
          </c:val>
          <c:extLst>
            <c:ext xmlns:c16="http://schemas.microsoft.com/office/drawing/2014/chart" uri="{C3380CC4-5D6E-409C-BE32-E72D297353CC}">
              <c16:uniqueId val="{00000000-E867-4CDC-9E71-40B2612CB5A9}"/>
            </c:ext>
          </c:extLst>
        </c:ser>
        <c:dLbls>
          <c:dLblPos val="outEnd"/>
          <c:showLegendKey val="0"/>
          <c:showVal val="1"/>
          <c:showCatName val="0"/>
          <c:showSerName val="0"/>
          <c:showPercent val="0"/>
          <c:showBubbleSize val="0"/>
        </c:dLbls>
        <c:gapWidth val="182"/>
        <c:axId val="1470857216"/>
        <c:axId val="2021188288"/>
      </c:barChart>
      <c:catAx>
        <c:axId val="147085721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21188288"/>
        <c:crosses val="autoZero"/>
        <c:auto val="1"/>
        <c:lblAlgn val="ctr"/>
        <c:lblOffset val="100"/>
        <c:noMultiLvlLbl val="0"/>
      </c:catAx>
      <c:valAx>
        <c:axId val="2021188288"/>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7085721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'Q10 Plan for Jobs'!$H$4</c:f>
              <c:strCache>
                <c:ptCount val="1"/>
                <c:pt idx="0">
                  <c:v>Percentage</c:v>
                </c:pt>
              </c:strCache>
            </c:strRef>
          </c:tx>
          <c:spPr>
            <a:solidFill>
              <a:srgbClr val="CF007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'Q10 Plan for Jobs'!$F$5:$F$13</c:f>
              <c:strCache>
                <c:ptCount val="9"/>
                <c:pt idx="0">
                  <c:v>Other</c:v>
                </c:pt>
                <c:pt idx="1">
                  <c:v>Traineeships</c:v>
                </c:pt>
                <c:pt idx="2">
                  <c:v>DWP Flexible Support Fund</c:v>
                </c:pt>
                <c:pt idx="3">
                  <c:v>Youth Hubs</c:v>
                </c:pt>
                <c:pt idx="4">
                  <c:v>Work and Health Programme</c:v>
                </c:pt>
                <c:pt idx="5">
                  <c:v>Restart</c:v>
                </c:pt>
                <c:pt idx="6">
                  <c:v>Apprenticeships (making use of incentive payments)</c:v>
                </c:pt>
                <c:pt idx="7">
                  <c:v>Sector Based Work Academies</c:v>
                </c:pt>
                <c:pt idx="8">
                  <c:v>Multiply</c:v>
                </c:pt>
              </c:strCache>
            </c:strRef>
          </c:cat>
          <c:val>
            <c:numRef>
              <c:f>'Q10 Plan for Jobs'!$H$5:$H$13</c:f>
              <c:numCache>
                <c:formatCode>0%</c:formatCode>
                <c:ptCount val="9"/>
                <c:pt idx="0">
                  <c:v>0.1</c:v>
                </c:pt>
                <c:pt idx="1">
                  <c:v>0.23333333333333334</c:v>
                </c:pt>
                <c:pt idx="2">
                  <c:v>0.4</c:v>
                </c:pt>
                <c:pt idx="3">
                  <c:v>0.43333333333333335</c:v>
                </c:pt>
                <c:pt idx="4">
                  <c:v>0.43333333333333335</c:v>
                </c:pt>
                <c:pt idx="5">
                  <c:v>0.43333333333333335</c:v>
                </c:pt>
                <c:pt idx="6">
                  <c:v>0.56666666666666665</c:v>
                </c:pt>
                <c:pt idx="7">
                  <c:v>0.66666666666666663</c:v>
                </c:pt>
                <c:pt idx="8">
                  <c:v>0.66666666666666663</c:v>
                </c:pt>
              </c:numCache>
            </c:numRef>
          </c:val>
          <c:extLst>
            <c:ext xmlns:c16="http://schemas.microsoft.com/office/drawing/2014/chart" uri="{C3380CC4-5D6E-409C-BE32-E72D297353CC}">
              <c16:uniqueId val="{00000000-01E2-449C-92C9-D1D83F5B3F9F}"/>
            </c:ext>
          </c:extLst>
        </c:ser>
        <c:dLbls>
          <c:dLblPos val="outEnd"/>
          <c:showLegendKey val="0"/>
          <c:showVal val="1"/>
          <c:showCatName val="0"/>
          <c:showSerName val="0"/>
          <c:showPercent val="0"/>
          <c:showBubbleSize val="0"/>
        </c:dLbls>
        <c:gapWidth val="182"/>
        <c:axId val="1690847056"/>
        <c:axId val="1959585520"/>
      </c:barChart>
      <c:catAx>
        <c:axId val="169084705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59585520"/>
        <c:crosses val="autoZero"/>
        <c:auto val="1"/>
        <c:lblAlgn val="ctr"/>
        <c:lblOffset val="100"/>
        <c:noMultiLvlLbl val="0"/>
      </c:catAx>
      <c:valAx>
        <c:axId val="1959585520"/>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9084705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'Q11 No Wrong Door'!$I$5</c:f>
              <c:strCache>
                <c:ptCount val="1"/>
                <c:pt idx="0">
                  <c:v>2021/22</c:v>
                </c:pt>
              </c:strCache>
            </c:strRef>
          </c:tx>
          <c:spPr>
            <a:solidFill>
              <a:srgbClr val="490E6F"/>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'Q11 No Wrong Door'!$F$6:$F$16</c:f>
              <c:strCache>
                <c:ptCount val="11"/>
                <c:pt idx="0">
                  <c:v>Other</c:v>
                </c:pt>
                <c:pt idx="1">
                  <c:v>Developing a shared CRM system with neighbouring boroughs</c:v>
                </c:pt>
                <c:pt idx="2">
                  <c:v>Greater sharing of data and analytics with JCP</c:v>
                </c:pt>
                <c:pt idx="3">
                  <c:v>Multi-agency employment or skills hubs</c:v>
                </c:pt>
                <c:pt idx="4">
                  <c:v>JCP Youth Hubs</c:v>
                </c:pt>
                <c:pt idx="5">
                  <c:v>Co-location with Jobcentre Plus</c:v>
                </c:pt>
                <c:pt idx="6">
                  <c:v>Hosting JCP and other services within borough teams</c:v>
                </c:pt>
                <c:pt idx="7">
                  <c:v>Digital platform to guide people to the right services</c:v>
                </c:pt>
                <c:pt idx="8">
                  <c:v>Mapping customer journeys to improve access to services</c:v>
                </c:pt>
                <c:pt idx="9">
                  <c:v>Closer interaction with adult learning providers and employers</c:v>
                </c:pt>
                <c:pt idx="10">
                  <c:v>Participating in networks of other employment practitioners</c:v>
                </c:pt>
              </c:strCache>
            </c:strRef>
          </c:cat>
          <c:val>
            <c:numRef>
              <c:f>'Q11 No Wrong Door'!$I$6:$I$16</c:f>
              <c:numCache>
                <c:formatCode>0%</c:formatCode>
                <c:ptCount val="11"/>
                <c:pt idx="0">
                  <c:v>0.22</c:v>
                </c:pt>
                <c:pt idx="1">
                  <c:v>0.11</c:v>
                </c:pt>
                <c:pt idx="2">
                  <c:v>0.26</c:v>
                </c:pt>
                <c:pt idx="3">
                  <c:v>0.59</c:v>
                </c:pt>
                <c:pt idx="5">
                  <c:v>0.44</c:v>
                </c:pt>
                <c:pt idx="6">
                  <c:v>0.44</c:v>
                </c:pt>
                <c:pt idx="7">
                  <c:v>0.56000000000000005</c:v>
                </c:pt>
                <c:pt idx="9">
                  <c:v>0.7407407407407407</c:v>
                </c:pt>
              </c:numCache>
            </c:numRef>
          </c:val>
          <c:extLst>
            <c:ext xmlns:c16="http://schemas.microsoft.com/office/drawing/2014/chart" uri="{C3380CC4-5D6E-409C-BE32-E72D297353CC}">
              <c16:uniqueId val="{00000000-71EC-4C36-A352-81E7A38078BF}"/>
            </c:ext>
          </c:extLst>
        </c:ser>
        <c:ser>
          <c:idx val="1"/>
          <c:order val="1"/>
          <c:tx>
            <c:strRef>
              <c:f>'Q11 No Wrong Door'!$J$5</c:f>
              <c:strCache>
                <c:ptCount val="1"/>
                <c:pt idx="0">
                  <c:v>2022/23</c:v>
                </c:pt>
              </c:strCache>
            </c:strRef>
          </c:tx>
          <c:spPr>
            <a:solidFill>
              <a:srgbClr val="CF007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'Q11 No Wrong Door'!$F$6:$F$16</c:f>
              <c:strCache>
                <c:ptCount val="11"/>
                <c:pt idx="0">
                  <c:v>Other</c:v>
                </c:pt>
                <c:pt idx="1">
                  <c:v>Developing a shared CRM system with neighbouring boroughs</c:v>
                </c:pt>
                <c:pt idx="2">
                  <c:v>Greater sharing of data and analytics with JCP</c:v>
                </c:pt>
                <c:pt idx="3">
                  <c:v>Multi-agency employment or skills hubs</c:v>
                </c:pt>
                <c:pt idx="4">
                  <c:v>JCP Youth Hubs</c:v>
                </c:pt>
                <c:pt idx="5">
                  <c:v>Co-location with Jobcentre Plus</c:v>
                </c:pt>
                <c:pt idx="6">
                  <c:v>Hosting JCP and other services within borough teams</c:v>
                </c:pt>
                <c:pt idx="7">
                  <c:v>Digital platform to guide people to the right services</c:v>
                </c:pt>
                <c:pt idx="8">
                  <c:v>Mapping customer journeys to improve access to services</c:v>
                </c:pt>
                <c:pt idx="9">
                  <c:v>Closer interaction with adult learning providers and employers</c:v>
                </c:pt>
                <c:pt idx="10">
                  <c:v>Participating in networks of other employment practitioners</c:v>
                </c:pt>
              </c:strCache>
            </c:strRef>
          </c:cat>
          <c:val>
            <c:numRef>
              <c:f>'Q11 No Wrong Door'!$J$6:$J$16</c:f>
              <c:numCache>
                <c:formatCode>0%</c:formatCode>
                <c:ptCount val="11"/>
                <c:pt idx="0">
                  <c:v>9.0909090909090912E-2</c:v>
                </c:pt>
                <c:pt idx="1">
                  <c:v>9.0909090909090912E-2</c:v>
                </c:pt>
                <c:pt idx="2">
                  <c:v>0.27272727272727271</c:v>
                </c:pt>
                <c:pt idx="3">
                  <c:v>0.30303030303030304</c:v>
                </c:pt>
                <c:pt idx="4">
                  <c:v>0.36363636363636365</c:v>
                </c:pt>
                <c:pt idx="5">
                  <c:v>0.42424242424242425</c:v>
                </c:pt>
                <c:pt idx="6">
                  <c:v>0.45454545454545453</c:v>
                </c:pt>
                <c:pt idx="7">
                  <c:v>0.5757575757575758</c:v>
                </c:pt>
                <c:pt idx="8">
                  <c:v>0.5757575757575758</c:v>
                </c:pt>
                <c:pt idx="9">
                  <c:v>0.84848484848484851</c:v>
                </c:pt>
                <c:pt idx="10">
                  <c:v>0.90909090909090906</c:v>
                </c:pt>
              </c:numCache>
            </c:numRef>
          </c:val>
          <c:extLst>
            <c:ext xmlns:c16="http://schemas.microsoft.com/office/drawing/2014/chart" uri="{C3380CC4-5D6E-409C-BE32-E72D297353CC}">
              <c16:uniqueId val="{00000001-71EC-4C36-A352-81E7A38078BF}"/>
            </c:ext>
          </c:extLst>
        </c:ser>
        <c:dLbls>
          <c:dLblPos val="outEnd"/>
          <c:showLegendKey val="0"/>
          <c:showVal val="1"/>
          <c:showCatName val="0"/>
          <c:showSerName val="0"/>
          <c:showPercent val="0"/>
          <c:showBubbleSize val="0"/>
        </c:dLbls>
        <c:gapWidth val="182"/>
        <c:axId val="2099895984"/>
        <c:axId val="2093342720"/>
      </c:barChart>
      <c:catAx>
        <c:axId val="209989598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93342720"/>
        <c:crosses val="autoZero"/>
        <c:auto val="1"/>
        <c:lblAlgn val="ctr"/>
        <c:lblOffset val="100"/>
        <c:noMultiLvlLbl val="0"/>
      </c:catAx>
      <c:valAx>
        <c:axId val="2093342720"/>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9989598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'Q13 Good work'!$H$5</c:f>
              <c:strCache>
                <c:ptCount val="1"/>
                <c:pt idx="0">
                  <c:v>Percentage</c:v>
                </c:pt>
              </c:strCache>
            </c:strRef>
          </c:tx>
          <c:spPr>
            <a:solidFill>
              <a:srgbClr val="490E6F"/>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'Q13 Good work'!$F$6:$F$14</c:f>
              <c:strCache>
                <c:ptCount val="9"/>
                <c:pt idx="0">
                  <c:v>Other</c:v>
                </c:pt>
                <c:pt idx="1">
                  <c:v>Commissioning research into good work</c:v>
                </c:pt>
                <c:pt idx="2">
                  <c:v>Creating a local Good Employer / Business charter</c:v>
                </c:pt>
                <c:pt idx="3">
                  <c:v>Campaigning for a fair deal for local workers</c:v>
                </c:pt>
                <c:pt idx="4">
                  <c:v>Working closely with anchor institutions to promote good work</c:v>
                </c:pt>
                <c:pt idx="5">
                  <c:v>Using the borough's procurement policy to promote good work</c:v>
                </c:pt>
                <c:pt idx="6">
                  <c:v>Promoting the Mayor's Good Work Standard</c:v>
                </c:pt>
                <c:pt idx="7">
                  <c:v>Via the borough's employment support services</c:v>
                </c:pt>
                <c:pt idx="8">
                  <c:v>Promoting the London Living Wage</c:v>
                </c:pt>
              </c:strCache>
            </c:strRef>
          </c:cat>
          <c:val>
            <c:numRef>
              <c:f>'Q13 Good work'!$H$6:$H$14</c:f>
              <c:numCache>
                <c:formatCode>0%</c:formatCode>
                <c:ptCount val="9"/>
                <c:pt idx="0">
                  <c:v>0.125</c:v>
                </c:pt>
                <c:pt idx="1">
                  <c:v>0.15625</c:v>
                </c:pt>
                <c:pt idx="2">
                  <c:v>0.21875</c:v>
                </c:pt>
                <c:pt idx="3">
                  <c:v>0.25</c:v>
                </c:pt>
                <c:pt idx="4">
                  <c:v>0.625</c:v>
                </c:pt>
                <c:pt idx="5">
                  <c:v>0.6875</c:v>
                </c:pt>
                <c:pt idx="6">
                  <c:v>0.6875</c:v>
                </c:pt>
                <c:pt idx="7">
                  <c:v>0.71875</c:v>
                </c:pt>
                <c:pt idx="8">
                  <c:v>0.96875</c:v>
                </c:pt>
              </c:numCache>
            </c:numRef>
          </c:val>
          <c:extLst>
            <c:ext xmlns:c16="http://schemas.microsoft.com/office/drawing/2014/chart" uri="{C3380CC4-5D6E-409C-BE32-E72D297353CC}">
              <c16:uniqueId val="{00000000-CB74-41AF-AE93-7E9B34851DB8}"/>
            </c:ext>
          </c:extLst>
        </c:ser>
        <c:dLbls>
          <c:dLblPos val="outEnd"/>
          <c:showLegendKey val="0"/>
          <c:showVal val="1"/>
          <c:showCatName val="0"/>
          <c:showSerName val="0"/>
          <c:showPercent val="0"/>
          <c:showBubbleSize val="0"/>
        </c:dLbls>
        <c:gapWidth val="182"/>
        <c:axId val="1964156768"/>
        <c:axId val="2093350800"/>
      </c:barChart>
      <c:catAx>
        <c:axId val="196415676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93350800"/>
        <c:crosses val="autoZero"/>
        <c:auto val="1"/>
        <c:lblAlgn val="ctr"/>
        <c:lblOffset val="100"/>
        <c:noMultiLvlLbl val="0"/>
      </c:catAx>
      <c:valAx>
        <c:axId val="2093350800"/>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6415676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9703B9D7787744A8BC4F88A5EEA567" ma:contentTypeVersion="14" ma:contentTypeDescription="Create a new document." ma:contentTypeScope="" ma:versionID="11987b6b3c6762d4d372b6e1217f0c2b">
  <xsd:schema xmlns:xsd="http://www.w3.org/2001/XMLSchema" xmlns:xs="http://www.w3.org/2001/XMLSchema" xmlns:p="http://schemas.microsoft.com/office/2006/metadata/properties" xmlns:ns3="6abbf7b5-fb0f-4800-a480-b67096214e70" xmlns:ns4="b8d8d0bc-8c4d-4039-ba6e-df916fcf6c0a" targetNamespace="http://schemas.microsoft.com/office/2006/metadata/properties" ma:root="true" ma:fieldsID="445aa5539d7c164102da82a3e2cc4366" ns3:_="" ns4:_="">
    <xsd:import namespace="6abbf7b5-fb0f-4800-a480-b67096214e70"/>
    <xsd:import namespace="b8d8d0bc-8c4d-4039-ba6e-df916fcf6c0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bbf7b5-fb0f-4800-a480-b67096214e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8d8d0bc-8c4d-4039-ba6e-df916fcf6c0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196AF2-C281-4129-81EC-CEE05204E3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bbf7b5-fb0f-4800-a480-b67096214e70"/>
    <ds:schemaRef ds:uri="b8d8d0bc-8c4d-4039-ba6e-df916fcf6c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714E63-B056-4D16-A432-11E74A32AE4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12F239B-F597-4215-9174-61E916DC41F6}">
  <ds:schemaRefs>
    <ds:schemaRef ds:uri="http://schemas.microsoft.com/sharepoint/v3/contenttype/forms"/>
  </ds:schemaRefs>
</ds:datastoreItem>
</file>

<file path=customXml/itemProps4.xml><?xml version="1.0" encoding="utf-8"?>
<ds:datastoreItem xmlns:ds="http://schemas.openxmlformats.org/officeDocument/2006/customXml" ds:itemID="{1C5282EB-8355-4D3F-B224-56A97A4D7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16</Pages>
  <Words>4795</Words>
  <Characters>27334</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London Councils</Company>
  <LinksUpToDate>false</LinksUpToDate>
  <CharactersWithSpaces>32065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 Yordanova</dc:creator>
  <cp:keywords/>
  <dc:description/>
  <cp:lastModifiedBy>Rohan Gupta</cp:lastModifiedBy>
  <cp:revision>3</cp:revision>
  <dcterms:created xsi:type="dcterms:W3CDTF">2023-05-23T14:52:00Z</dcterms:created>
  <dcterms:modified xsi:type="dcterms:W3CDTF">2023-05-23T14:53:00Z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0x010100C39703B9D7787744A8BC4F88A5EEA567</vt:lpwstr>
  </property>
</Properties>
</file>